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alquileres de casas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85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600"/>
        <w:gridCol w:w="2070"/>
        <w:gridCol w:w="1035"/>
        <w:gridCol w:w="780"/>
        <w:gridCol w:w="765"/>
        <w:gridCol w:w="735"/>
        <w:gridCol w:w="750"/>
        <w:gridCol w:w="1110"/>
        <w:gridCol w:w="1665"/>
        <w:gridCol w:w="1005"/>
        <w:gridCol w:w="915"/>
        <w:gridCol w:w="2175"/>
        <w:tblGridChange w:id="0">
          <w:tblGrid>
            <w:gridCol w:w="1080"/>
            <w:gridCol w:w="600"/>
            <w:gridCol w:w="2070"/>
            <w:gridCol w:w="1035"/>
            <w:gridCol w:w="780"/>
            <w:gridCol w:w="765"/>
            <w:gridCol w:w="735"/>
            <w:gridCol w:w="750"/>
            <w:gridCol w:w="1110"/>
            <w:gridCol w:w="1665"/>
            <w:gridCol w:w="1005"/>
            <w:gridCol w:w="915"/>
            <w:gridCol w:w="2175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INTERESADO(FUENTE)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3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RESPONSABLES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7">
            <w:pPr>
              <w:spacing w:after="28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8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DE CONTINGENCIA (RESPUESTA)</w:t>
            </w:r>
          </w:p>
        </w:tc>
      </w:tr>
      <w:tr>
        <w:trPr>
          <w:cantSplit w:val="1"/>
          <w:trHeight w:val="1546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before="120" w:lineRule="auto"/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trabajo con informes no positivos de desempeño.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Monitoreo semanal del progreso mediante reuniones uno a uno con los miembros del equipo y jefe de equipo para  ajustar cargas de trabajo si es necesario.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C10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Definición del alcance incompleta o poco detallada.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Volver a revisar y validar los requisitos con todas las partes interesadas antes de continuar.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equipos de trabajo manifiestan disputas internas.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Facilitar sesiones de resolución de conflictos y mejorar la comunicación entre los miembros del equipo. Designar un mediador o facilitador para asistir en la resolución de las diferencias.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equipos de trabajo no dominan la tecnología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Organizar entrenamientos especializados en las herramientas necesarias para 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comunicación entre partes interesadas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dirección, desarrollo y  patrocinador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Director de proyecto y 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dirección, desarrollo y  patrocinador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Establecer un canal de comunicación centralizado y transparente.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C13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Vulnerabilidades de seguridad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auditorías de seguridad periódicas y aplicar cambios en las zonas vulnerables.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C12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Acoplamiento con otros servicios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Establecer mecanismos de desacoplamiento para mitigar posibles interrupciones y asegurar el funcionamiento independiente de cada componente en caso de fallos.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cumplir con  el RGPD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Muy alta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y equipo de dirección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equipo, Director de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y equipo de dirección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una auditoría exhaustiva de cumplimiento con el RGPD para identificar posibles áreas de riesgo. 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RIESGOS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rJlfIumM7zi8q6X42SBYSJITig==">CgMxLjA4AHIhMVZGVE81c0tFdXVQTTYxeVQxd0dsb0J4d1cweHM4b2Zk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JUAN M. CORDERO</dc:creator>
</cp:coreProperties>
</file>