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515"/>
        <w:gridCol w:w="1890"/>
        <w:gridCol w:w="1710"/>
        <w:gridCol w:w="2025"/>
        <w:gridCol w:w="2430"/>
        <w:tblGridChange w:id="0">
          <w:tblGrid>
            <w:gridCol w:w="1980"/>
            <w:gridCol w:w="4515"/>
            <w:gridCol w:w="1890"/>
            <w:gridCol w:w="1710"/>
            <w:gridCol w:w="20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Supuestos iniciales del proyecto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"/>
        <w:gridCol w:w="4629"/>
        <w:gridCol w:w="1560"/>
        <w:gridCol w:w="1559"/>
        <w:gridCol w:w="1417"/>
        <w:gridCol w:w="4820"/>
        <w:tblGridChange w:id="0">
          <w:tblGrid>
            <w:gridCol w:w="582"/>
            <w:gridCol w:w="4629"/>
            <w:gridCol w:w="1560"/>
            <w:gridCol w:w="1559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Disponibilidad de infraestructura tecnológica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/ Empresa Consultora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Inicio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Importante asegurar la infraestructura antes del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Cumplimiento de los requisitos del cliente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con el cliente de forma periódica para evitar grandes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Participación activa del cliente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Evaluar constantemente la participación del cliente en reuniones claves.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limitado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/ Empresa Consultora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Planificación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que las actividades del proyecto no excedan 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Dependencia en tecnologías predefinidas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Consultora / Proveedores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la compatibilidad con los sistemas existentes de la empresa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limitado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consultora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Cumplir con los plazos de entrega fijados para el proyecto.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YE0dmROc6zNrysLDGlKuDSMxw==">CgMxLjA4AHIhMUZjbVJUOEJ0VzlGUjBFRXB6UEhYd0hVN2FfdDhSR0ds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