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Data Request: Aerial Methane Surveys of Marginal Oil and Gas Wells</w:t>
      </w:r>
    </w:p>
    <w:p>
      <w:pPr>
        <w:spacing w:after="240"/>
        <w:jc w:val="center"/>
      </w:pPr>
      <w:r>
        <w:rPr>
          <w:rFonts w:ascii="Arial" w:cs="Arial" w:eastAsia="Arial" w:hAnsi="Arial"/>
          <w:i/>
          <w:iCs/>
          <w:color w:val="1F4E79"/>
          <w:sz w:val="26"/>
          <w:szCs w:val="26"/>
        </w:rPr>
        <w:t xml:space="preserve">Pennsylvania (Marcellus) and New Mexico (San Juan &amp; Permian)</w:t>
      </w:r>
    </w:p>
    <w:p>
      <w:pPr>
        <w:spacing w:after="360"/>
        <w:jc w:val="center"/>
      </w:pPr>
      <w:r>
        <w:rPr>
          <w:sz w:val="22"/>
          <w:szCs w:val="22"/>
        </w:rPr>
        <w:t xml:space="preserve">Prepared for: </w:t>
      </w:r>
      <w:r>
        <w:rPr>
          <w:b/>
          <w:bCs/>
          <w:sz w:val="22"/>
          <w:szCs w:val="22"/>
        </w:rPr>
        <w:t xml:space="preserve">Bridger Photonics, Inc.</w:t>
      </w:r>
      <w:r>
        <w:rPr>
          <w:sz w:val="22"/>
          <w:szCs w:val="22"/>
        </w:rPr>
        <w:t xml:space="preserve">     |     Prepared by: </w:t>
      </w:r>
      <w:r>
        <w:rPr>
          <w:b/>
          <w:bCs/>
          <w:sz w:val="22"/>
          <w:szCs w:val="22"/>
        </w:rPr>
        <w:t xml:space="preserve">[PI NAME, INSTITUTION]</w:t>
      </w:r>
      <w:r>
        <w:rPr>
          <w:sz w:val="22"/>
          <w:szCs w:val="22"/>
        </w:rPr>
        <w:t xml:space="preserve">     |     Date: </w:t>
      </w:r>
      <w:r>
        <w:rPr>
          <w:b/>
          <w:bCs/>
          <w:sz w:val="22"/>
          <w:szCs w:val="22"/>
        </w:rPr>
        <w:t xml:space="preserve">[REPLACE]</w:t>
      </w:r>
    </w:p>
    <w:p>
      <w:pPr>
        <w:pBdr>
          <w:bottom w:val="single" w:color="1F4E79" w:sz="8" w:space="2"/>
        </w:pBdr>
        <w:spacing w:after="240"/>
      </w:pPr>
      <w:r>
        <w:t xml:space="preserve"/>
      </w:r>
    </w:p>
    <w:p>
      <w:pPr>
        <w:pStyle w:val="Heading1"/>
        <w:spacing w:after="160" w:before="360"/>
      </w:pPr>
      <w:r>
        <w:t xml:space="preserve">1. Executive Summary</w:t>
      </w:r>
    </w:p>
    <w:p>
      <w:pPr>
        <w:spacing w:after="120" w:line="300"/>
      </w:pPr>
      <w:r>
        <w:t xml:space="preserve">We are conducting a coordinated ground-based methane measurement campaign of approximately 400 marginal oil and gas wells spanning the Pennsylvania Marcellus, New Mexico San Juan, and New Mexico Permian basins. The 400-well sample is designed to span the national distribution of marginal wells across three key axes: gas production rate, well age, and gas-to-oil ratio (GOR). Our coverage across these distributions is strong, but a 400-well sample is not large enough to resolve the upper tail of the emission distribution with confidence.</w:t>
      </w:r>
    </w:p>
    <w:p>
      <w:pPr>
        <w:spacing w:after="120" w:line="300"/>
      </w:pPr>
      <w:r>
        <w:t xml:space="preserve">We are requesting access to Bridger Photonics aerial LiDAR survey data (Gas Mapping LiDAR, or GML) over the same three basins and, where possible, over the same well populations we are sampling on the ground. Our goal is to use Bridger’s wide-area surveys to statistically characterize the high-emission tail, which Bridger’s minimum detection limit is best suited to observe, and to integrate those observations with our ground measurements through the FEAST (Fugitive Emissions Abatement Simulation Toolkit) framework.</w:t>
      </w:r>
    </w:p>
    <w:p>
      <w:pPr>
        <w:spacing w:after="120" w:line="300"/>
      </w:pPr>
      <w:r>
        <w:t xml:space="preserve">This document specifies the data fields and delivery format that would enable us to combine both datasets into an unbiased, basin-representative estimate of marginal-well methane emissions.</w:t>
      </w:r>
    </w:p>
    <w:p>
      <w:pPr>
        <w:pStyle w:val="Heading1"/>
        <w:spacing w:after="160" w:before="360"/>
      </w:pPr>
      <w:r>
        <w:t xml:space="preserve">2. Scientific Rationale</w:t>
      </w:r>
    </w:p>
    <w:p>
      <w:pPr>
        <w:pStyle w:val="Heading2"/>
        <w:spacing w:after="120" w:before="240"/>
      </w:pPr>
      <w:r>
        <w:t xml:space="preserve">2.1 Why marginal wells, and why these three basins</w:t>
      </w:r>
    </w:p>
    <w:p>
      <w:pPr>
        <w:spacing w:after="120" w:line="300"/>
      </w:pPr>
      <w:r>
        <w:t xml:space="preserve">Marginal wells (defined here as producing less than 15 BOE/d) represent roughly 80% of U.S. oil and gas wells but only a few percent of production. Recent work (including Omara et al. 2022, Deighton et al. 2020, and ongoing EPA inventory updates) suggests marginal wells emit disproportionately per unit of production, but site-level estimates remain uncertain, especially at the upper tail where a small number of high-emitting sites dominate basin totals.</w:t>
      </w:r>
    </w:p>
    <w:p>
      <w:pPr>
        <w:spacing w:after="120" w:line="300"/>
      </w:pPr>
      <w:r>
        <w:t xml:space="preserve">The three basins we are targeting — Marcellus (PA), San Juan (NM), and Permian (NM) — together represent the major regional archetypes of marginal production in the U.S.:</w:t>
      </w:r>
    </w:p>
    <w:p>
      <w:pPr>
        <w:pStyle w:val="ListParagraph"/>
        <w:numPr>
          <w:ilvl w:val="0"/>
          <w:numId w:val="2"/>
        </w:numPr>
        <w:spacing w:after="80"/>
      </w:pPr>
      <w:r>
        <w:t xml:space="preserve">Marcellus (PA): gas-dominant, mature, plunger-lift prevalent, often episodic emitters.</w:t>
      </w:r>
    </w:p>
    <w:p>
      <w:pPr>
        <w:pStyle w:val="ListParagraph"/>
        <w:numPr>
          <w:ilvl w:val="0"/>
          <w:numId w:val="2"/>
        </w:numPr>
        <w:spacing w:after="80"/>
      </w:pPr>
      <w:r>
        <w:t xml:space="preserve">San Juan (NM): legacy gas and coalbed-adjacent production, long tail of low-production wells.</w:t>
      </w:r>
    </w:p>
    <w:p>
      <w:pPr>
        <w:pStyle w:val="ListParagraph"/>
        <w:numPr>
          <w:ilvl w:val="0"/>
          <w:numId w:val="2"/>
        </w:numPr>
        <w:spacing w:after="80"/>
      </w:pPr>
      <w:r>
        <w:t xml:space="preserve">Permian (NM): oil-weighted marginal wells with associated gas, distinct lift mechanisms and venting patterns.</w:t>
      </w:r>
    </w:p>
    <w:p>
      <w:pPr>
        <w:pStyle w:val="Heading2"/>
        <w:spacing w:after="120" w:before="240"/>
      </w:pPr>
      <w:r>
        <w:t xml:space="preserve">2.2 Why supplement ground measurements with aerial data</w:t>
      </w:r>
    </w:p>
    <w:p>
      <w:pPr>
        <w:spacing w:after="120" w:line="300"/>
      </w:pPr>
      <w:r>
        <w:t xml:space="preserve">Ground measurements (Hi-Flow, quantitative OGI, tracer release, chamber/bagging) resolve component-level emission sources down to well below 0.1 kg/h. Aerial LiDAR is a different instrument: it samples a much larger well population and is specifically sensitive to the high-end sources (roughly &gt;1–3 kg/h under typical wind conditions) that ground campaigns are too small to census. Combining the two datasets allows us to:</w:t>
      </w:r>
    </w:p>
    <w:p>
      <w:pPr>
        <w:pStyle w:val="ListParagraph"/>
        <w:numPr>
          <w:ilvl w:val="0"/>
          <w:numId w:val="2"/>
        </w:numPr>
        <w:spacing w:after="80"/>
      </w:pPr>
      <w:r>
        <w:t xml:space="preserve">Construct an unbiased, bottom-up-plus-top-down emission distribution covering both the body and the tail.</w:t>
      </w:r>
    </w:p>
    <w:p>
      <w:pPr>
        <w:pStyle w:val="ListParagraph"/>
        <w:numPr>
          <w:ilvl w:val="0"/>
          <w:numId w:val="2"/>
        </w:numPr>
        <w:spacing w:after="80"/>
      </w:pPr>
      <w:r>
        <w:t xml:space="preserve">Cross-check component-level models (leak frequency, episodic events such as plunger cycles) against site-integrated aerial observations.</w:t>
      </w:r>
    </w:p>
    <w:p>
      <w:pPr>
        <w:pStyle w:val="ListParagraph"/>
        <w:numPr>
          <w:ilvl w:val="0"/>
          <w:numId w:val="2"/>
        </w:numPr>
        <w:spacing w:after="80"/>
      </w:pPr>
      <w:r>
        <w:t xml:space="preserve">Produce basin-level emission estimates that are traceable to direct measurements at both scales.</w:t>
      </w:r>
    </w:p>
    <w:p>
      <w:pPr>
        <w:pStyle w:val="Heading2"/>
        <w:spacing w:after="120" w:before="240"/>
      </w:pPr>
      <w:r>
        <w:t xml:space="preserve">2.3 How the data will be used in FEAST</w:t>
      </w:r>
    </w:p>
    <w:p>
      <w:pPr>
        <w:spacing w:after="120" w:line="300"/>
      </w:pPr>
      <w:r>
        <w:t xml:space="preserve">Our FEAST workflow treats Bridger observations at two levels. First, each survey’s flight-averaged gas concentration noise (GCN), wind speed, and probability-of-detection (POD) curve define the instrument’s sensitivity during that pass (Thorpe et al. 2024, GML 2.0). Second, per-pass detection outcomes (detected vs. not detected) are combined with the site’s EIME (Empirical Inventory of Methane Emissions) prior, with FEAST providing component-level decomposition (leak frequency, plunger and no-plunger episodic events) so that aerial observations and ground-measured component distributions can be reconciled on a common footing.</w:t>
      </w:r>
    </w:p>
    <w:p>
      <w:pPr>
        <w:pStyle w:val="Heading1"/>
        <w:spacing w:after="160" w:before="360"/>
      </w:pPr>
      <w:r>
        <w:t xml:space="preserve">3. What We Are Requesting</w:t>
      </w:r>
    </w:p>
    <w:p>
      <w:pPr>
        <w:spacing w:after="120" w:line="300"/>
      </w:pPr>
      <w:r>
        <w:t xml:space="preserve">We are requesting structured data for all Bridger aerial surveys conducted in the three target basins within [REPLACE: TIME WINDOW, e.g. 2022–2025], as follows:</w:t>
      </w:r>
    </w:p>
    <w:p>
      <w:pPr>
        <w:pStyle w:val="ListParagraph"/>
        <w:numPr>
          <w:ilvl w:val="0"/>
          <w:numId w:val="2"/>
        </w:numPr>
        <w:spacing w:after="80"/>
      </w:pPr>
      <w:r>
        <w:t xml:space="preserve">Per-survey metadata (flight date, aircraft, coverage polygon, GCN, wind, POD model version, basin-level MDL).</w:t>
      </w:r>
    </w:p>
    <w:p>
      <w:pPr>
        <w:pStyle w:val="ListParagraph"/>
        <w:numPr>
          <w:ilvl w:val="0"/>
          <w:numId w:val="2"/>
        </w:numPr>
        <w:spacing w:after="80"/>
      </w:pPr>
      <w:r>
        <w:t xml:space="preserve">Per-site-pass records (every well that was flown over, whether or not a plume was detected).</w:t>
      </w:r>
    </w:p>
    <w:p>
      <w:pPr>
        <w:pStyle w:val="ListParagraph"/>
        <w:numPr>
          <w:ilvl w:val="0"/>
          <w:numId w:val="2"/>
        </w:numPr>
        <w:spacing w:after="80"/>
      </w:pPr>
      <w:r>
        <w:t xml:space="preserve">Per-detection records (each observed plume, with best-estimate flux and uncertainty, location, and associated well attribution).</w:t>
      </w:r>
    </w:p>
    <w:p>
      <w:pPr>
        <w:pStyle w:val="ListParagraph"/>
        <w:numPr>
          <w:ilvl w:val="0"/>
          <w:numId w:val="2"/>
        </w:numPr>
        <w:spacing w:after="80"/>
      </w:pPr>
      <w:r>
        <w:t xml:space="preserve">Well metadata for the sites surveyed (API, basin, operator, lift type, production, age) where known by Bridger; otherwise we can join externally from state records.</w:t>
      </w:r>
    </w:p>
    <w:p>
      <w:pPr>
        <w:spacing w:after="120" w:line="300"/>
      </w:pPr>
      <w:r>
        <w:rPr>
          <w:b/>
          <w:bCs/>
        </w:rPr>
        <w:t xml:space="preserve">Non-detections are critical. </w:t>
      </w:r>
      <w:r>
        <w:t xml:space="preserve">Without the list of wells that were flown over but not detected, we cannot compute unbiased well-level emission statistics; we can only report a high-end plume catalog.</w:t>
      </w:r>
    </w:p>
    <w:p>
      <w:pPr>
        <w:pStyle w:val="Heading1"/>
        <w:spacing w:after="160" w:before="360"/>
      </w:pPr>
      <w:r>
        <w:t xml:space="preserve">4. Data Schema</w:t>
      </w:r>
    </w:p>
    <w:p>
      <w:pPr>
        <w:spacing w:after="120" w:line="300"/>
      </w:pPr>
      <w:r>
        <w:t xml:space="preserve">We propose a four-file relational schema. If a single GeoPackage (.gpkg) with multiple layers is easier on Bridger’s end, that is equally acceptable. Coordinates in WGS84 (EPSG:4326). Timestamps ISO-8601, UTC. Units as specified per column.</w:t>
      </w:r>
    </w:p>
    <w:p>
      <w:pPr>
        <w:pStyle w:val="Heading2"/>
        <w:spacing w:after="120" w:before="240"/>
      </w:pPr>
      <w:r>
        <w:t xml:space="preserve">4.1 File 1 — 01_surveys.csv (one row per flight / survey)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000"/>
        <w:gridCol w:w="900"/>
        <w:gridCol w:w="43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Column</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Type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Unit</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Required</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survey_id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Unique id for the flight/survey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survey_date_utc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UTC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Date of the flight (YYYY-MM-DD)</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basin</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Marcellus / San Juan / Permian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region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State or sub-basin (PA / NM / etc.)</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aircraft_id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Tail number or platform label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flight_start_utc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datetime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UTC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ISO-8601</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flight_end_utc</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datetime</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UTC</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ISO-8601</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coverage_wkt</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WKT polygon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WGS84</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Polygon of the area surveyed</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gcn_ppm_m</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ppm-m</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Gas concentration noise (POD input)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mean_wind_speed_ms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Flight-averaged, 10-m reference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mean_wind_direction_deg</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0–360, clockwise from north</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mean_altitude_ft_agl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ft AGL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Flight-average height above ground</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atmospheric_stability_class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Pasquill class (A–F)</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mdl_kgph_at_3ms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kg/h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Headline POD90 at standard 3 m/s wind</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pod_model_version</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e.g. GML2.0</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notes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Free text</w:t>
            </w:r>
          </w:p>
        </w:tc>
      </w:tr>
    </w:tbl>
    <w:p>
      <w:pPr>
        <w:pStyle w:val="Heading2"/>
        <w:spacing w:after="120" w:before="240"/>
      </w:pPr>
      <w:r>
        <w:t xml:space="preserve">4.2 File 2 — 02_site_passes.csv (one row per survey × well flown)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000"/>
        <w:gridCol w:w="900"/>
        <w:gridCol w:w="43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Column</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Type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Unit</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Required</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site_pass_id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Unique id for this (survey × site) event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survey_id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FK to 01_surveys.survey_id</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site_id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Bridger internal well id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api_number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14-digit API; or best available id</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latitude_wgs84</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Well latitude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longitude_wgs84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Well longitude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pass_timestamp_utc</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datetime</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UTC</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Moment the aircraft passed over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wind_speed_ms_at_pass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Local wind at pass</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wind_direction_deg_at_pass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altitude_ft_agl_at_pass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plume_detected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bool</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TRUE/FALSE for this pass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pod_at_pass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0–1</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POD at the pass conditions</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mdl_kgph_at_pass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kg/h</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Pass-specific POD90</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n_passes_in_survey</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int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count</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If site was crossed multiple times</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notes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bl>
    <w:p>
      <w:pPr>
        <w:spacing w:after="120" w:line="300"/>
      </w:pPr>
      <w:r>
        <w:rPr>
          <w:b/>
          <w:bCs/>
        </w:rPr>
        <w:t xml:space="preserve">Please include every pass, including passes with no detection. </w:t>
      </w:r>
      <w:r>
        <w:t xml:space="preserve">Wells in the survey footprint that are not listed here will be treated as not flown.</w:t>
      </w:r>
    </w:p>
    <w:p>
      <w:pPr>
        <w:pStyle w:val="Heading2"/>
        <w:spacing w:after="120" w:before="240"/>
      </w:pPr>
      <w:r>
        <w:t xml:space="preserve">4.3 File 3 — 03_detections.csv (one row per plume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000"/>
        <w:gridCol w:w="900"/>
        <w:gridCol w:w="43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Column</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Type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Unit</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Required</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plume_id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Unique plume id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site_pass_id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FK to 02_site_passes.site_pass_id</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survey_id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FK to 01_surveys.survey_id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detection_timestamp_utc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datetime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UTC</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latitude_wgs84</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Plume centroid latitude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longitude_wgs84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Plume centroid longitude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horizontal_position_uncertainty_m</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m</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1-σ position uncertainty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associated_site_id</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Attributed well (Bridger’s best guess)</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associated_api_number</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14-digit API; same caveat as above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emission_rate_kgph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kg/h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Best-estimate emission rate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emission_rate_lo_kgph</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kg/h</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Lower end of uncertainty</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emission_rate_hi_kgph</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kg/h</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Upper end of uncertainty</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emission_rate_uncertainty_basis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e.g. 95% CI via bootstrap, ±1σ</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wind_speed_ms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m/s</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Wind at the plume, used in retrieval</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wind_direction_deg</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gcn_ppm_m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ppm-m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Used in the POD model</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altitude_ft_agl</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ft</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plume_length_m</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Downwind extent</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plume_image_filename</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Reference to attached raster/plot</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classification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production / tank / compressor / pipeline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notes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bl>
    <w:p>
      <w:pPr>
        <w:spacing w:after="120" w:line="300"/>
      </w:pPr>
      <w:r>
        <w:t xml:space="preserve">Multiple detections on the same site_pass_id are fine (e.g. two plumes at one well).</w:t>
      </w:r>
    </w:p>
    <w:p>
      <w:pPr>
        <w:pStyle w:val="Heading2"/>
        <w:spacing w:after="120" w:before="240"/>
      </w:pPr>
      <w:r>
        <w:t xml:space="preserve">4.4 File 4 — 04_well_metadata.csv (one row per well)</w:t>
      </w:r>
    </w:p>
    <w:p>
      <w:pPr>
        <w:spacing w:after="120" w:line="300"/>
      </w:pPr>
      <w:r>
        <w:t xml:space="preserve">If Bridger already has this information, great. If not, we can join externally from state records — but any Bridger-known values reduce ambiguity.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1000"/>
        <w:gridCol w:w="900"/>
        <w:gridCol w:w="4360"/>
      </w:tblGrid>
      <w:tr>
        <w:trPr>
          <w:tblHeader/>
        </w:trPr>
        <w:tc>
          <w:tcPr>
            <w:tcW w:type="dxa" w:w="18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Column</w:t>
            </w:r>
          </w:p>
        </w:tc>
        <w:tc>
          <w:tcPr>
            <w:tcW w:type="dxa" w:w="13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Type</w:t>
            </w:r>
          </w:p>
        </w:tc>
        <w:tc>
          <w:tcPr>
            <w:tcW w:type="dxa" w:w="1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Unit</w:t>
            </w:r>
          </w:p>
        </w:tc>
        <w:tc>
          <w:tcPr>
            <w:tcW w:type="dxa" w:w="9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Required</w:t>
            </w:r>
          </w:p>
        </w:tc>
        <w:tc>
          <w:tcPr>
            <w:tcW w:type="dxa" w:w="43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Description</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site_id</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Matches 02_site_passes.site_id</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api_number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basin</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Marcellus / San Juan / Permian</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region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operator</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latitude_wgs84</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longitude_wgs84</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deg</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yes</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spud_date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first_production_date</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date</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well_type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oil / gas / CBM</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lift_type</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plunger / rod_pump / gas_lift / natural / ESP</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gas_production_mcfpd_12mo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Mcf/d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12-month avg daily gas</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oil_production_bopd_12mo</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bbl/d</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12-month avg daily oil</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water_production_bblpd_12mo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bbl/d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gor_scf_per_bbl</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float</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scf/bbl</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Gas-to-oil ratio</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marginal_status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bool</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Marginal-well classification at survey time</w:t>
            </w:r>
          </w:p>
        </w:tc>
      </w:tr>
      <w:tr>
        <w:tc>
          <w:tcPr>
            <w:tcW w:type="dxa" w:w="18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notes</w:t>
            </w:r>
          </w:p>
        </w:tc>
        <w:tc>
          <w:tcPr>
            <w:tcW w:type="dxa" w:w="13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string</w:t>
            </w:r>
          </w:p>
        </w:tc>
        <w:tc>
          <w:tcPr>
            <w:tcW w:type="dxa" w:w="10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c>
          <w:tcPr>
            <w:tcW w:type="dxa" w:w="9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no</w:t>
            </w:r>
          </w:p>
        </w:tc>
        <w:tc>
          <w:tcPr>
            <w:tcW w:type="dxa" w:w="43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w:t>
            </w:r>
          </w:p>
        </w:tc>
      </w:tr>
    </w:tbl>
    <w:p>
      <w:pPr>
        <w:pStyle w:val="Heading1"/>
        <w:spacing w:after="160" w:before="360"/>
      </w:pPr>
      <w:r>
        <w:t xml:space="preserve">5. Delivery Format, CRS, and Units</w:t>
      </w:r>
    </w:p>
    <w:p>
      <w:pPr>
        <w:spacing w:after="120" w:line="300"/>
      </w:pPr>
      <w:r>
        <w:t xml:space="preserve">Acceptable delivery formats, in order of preference:</w:t>
      </w:r>
    </w:p>
    <w:p>
      <w:pPr>
        <w:pStyle w:val="ListParagraph"/>
        <w:numPr>
          <w:ilvl w:val="0"/>
          <w:numId w:val="2"/>
        </w:numPr>
        <w:spacing w:after="80"/>
      </w:pPr>
      <w:r>
        <w:rPr>
          <w:b/>
          <w:bCs/>
        </w:rPr>
        <w:t xml:space="preserve">GeoPackage (.gpkg) </w:t>
      </w:r>
      <w:r>
        <w:t xml:space="preserve">— one file per table, or one file with multiple layers.</w:t>
      </w:r>
    </w:p>
    <w:p>
      <w:pPr>
        <w:pStyle w:val="ListParagraph"/>
        <w:numPr>
          <w:ilvl w:val="0"/>
          <w:numId w:val="2"/>
        </w:numPr>
        <w:spacing w:after="80"/>
      </w:pPr>
      <w:r>
        <w:rPr>
          <w:b/>
          <w:bCs/>
        </w:rPr>
        <w:t xml:space="preserve">CSV </w:t>
      </w:r>
      <w:r>
        <w:t xml:space="preserve">with headers, following the four-file template provided alongside this document.</w:t>
      </w:r>
    </w:p>
    <w:p>
      <w:pPr>
        <w:pStyle w:val="ListParagraph"/>
        <w:numPr>
          <w:ilvl w:val="0"/>
          <w:numId w:val="2"/>
        </w:numPr>
        <w:spacing w:after="80"/>
      </w:pPr>
      <w:r>
        <w:rPr>
          <w:b/>
          <w:bCs/>
        </w:rPr>
        <w:t xml:space="preserve">Parquet </w:t>
      </w:r>
      <w:r>
        <w:t xml:space="preserve">if volume is large.</w:t>
      </w:r>
    </w:p>
    <w:p>
      <w:pPr>
        <w:pStyle w:val="ListParagraph"/>
        <w:numPr>
          <w:ilvl w:val="0"/>
          <w:numId w:val="2"/>
        </w:numPr>
        <w:spacing w:after="80"/>
      </w:pPr>
      <w:r>
        <w:rPr>
          <w:b/>
          <w:bCs/>
        </w:rPr>
        <w:t xml:space="preserve">ZIP bundle </w:t>
      </w:r>
      <w:r>
        <w:t xml:space="preserve">containing any of the above plus the schema README.</w:t>
      </w:r>
    </w:p>
    <w:p>
      <w:pPr>
        <w:spacing w:after="120" w:line="300"/>
      </w:pPr>
      <w:r>
        <w:t xml:space="preserve">Coordinate reference system: WGS84 (EPSG:4326). All timestamps UTC. Units as specified per column.</w:t>
      </w:r>
    </w:p>
    <w:p>
      <w:pPr>
        <w:pStyle w:val="Heading2"/>
        <w:spacing w:after="120" w:before="240"/>
      </w:pPr>
      <w:r>
        <w:t xml:space="preserve">5.1 Minimal vs. full delivery</w:t>
      </w:r>
    </w:p>
    <w:p>
      <w:pPr>
        <w:spacing w:after="120" w:line="300"/>
      </w:pPr>
      <w:r>
        <w:t xml:space="preserve">If a full delivery is not feasible, the minimum useful subset is:</w:t>
      </w:r>
    </w:p>
    <w:p>
      <w:pPr>
        <w:pStyle w:val="ListParagraph"/>
        <w:numPr>
          <w:ilvl w:val="0"/>
          <w:numId w:val="2"/>
        </w:numPr>
        <w:spacing w:after="80"/>
      </w:pPr>
      <w:r>
        <w:t xml:space="preserve">03_detections.csv with all required columns.</w:t>
      </w:r>
    </w:p>
    <w:p>
      <w:pPr>
        <w:pStyle w:val="ListParagraph"/>
        <w:numPr>
          <w:ilvl w:val="0"/>
          <w:numId w:val="2"/>
        </w:numPr>
        <w:spacing w:after="80"/>
      </w:pPr>
      <w:r>
        <w:t xml:space="preserve">01_surveys.csv with all required columns, one row per survey.</w:t>
      </w:r>
    </w:p>
    <w:p>
      <w:pPr>
        <w:pStyle w:val="ListParagraph"/>
        <w:numPr>
          <w:ilvl w:val="0"/>
          <w:numId w:val="2"/>
        </w:numPr>
        <w:spacing w:after="80"/>
      </w:pPr>
      <w:r>
        <w:t xml:space="preserve">02_site_passes.csv with at least site_id, survey_id, plume_detected, lat, lon.</w:t>
      </w:r>
    </w:p>
    <w:p>
      <w:pPr>
        <w:spacing w:after="120" w:line="300"/>
      </w:pPr>
      <w:r>
        <w:rPr>
          <w:i/>
          <w:iCs/>
        </w:rPr>
        <w:t xml:space="preserve">Without 02_site_passes.csv, unbiased well-level emission rates cannot be computed </w:t>
      </w:r>
      <w:r>
        <w:rPr>
          <w:i/>
          <w:iCs/>
        </w:rPr>
        <w:t xml:space="preserve">— only an upper-tail catalog.</w:t>
      </w:r>
    </w:p>
    <w:p>
      <w:pPr>
        <w:pStyle w:val="Heading1"/>
        <w:spacing w:after="160" w:before="360"/>
      </w:pPr>
      <w:r>
        <w:t xml:space="preserve">6. Data Use, Confidentiality, and Publication</w:t>
      </w:r>
    </w:p>
    <w:p>
      <w:pPr>
        <w:spacing w:after="120" w:line="300"/>
      </w:pPr>
      <w:r>
        <w:t xml:space="preserve">We will treat the Bridger dataset under the terms of a mutually agreed data-use agreement. Our intended uses are:</w:t>
      </w:r>
    </w:p>
    <w:p>
      <w:pPr>
        <w:pStyle w:val="ListParagraph"/>
        <w:numPr>
          <w:ilvl w:val="0"/>
          <w:numId w:val="2"/>
        </w:numPr>
        <w:spacing w:after="80"/>
      </w:pPr>
      <w:r>
        <w:t xml:space="preserve">Internal analysis combining Bridger aerial observations with our 400-well ground measurement campaign.</w:t>
      </w:r>
    </w:p>
    <w:p>
      <w:pPr>
        <w:pStyle w:val="ListParagraph"/>
        <w:numPr>
          <w:ilvl w:val="0"/>
          <w:numId w:val="2"/>
        </w:numPr>
        <w:spacing w:after="80"/>
      </w:pPr>
      <w:r>
        <w:t xml:space="preserve">Aggregate, basin-level statistical analysis (emission distributions, POD-corrected inventories).</w:t>
      </w:r>
    </w:p>
    <w:p>
      <w:pPr>
        <w:pStyle w:val="ListParagraph"/>
        <w:numPr>
          <w:ilvl w:val="0"/>
          <w:numId w:val="2"/>
        </w:numPr>
        <w:spacing w:after="80"/>
      </w:pPr>
      <w:r>
        <w:t xml:space="preserve">Peer-reviewed publication of aggregate results, with Bridger acknowledged as the data source and with any site-level or operator-level identifiers suppressed per Bridger’s requirements.</w:t>
      </w:r>
    </w:p>
    <w:p>
      <w:pPr>
        <w:spacing w:after="120" w:line="300"/>
      </w:pPr>
      <w:r>
        <w:t xml:space="preserve">We are happy to accept constraints on operator identifiability, redaction of specific API numbers, or other confidentiality conditions. The core scientific requirement is preservation of the statistical structure (per-pass detections and non-detections with their associated POD conditions), not the identity of specific operators.</w:t>
      </w:r>
    </w:p>
    <w:p>
      <w:pPr>
        <w:pStyle w:val="Heading1"/>
        <w:spacing w:after="160" w:before="360"/>
      </w:pPr>
      <w:r>
        <w:t xml:space="preserve">7. Timeline and Points of Contact</w:t>
      </w:r>
    </w:p>
    <w:p>
      <w:pPr>
        <w:pStyle w:val="Heading2"/>
        <w:spacing w:after="120" w:before="240"/>
      </w:pPr>
      <w:r>
        <w:t xml:space="preserve">7.1 Proposed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Milestone</w:t>
            </w:r>
          </w:p>
        </w:tc>
        <w:tc>
          <w:tcPr>
            <w:tcW w:type="dxa" w:w="39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pPr>
            <w:r>
              <w:rPr>
                <w:b/>
                <w:bCs/>
                <w:color w:val="FFFFFF"/>
              </w:rPr>
              <w:t xml:space="preserve">Target</w:t>
            </w:r>
          </w:p>
        </w:tc>
      </w:tr>
      <w:tr>
        <w:tc>
          <w:tcPr>
            <w:tcW w:type="dxa" w:w="5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Initial data-scope discussion with Bridger</w:t>
            </w:r>
          </w:p>
        </w:tc>
        <w:tc>
          <w:tcPr>
            <w:tcW w:type="dxa" w:w="3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[REPLACE]</w:t>
            </w:r>
          </w:p>
        </w:tc>
      </w:tr>
      <w:t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Data-use agreement in place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[REPLACE]</w:t>
            </w:r>
          </w:p>
        </w:tc>
      </w:tr>
      <w:tr>
        <w:tc>
          <w:tcPr>
            <w:tcW w:type="dxa" w:w="5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First delivery (one basin / one survey, pilot)</w:t>
            </w:r>
          </w:p>
        </w:tc>
        <w:tc>
          <w:tcPr>
            <w:tcW w:type="dxa" w:w="3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[REPLACE]</w:t>
            </w:r>
          </w:p>
        </w:tc>
      </w:tr>
      <w:tr>
        <w:tc>
          <w:tcPr>
            <w:tcW w:type="dxa" w:w="5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Full delivery across PA + NM basins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b w:val="false"/>
                <w:bCs w:val="false"/>
                <w:color w:val="auto"/>
              </w:rPr>
              <w:t xml:space="preserve">[REPLACE]</w:t>
            </w:r>
          </w:p>
        </w:tc>
      </w:tr>
      <w:tr>
        <w:tc>
          <w:tcPr>
            <w:tcW w:type="dxa" w:w="54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Integrated analysis draft</w:t>
            </w:r>
          </w:p>
        </w:tc>
        <w:tc>
          <w:tcPr>
            <w:tcW w:type="dxa" w:w="396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spacing w:after="0"/>
            </w:pPr>
            <w:r>
              <w:rPr>
                <w:b w:val="false"/>
                <w:bCs w:val="false"/>
                <w:color w:val="auto"/>
              </w:rPr>
              <w:t xml:space="preserve">[REPLACE]</w:t>
            </w:r>
          </w:p>
        </w:tc>
      </w:tr>
    </w:tbl>
    <w:p>
      <w:pPr>
        <w:pStyle w:val="Heading2"/>
        <w:spacing w:after="120" w:before="240"/>
      </w:pPr>
      <w:r>
        <w:t xml:space="preserve">7.2 Contacts</w:t>
      </w:r>
    </w:p>
    <w:p>
      <w:pPr>
        <w:spacing w:after="120" w:line="300"/>
      </w:pPr>
      <w:r>
        <w:t xml:space="preserve">Principal Investigator: [REPLACE: NAME, TITLE, INSTITUTION]</w:t>
      </w:r>
    </w:p>
    <w:p>
      <w:pPr>
        <w:spacing w:after="120" w:line="300"/>
      </w:pPr>
      <w:r>
        <w:t xml:space="preserve">Email: [REPLACE]</w:t>
      </w:r>
    </w:p>
    <w:p>
      <w:pPr>
        <w:spacing w:after="120" w:line="300"/>
      </w:pPr>
      <w:r>
        <w:t xml:space="preserve">Phone: [REPLACE]</w:t>
      </w:r>
    </w:p>
    <w:p>
      <w:pPr>
        <w:spacing w:after="120" w:line="300"/>
      </w:pPr>
      <w:r>
        <w:t xml:space="preserve">Data lead / technical contact: [REPLACE: NAME]</w:t>
      </w:r>
    </w:p>
    <w:p>
      <w:pPr>
        <w:spacing w:after="120" w:line="300"/>
      </w:pPr>
      <w:r>
        <w:t xml:space="preserve">Email: [REPLACE]</w:t>
      </w:r>
    </w:p>
    <w:p>
      <w:pPr>
        <w:pStyle w:val="Heading1"/>
        <w:spacing w:after="160" w:before="360"/>
      </w:pPr>
      <w:r>
        <w:t xml:space="preserve">Appendix A. FEAST Ingestion of This Template</w:t>
      </w:r>
    </w:p>
    <w:p>
      <w:pPr>
        <w:spacing w:after="120" w:line="300"/>
      </w:pPr>
      <w:r>
        <w:t xml:space="preserve">The template above maps directly onto a FEAST Path B ingestion module. Per-survey rows populate the POD instrument configuration (GCN, wind, MDL, POD model version). Per-site-pass rows populate a per-pass detection/non-detection outcome on a per-site basis, which is compared against the FEAST site-level emission prior (EIME for Marcellus, analogous basin-specific priors for San Juan and Permian). Per-detection rows provide the observed emission-rate distribution used to validate the high tail and to cross-check component-level model assumptions. Well metadata is used for stratification by production, age, and GOR to match the ground-measurement sampling frame.</w:t>
      </w:r>
    </w:p>
    <w:p>
      <w:pPr>
        <w:spacing w:after="120" w:line="300"/>
      </w:pPr>
      <w:r>
        <w:t xml:space="preserve">An accompanying Python module will be provided to operators on request; it reads the four-file template (CSV or GeoPackage) into FEAST objects with schema validation and runs the basin-level POD correction.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95959"/>
        <w:sz w:val="18"/>
        <w:szCs w:val="18"/>
      </w:rPr>
      <w:t xml:space="preserve">FEAST / Marginal Wells Research</w:t>
    </w:r>
    <w:r>
      <w:rPr>
        <w:color w:val="595959"/>
        <w:sz w:val="18"/>
        <w:szCs w:val="18"/>
      </w:rPr>
      <w:t xml:space="preserve">	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360"/>
      </w:tabs>
    </w:pPr>
    <w:r>
      <w:rPr>
        <w:b/>
        <w:bCs/>
        <w:color w:val="1F4E79"/>
        <w:sz w:val="20"/>
        <w:szCs w:val="20"/>
      </w:rPr>
      <w:t xml:space="preserve">Bridger Data Request</w:t>
    </w:r>
    <w:r>
      <w:rPr>
        <w:color w:val="595959"/>
        <w:sz w:val="20"/>
        <w:szCs w:val="20"/>
      </w:rPr>
      <w:t xml:space="preserve">	PA Marcellus · NM San Juan · NM Permian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160"/>
      <w:outlineLvl w:val="2"/>
    </w:pPr>
    <w:rPr>
      <w:rFonts w:ascii="Arial" w:cs="Arial" w:eastAsia="Arial" w:hAnsi="Arial"/>
      <w:b/>
      <w:bCs/>
      <w:i/>
      <w:i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Bridger Data Request — PA/NM Marginal Wells</dc:title>
  <dc:creator>FEAST research team</dc:creator>
  <dc:description>Formal data request for aerial methane survey data across PA Marcellus, NM San Juan, and NM Permian marginal wells.</dc:description>
  <cp:lastModifiedBy>Un-named</cp:lastModifiedBy>
  <cp:revision>1</cp:revision>
  <dcterms:created xsi:type="dcterms:W3CDTF">2026-04-24T01:08:44.633Z</dcterms:created>
  <dcterms:modified xsi:type="dcterms:W3CDTF">2026-04-24T01:08:44.634Z</dcterms:modified>
</cp:coreProperties>
</file>

<file path=docProps/custom.xml><?xml version="1.0" encoding="utf-8"?>
<Properties xmlns="http://schemas.openxmlformats.org/officeDocument/2006/custom-properties" xmlns:vt="http://schemas.openxmlformats.org/officeDocument/2006/docPropsVTypes"/>
</file>