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2FDBF" w14:textId="43A4A702" w:rsidR="00EB193C" w:rsidRPr="008A6543" w:rsidRDefault="00EB193C" w:rsidP="00EB193C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32"/>
          <w:szCs w:val="32"/>
        </w:rPr>
      </w:pPr>
      <w:r w:rsidRPr="008A6543">
        <w:rPr>
          <w:rFonts w:cs="Times New Roman"/>
          <w:b/>
          <w:bCs/>
          <w:sz w:val="32"/>
          <w:szCs w:val="32"/>
        </w:rPr>
        <w:t xml:space="preserve">Supplementary </w:t>
      </w:r>
      <w:r w:rsidR="00982DCC">
        <w:rPr>
          <w:rFonts w:cs="Times New Roman"/>
          <w:b/>
          <w:bCs/>
          <w:sz w:val="32"/>
          <w:szCs w:val="32"/>
        </w:rPr>
        <w:t>Information</w:t>
      </w:r>
      <w:r w:rsidRPr="008A6543">
        <w:rPr>
          <w:rFonts w:cs="Times New Roman"/>
          <w:b/>
          <w:bCs/>
          <w:sz w:val="32"/>
          <w:szCs w:val="32"/>
        </w:rPr>
        <w:t xml:space="preserve"> for</w:t>
      </w:r>
    </w:p>
    <w:p w14:paraId="27FD8CDD" w14:textId="77777777" w:rsidR="00EB193C" w:rsidRDefault="00EB193C" w:rsidP="00EB193C">
      <w:pPr>
        <w:rPr>
          <w:rFonts w:cs="Times New Roman"/>
          <w:b/>
          <w:bCs/>
          <w:sz w:val="32"/>
          <w:szCs w:val="32"/>
        </w:rPr>
      </w:pPr>
      <w:bookmarkStart w:id="0" w:name="_Hlk26365738"/>
      <w:r>
        <w:rPr>
          <w:rFonts w:cs="Times New Roman"/>
          <w:b/>
          <w:bCs/>
          <w:sz w:val="32"/>
          <w:szCs w:val="32"/>
        </w:rPr>
        <w:t>Exposure to Unconventional Oil and Gas Development and All-cause Mortality in Medicare Beneficiaries</w:t>
      </w:r>
    </w:p>
    <w:bookmarkEnd w:id="0"/>
    <w:p w14:paraId="4511B328" w14:textId="41B2A9BE" w:rsidR="00EB193C" w:rsidRPr="00B226AD" w:rsidRDefault="00EB193C" w:rsidP="00EB193C">
      <w:pPr>
        <w:rPr>
          <w:rFonts w:cs="Times New Roman"/>
          <w:szCs w:val="24"/>
        </w:rPr>
      </w:pPr>
      <w:r w:rsidRPr="00B226AD">
        <w:rPr>
          <w:rFonts w:cs="Times New Roman"/>
          <w:szCs w:val="24"/>
        </w:rPr>
        <w:t xml:space="preserve">Longxiang Li, </w:t>
      </w:r>
      <w:r w:rsidR="007E4471">
        <w:rPr>
          <w:rFonts w:cs="Times New Roman"/>
          <w:szCs w:val="24"/>
        </w:rPr>
        <w:t>Sc.D</w:t>
      </w:r>
      <w:r w:rsidRPr="00B226AD">
        <w:rPr>
          <w:rFonts w:cs="Times New Roman"/>
          <w:szCs w:val="24"/>
        </w:rPr>
        <w:t>., Francesca Dominici, Ph.D., Annelise J. Blomberg, Sc.D.,</w:t>
      </w:r>
      <w:r w:rsidR="00FF12CC" w:rsidRPr="00FF12CC">
        <w:t xml:space="preserve"> </w:t>
      </w:r>
      <w:r w:rsidR="00FF12CC" w:rsidRPr="00FF12CC">
        <w:rPr>
          <w:rFonts w:cs="Times New Roman"/>
          <w:szCs w:val="24"/>
        </w:rPr>
        <w:t>Falco J. Bargagli</w:t>
      </w:r>
      <w:r w:rsidR="00B02D56">
        <w:rPr>
          <w:rFonts w:cs="Times New Roman"/>
          <w:szCs w:val="24"/>
        </w:rPr>
        <w:t>-</w:t>
      </w:r>
      <w:r w:rsidR="00FF12CC" w:rsidRPr="00FF12CC">
        <w:rPr>
          <w:rFonts w:cs="Times New Roman"/>
          <w:szCs w:val="24"/>
        </w:rPr>
        <w:t>Stoffi</w:t>
      </w:r>
      <w:r w:rsidR="00FF12CC">
        <w:rPr>
          <w:rFonts w:cs="Times New Roman"/>
          <w:szCs w:val="24"/>
        </w:rPr>
        <w:t>, Ph.D.</w:t>
      </w:r>
      <w:r w:rsidRPr="00B226AD">
        <w:rPr>
          <w:rFonts w:cs="Times New Roman"/>
          <w:szCs w:val="24"/>
        </w:rPr>
        <w:t xml:space="preserve"> Joel D. Schwartz, Ph.D., Brent A. Coull, Ph.D., John D. Spengler, Ph.D., Yaguang Wei, </w:t>
      </w:r>
      <w:r w:rsidR="00A53792">
        <w:rPr>
          <w:rFonts w:cs="Times New Roman"/>
          <w:szCs w:val="24"/>
        </w:rPr>
        <w:t>P</w:t>
      </w:r>
      <w:r w:rsidR="002E7CF7">
        <w:rPr>
          <w:rFonts w:cs="Times New Roman"/>
          <w:szCs w:val="24"/>
        </w:rPr>
        <w:t>h.D</w:t>
      </w:r>
      <w:r w:rsidRPr="00B226AD">
        <w:rPr>
          <w:rFonts w:cs="Times New Roman"/>
          <w:szCs w:val="24"/>
        </w:rPr>
        <w:t xml:space="preserve">., </w:t>
      </w:r>
      <w:r>
        <w:rPr>
          <w:rFonts w:cs="Times New Roman"/>
          <w:szCs w:val="24"/>
        </w:rPr>
        <w:t xml:space="preserve">Joy Lawrence, Ph.D., </w:t>
      </w:r>
      <w:r w:rsidRPr="00B226AD">
        <w:rPr>
          <w:rFonts w:cs="Times New Roman"/>
          <w:szCs w:val="24"/>
        </w:rPr>
        <w:t>Petros Koutrakis, Ph.D.</w:t>
      </w:r>
    </w:p>
    <w:p w14:paraId="5312DA33" w14:textId="77777777" w:rsidR="00EB193C" w:rsidRPr="00B226AD" w:rsidRDefault="00EB193C" w:rsidP="00EB193C">
      <w:pPr>
        <w:rPr>
          <w:rFonts w:cs="Times New Roman"/>
          <w:szCs w:val="24"/>
        </w:rPr>
      </w:pPr>
      <w:r w:rsidRPr="00B226AD">
        <w:rPr>
          <w:rFonts w:cs="Times New Roman"/>
          <w:szCs w:val="24"/>
        </w:rPr>
        <w:t>Affiliations:</w:t>
      </w:r>
    </w:p>
    <w:p w14:paraId="1549BA1C" w14:textId="34DB8C59" w:rsidR="00EB193C" w:rsidRDefault="00EB193C" w:rsidP="00EB193C">
      <w:pPr>
        <w:rPr>
          <w:rFonts w:cs="Times New Roman"/>
          <w:szCs w:val="24"/>
        </w:rPr>
      </w:pPr>
      <w:r w:rsidRPr="00B226AD">
        <w:rPr>
          <w:rFonts w:cs="Times New Roman"/>
          <w:szCs w:val="24"/>
        </w:rPr>
        <w:t xml:space="preserve">From </w:t>
      </w:r>
      <w:r w:rsidR="00167FDD">
        <w:rPr>
          <w:rFonts w:cs="Times New Roman"/>
          <w:szCs w:val="24"/>
        </w:rPr>
        <w:t xml:space="preserve">the </w:t>
      </w:r>
      <w:r w:rsidRPr="00B226AD">
        <w:rPr>
          <w:rFonts w:cs="Times New Roman"/>
          <w:szCs w:val="24"/>
        </w:rPr>
        <w:t xml:space="preserve">Department of Environmental Health (L.L, A.J.B, John D. Spengler, Joel D. Schwartz, </w:t>
      </w:r>
      <w:r>
        <w:rPr>
          <w:rFonts w:cs="Times New Roman"/>
          <w:szCs w:val="24"/>
        </w:rPr>
        <w:t xml:space="preserve">B.A.C, </w:t>
      </w:r>
      <w:r w:rsidRPr="00B226AD">
        <w:rPr>
          <w:rFonts w:cs="Times New Roman"/>
          <w:szCs w:val="24"/>
        </w:rPr>
        <w:t xml:space="preserve">W.Y, </w:t>
      </w:r>
      <w:r>
        <w:rPr>
          <w:rFonts w:cs="Times New Roman"/>
          <w:szCs w:val="24"/>
        </w:rPr>
        <w:t xml:space="preserve">J.L, </w:t>
      </w:r>
      <w:r w:rsidRPr="00B226AD">
        <w:rPr>
          <w:rFonts w:cs="Times New Roman"/>
          <w:szCs w:val="24"/>
        </w:rPr>
        <w:t xml:space="preserve">P.K) and Biostatistics (F.D, </w:t>
      </w:r>
      <w:r w:rsidR="00657336">
        <w:rPr>
          <w:rFonts w:cs="Times New Roman"/>
          <w:szCs w:val="24"/>
        </w:rPr>
        <w:t xml:space="preserve">F.B.S, </w:t>
      </w:r>
      <w:r w:rsidRPr="00B226AD">
        <w:rPr>
          <w:rFonts w:cs="Times New Roman"/>
          <w:szCs w:val="24"/>
        </w:rPr>
        <w:t>B.A.C), Harvard T.H Chan School of Public Health, Boston. Address reprint request</w:t>
      </w:r>
      <w:r w:rsidR="00167FDD">
        <w:rPr>
          <w:rFonts w:cs="Times New Roman"/>
          <w:szCs w:val="24"/>
        </w:rPr>
        <w:t>s</w:t>
      </w:r>
      <w:r w:rsidRPr="00B226AD">
        <w:rPr>
          <w:rFonts w:cs="Times New Roman"/>
          <w:szCs w:val="24"/>
        </w:rPr>
        <w:t xml:space="preserve"> to </w:t>
      </w:r>
      <w:r w:rsidR="00AA6200">
        <w:rPr>
          <w:rFonts w:cs="Times New Roman"/>
          <w:szCs w:val="24"/>
        </w:rPr>
        <w:t>D</w:t>
      </w:r>
      <w:r>
        <w:rPr>
          <w:rFonts w:cs="Times New Roman"/>
          <w:szCs w:val="24"/>
        </w:rPr>
        <w:t xml:space="preserve">r. Longxiang Li </w:t>
      </w:r>
      <w:r w:rsidRPr="00B226AD">
        <w:rPr>
          <w:rFonts w:cs="Times New Roman"/>
          <w:szCs w:val="24"/>
        </w:rPr>
        <w:t xml:space="preserve">at Harvard T.H Chan School of Public Health, Department of Environmental Health, 401 Park Drive, Landmark Center Room 410, Boston, MA 02115 or at </w:t>
      </w:r>
      <w:hyperlink r:id="rId7" w:history="1">
        <w:r w:rsidRPr="0084323E">
          <w:rPr>
            <w:rStyle w:val="Hyperlink"/>
            <w:rFonts w:cs="Times New Roman"/>
            <w:szCs w:val="24"/>
          </w:rPr>
          <w:t>lol087@hsph.harvard.edu</w:t>
        </w:r>
      </w:hyperlink>
      <w:r w:rsidRPr="00B226AD">
        <w:rPr>
          <w:rFonts w:cs="Times New Roman"/>
          <w:szCs w:val="24"/>
        </w:rPr>
        <w:t>.</w:t>
      </w:r>
    </w:p>
    <w:p w14:paraId="48758702" w14:textId="77777777" w:rsidR="00EB193C" w:rsidRDefault="00EB193C" w:rsidP="00EB193C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9C89BEF" w14:textId="2EDD32EE" w:rsidR="00101EEC" w:rsidRDefault="00101EEC" w:rsidP="0060626A">
      <w:pPr>
        <w:pStyle w:val="Heading1"/>
      </w:pPr>
      <w:r>
        <w:lastRenderedPageBreak/>
        <w:t xml:space="preserve">Supplementary </w:t>
      </w:r>
      <w:r w:rsidR="006D7FD4">
        <w:t>Figures</w:t>
      </w:r>
    </w:p>
    <w:p w14:paraId="159EE064" w14:textId="77777777" w:rsidR="0071597B" w:rsidRDefault="0071597B" w:rsidP="0071597B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6AB13FC" wp14:editId="668758C3">
            <wp:extent cx="4642744" cy="6347460"/>
            <wp:effectExtent l="0" t="0" r="5715" b="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5"/>
                    <a:stretch/>
                  </pic:blipFill>
                  <pic:spPr bwMode="auto">
                    <a:xfrm>
                      <a:off x="0" y="0"/>
                      <a:ext cx="4653385" cy="636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FDE86" w14:textId="72F13197" w:rsidR="00B816D8" w:rsidRDefault="0071597B" w:rsidP="00B816D8">
      <w:pPr>
        <w:rPr>
          <w:noProof/>
        </w:rPr>
      </w:pPr>
      <w:r w:rsidRPr="002E0F2B">
        <w:rPr>
          <w:b/>
          <w:bCs/>
        </w:rPr>
        <w:t xml:space="preserve">Figure </w:t>
      </w:r>
      <w:r>
        <w:rPr>
          <w:b/>
          <w:bCs/>
        </w:rPr>
        <w:t>1</w:t>
      </w:r>
      <w:r w:rsidRPr="002E0F2B">
        <w:rPr>
          <w:b/>
          <w:bCs/>
        </w:rPr>
        <w:t>.</w:t>
      </w:r>
      <w:r>
        <w:t xml:space="preserve"> </w:t>
      </w:r>
      <w:r>
        <w:rPr>
          <w:noProof/>
        </w:rPr>
        <w:t>C</w:t>
      </w:r>
      <w:r w:rsidRPr="00A835A9">
        <w:rPr>
          <w:noProof/>
        </w:rPr>
        <w:t xml:space="preserve">omparison </w:t>
      </w:r>
      <w:r>
        <w:rPr>
          <w:noProof/>
        </w:rPr>
        <w:t>of</w:t>
      </w:r>
      <w:r w:rsidRPr="00A835A9">
        <w:rPr>
          <w:noProof/>
        </w:rPr>
        <w:t xml:space="preserve"> </w:t>
      </w:r>
      <w:r w:rsidR="00E52A31">
        <w:rPr>
          <w:noProof/>
        </w:rPr>
        <w:t>proximity-basee exposure</w:t>
      </w:r>
      <w:r w:rsidRPr="00A835A9">
        <w:rPr>
          <w:noProof/>
        </w:rPr>
        <w:t xml:space="preserve"> to UOGD </w:t>
      </w:r>
      <w:r>
        <w:rPr>
          <w:noProof/>
        </w:rPr>
        <w:t>at</w:t>
      </w:r>
      <w:r w:rsidRPr="00A835A9">
        <w:rPr>
          <w:noProof/>
        </w:rPr>
        <w:t xml:space="preserve"> the beginning (Panel A) and the end (Panel B) of our study period.</w:t>
      </w:r>
      <w:r w:rsidR="009304E6">
        <w:rPr>
          <w:noProof/>
        </w:rPr>
        <w:t xml:space="preserve"> </w:t>
      </w:r>
      <w:r w:rsidR="00BE6331">
        <w:rPr>
          <w:noProof/>
        </w:rPr>
        <w:t xml:space="preserve">The color in two panels indicates </w:t>
      </w:r>
      <w:r w:rsidR="004F5957">
        <w:rPr>
          <w:noProof/>
        </w:rPr>
        <w:t xml:space="preserve">ZIP Code-level exposure. </w:t>
      </w:r>
      <w:r w:rsidR="009304E6">
        <w:rPr>
          <w:noProof/>
        </w:rPr>
        <w:t xml:space="preserve">Wind vectors are created based on the annual average wind </w:t>
      </w:r>
      <w:r w:rsidR="003C7E63">
        <w:rPr>
          <w:noProof/>
        </w:rPr>
        <w:t>velocity and direction.</w:t>
      </w:r>
      <w:r w:rsidR="00B816D8">
        <w:rPr>
          <w:noProof/>
        </w:rPr>
        <w:br w:type="page"/>
      </w:r>
    </w:p>
    <w:p w14:paraId="64C5C7B6" w14:textId="183C24E3" w:rsidR="00DE2B7B" w:rsidRDefault="00DE2B7B" w:rsidP="00B816D8">
      <w:pPr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0F080BD4" wp14:editId="7A49EFBD">
            <wp:extent cx="5345544" cy="7330440"/>
            <wp:effectExtent l="0" t="0" r="7620" b="3810"/>
            <wp:docPr id="9" name="Picture 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_S5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0" b="1960"/>
                    <a:stretch/>
                  </pic:blipFill>
                  <pic:spPr bwMode="auto">
                    <a:xfrm>
                      <a:off x="0" y="0"/>
                      <a:ext cx="5386356" cy="738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3C5C2" w14:textId="42A387CC" w:rsidR="00B816D8" w:rsidRDefault="00DE2B7B" w:rsidP="00B816D8">
      <w:pPr>
        <w:rPr>
          <w:noProof/>
        </w:rPr>
      </w:pPr>
      <w:r>
        <w:rPr>
          <w:b/>
          <w:bCs/>
          <w:noProof/>
        </w:rPr>
        <w:t xml:space="preserve">Figure 2. </w:t>
      </w:r>
      <w:r w:rsidRPr="00A835A9">
        <w:rPr>
          <w:noProof/>
        </w:rPr>
        <w:t>Results of the subgroup analys</w:t>
      </w:r>
      <w:r>
        <w:rPr>
          <w:noProof/>
        </w:rPr>
        <w:t>e</w:t>
      </w:r>
      <w:r w:rsidRPr="00A835A9">
        <w:rPr>
          <w:noProof/>
        </w:rPr>
        <w:t xml:space="preserve">s </w:t>
      </w:r>
      <w:r>
        <w:rPr>
          <w:noProof/>
        </w:rPr>
        <w:t>using</w:t>
      </w:r>
      <w:r w:rsidRPr="00A835A9">
        <w:rPr>
          <w:noProof/>
        </w:rPr>
        <w:t xml:space="preserve"> both </w:t>
      </w:r>
      <w:r>
        <w:rPr>
          <w:noProof/>
        </w:rPr>
        <w:t xml:space="preserve">Cox proportional hazards </w:t>
      </w:r>
      <w:r w:rsidRPr="00A835A9">
        <w:rPr>
          <w:noProof/>
        </w:rPr>
        <w:t>models.</w:t>
      </w:r>
      <w:r>
        <w:rPr>
          <w:noProof/>
        </w:rPr>
        <w:t xml:space="preserve"> The centerpoints represent the point estimations and the bars represent the 95% confidence intervals.</w:t>
      </w:r>
      <w:r w:rsidR="00B816D8">
        <w:rPr>
          <w:noProof/>
        </w:rPr>
        <w:br w:type="page"/>
      </w:r>
    </w:p>
    <w:p w14:paraId="450CE21D" w14:textId="044087BB" w:rsidR="00954253" w:rsidRDefault="00954253" w:rsidP="00B816D8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67E67E2" wp14:editId="2489825A">
            <wp:simplePos x="0" y="0"/>
            <wp:positionH relativeFrom="column">
              <wp:posOffset>1191260</wp:posOffset>
            </wp:positionH>
            <wp:positionV relativeFrom="paragraph">
              <wp:posOffset>114300</wp:posOffset>
            </wp:positionV>
            <wp:extent cx="2224087" cy="1217214"/>
            <wp:effectExtent l="19050" t="19050" r="24130" b="21590"/>
            <wp:wrapNone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087" cy="12172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D69B70F" wp14:editId="5BA0A6CB">
            <wp:extent cx="4600310" cy="2857500"/>
            <wp:effectExtent l="19050" t="19050" r="10160" b="1905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9611" cy="28632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964847" w14:textId="2550DDC2" w:rsidR="006A58BF" w:rsidRDefault="00954253" w:rsidP="00FF2A78">
      <w:pPr>
        <w:spacing w:line="360" w:lineRule="auto"/>
        <w:rPr>
          <w:noProof/>
        </w:rPr>
      </w:pPr>
      <w:r>
        <w:rPr>
          <w:b/>
          <w:bCs/>
          <w:noProof/>
        </w:rPr>
        <w:t xml:space="preserve">Figure 3. </w:t>
      </w:r>
      <w:r w:rsidRPr="00790A1A">
        <w:rPr>
          <w:noProof/>
        </w:rPr>
        <w:t>The estimated risk of mortality associated with each category of PE to UOGD according to the sensitivity an</w:t>
      </w:r>
      <w:r>
        <w:rPr>
          <w:noProof/>
        </w:rPr>
        <w:t>a</w:t>
      </w:r>
      <w:r w:rsidRPr="00790A1A">
        <w:rPr>
          <w:noProof/>
        </w:rPr>
        <w:t>lysis of Model I. Bold black cross</w:t>
      </w:r>
      <w:r>
        <w:rPr>
          <w:noProof/>
        </w:rPr>
        <w:t>es</w:t>
      </w:r>
      <w:r w:rsidRPr="00790A1A">
        <w:rPr>
          <w:noProof/>
        </w:rPr>
        <w:t xml:space="preserve"> indicate results </w:t>
      </w:r>
      <w:r>
        <w:rPr>
          <w:noProof/>
        </w:rPr>
        <w:t>using the</w:t>
      </w:r>
      <w:r w:rsidRPr="00790A1A">
        <w:rPr>
          <w:noProof/>
        </w:rPr>
        <w:t xml:space="preserve"> original Model I.</w:t>
      </w:r>
      <w:r>
        <w:rPr>
          <w:noProof/>
        </w:rPr>
        <w:t xml:space="preserve"> The centerpoints represent the point estimations and the bars represent the 95% confidence intervals.</w:t>
      </w:r>
      <w:r w:rsidR="006A58BF">
        <w:rPr>
          <w:noProof/>
        </w:rPr>
        <w:br w:type="page"/>
      </w:r>
    </w:p>
    <w:p w14:paraId="7F5FCADE" w14:textId="77777777" w:rsidR="006A58BF" w:rsidRDefault="006A58BF" w:rsidP="00D026DF">
      <w:pPr>
        <w:spacing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9C7C6CE" wp14:editId="10229C6A">
            <wp:extent cx="5943600" cy="3873500"/>
            <wp:effectExtent l="0" t="0" r="0" b="0"/>
            <wp:docPr id="25" name="Picture 2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e S1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789A" w14:textId="10B4C72A" w:rsidR="00C46358" w:rsidRDefault="006A58BF" w:rsidP="00E33157">
      <w:pPr>
        <w:spacing w:line="360" w:lineRule="auto"/>
        <w:rPr>
          <w:noProof/>
        </w:rPr>
      </w:pPr>
      <w:r>
        <w:rPr>
          <w:b/>
          <w:bCs/>
          <w:noProof/>
        </w:rPr>
        <w:t xml:space="preserve">Figure 4. </w:t>
      </w:r>
      <w:r w:rsidRPr="00790A1A">
        <w:rPr>
          <w:noProof/>
        </w:rPr>
        <w:t>The estimated risk of mortality associated with each category of PE to UOGD according to the sensitivity an</w:t>
      </w:r>
      <w:r>
        <w:rPr>
          <w:noProof/>
        </w:rPr>
        <w:t>a</w:t>
      </w:r>
      <w:r w:rsidRPr="00790A1A">
        <w:rPr>
          <w:noProof/>
        </w:rPr>
        <w:t>lysis. Bold black cross</w:t>
      </w:r>
      <w:r>
        <w:rPr>
          <w:noProof/>
        </w:rPr>
        <w:t>es</w:t>
      </w:r>
      <w:r w:rsidRPr="00790A1A">
        <w:rPr>
          <w:noProof/>
        </w:rPr>
        <w:t xml:space="preserve"> indicate the results of</w:t>
      </w:r>
      <w:r>
        <w:rPr>
          <w:noProof/>
        </w:rPr>
        <w:t xml:space="preserve"> the</w:t>
      </w:r>
      <w:r w:rsidRPr="00790A1A">
        <w:rPr>
          <w:noProof/>
        </w:rPr>
        <w:t xml:space="preserve"> original Model I.</w:t>
      </w:r>
      <w:r>
        <w:rPr>
          <w:noProof/>
        </w:rPr>
        <w:t xml:space="preserve"> The centerpoints represent the point estimations and the bars represent the 95% confidence intervals.</w:t>
      </w:r>
      <w:r w:rsidR="00C46358">
        <w:rPr>
          <w:noProof/>
        </w:rPr>
        <w:br w:type="page"/>
      </w:r>
    </w:p>
    <w:p w14:paraId="7355EB99" w14:textId="77777777" w:rsidR="00C46358" w:rsidRDefault="00C46358" w:rsidP="00C46358">
      <w:r>
        <w:rPr>
          <w:noProof/>
        </w:rPr>
        <w:lastRenderedPageBreak/>
        <w:drawing>
          <wp:inline distT="0" distB="0" distL="0" distR="0" wp14:anchorId="1AE5ECA0" wp14:editId="01B3779E">
            <wp:extent cx="5943600" cy="1849120"/>
            <wp:effectExtent l="0" t="0" r="0" b="0"/>
            <wp:docPr id="24" name="Picture 2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e_S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DFE1" w14:textId="06AF979A" w:rsidR="00954253" w:rsidRPr="00EB5C39" w:rsidRDefault="00C46358" w:rsidP="0068494C">
      <w:pPr>
        <w:rPr>
          <w:noProof/>
        </w:rPr>
      </w:pPr>
      <w:r w:rsidRPr="003F01AC">
        <w:rPr>
          <w:b/>
          <w:bCs/>
        </w:rPr>
        <w:t xml:space="preserve">Figure </w:t>
      </w:r>
      <w:r>
        <w:rPr>
          <w:b/>
          <w:bCs/>
        </w:rPr>
        <w:t>5</w:t>
      </w:r>
      <w:r w:rsidRPr="003F01AC">
        <w:rPr>
          <w:b/>
          <w:bCs/>
        </w:rPr>
        <w:t>.</w:t>
      </w:r>
      <w:r>
        <w:rPr>
          <w:b/>
          <w:bCs/>
        </w:rPr>
        <w:t xml:space="preserve"> </w:t>
      </w:r>
      <w:r w:rsidRPr="00790A1A">
        <w:rPr>
          <w:noProof/>
        </w:rPr>
        <w:t xml:space="preserve">A comparison between the full models and the basic models in which only individual-level factors are adjusted. Panel A shows the </w:t>
      </w:r>
      <w:r>
        <w:rPr>
          <w:noProof/>
        </w:rPr>
        <w:t>comparison</w:t>
      </w:r>
      <w:r w:rsidRPr="00790A1A">
        <w:rPr>
          <w:noProof/>
        </w:rPr>
        <w:t xml:space="preserve"> of a full Model I and a correpsonding basic Model I </w:t>
      </w:r>
      <w:r>
        <w:rPr>
          <w:noProof/>
        </w:rPr>
        <w:t xml:space="preserve">that does not </w:t>
      </w:r>
      <w:r w:rsidRPr="00790A1A">
        <w:rPr>
          <w:noProof/>
        </w:rPr>
        <w:t xml:space="preserve">adjust for ZIP </w:t>
      </w:r>
      <w:r>
        <w:rPr>
          <w:noProof/>
        </w:rPr>
        <w:t>c</w:t>
      </w:r>
      <w:r w:rsidRPr="00790A1A">
        <w:rPr>
          <w:noProof/>
        </w:rPr>
        <w:t xml:space="preserve">ode-level environmental factors, ZIP </w:t>
      </w:r>
      <w:r>
        <w:rPr>
          <w:noProof/>
        </w:rPr>
        <w:t>c</w:t>
      </w:r>
      <w:r w:rsidRPr="00790A1A">
        <w:rPr>
          <w:noProof/>
        </w:rPr>
        <w:t xml:space="preserve">ode-level </w:t>
      </w:r>
      <w:r>
        <w:rPr>
          <w:noProof/>
        </w:rPr>
        <w:t>socioeconomic</w:t>
      </w:r>
      <w:r w:rsidRPr="00790A1A">
        <w:rPr>
          <w:noProof/>
        </w:rPr>
        <w:t xml:space="preserve"> factor</w:t>
      </w:r>
      <w:r>
        <w:rPr>
          <w:noProof/>
        </w:rPr>
        <w:t>s,</w:t>
      </w:r>
      <w:r w:rsidRPr="00790A1A">
        <w:rPr>
          <w:noProof/>
        </w:rPr>
        <w:t xml:space="preserve"> or county-level behavior</w:t>
      </w:r>
      <w:r>
        <w:rPr>
          <w:noProof/>
        </w:rPr>
        <w:t>al</w:t>
      </w:r>
      <w:r w:rsidRPr="00790A1A">
        <w:rPr>
          <w:noProof/>
        </w:rPr>
        <w:t xml:space="preserve"> risk</w:t>
      </w:r>
      <w:r>
        <w:rPr>
          <w:noProof/>
        </w:rPr>
        <w:t xml:space="preserve"> factors. </w:t>
      </w:r>
      <w:r w:rsidRPr="00790A1A">
        <w:rPr>
          <w:noProof/>
        </w:rPr>
        <w:t xml:space="preserve">Panel B shows the comparison of a full Model II and a basic Model II </w:t>
      </w:r>
      <w:r>
        <w:rPr>
          <w:noProof/>
        </w:rPr>
        <w:t>that does not</w:t>
      </w:r>
      <w:r w:rsidRPr="00790A1A">
        <w:rPr>
          <w:noProof/>
        </w:rPr>
        <w:t xml:space="preserve"> adjust for ZIP </w:t>
      </w:r>
      <w:r>
        <w:rPr>
          <w:noProof/>
        </w:rPr>
        <w:t>c</w:t>
      </w:r>
      <w:r w:rsidRPr="00790A1A">
        <w:rPr>
          <w:noProof/>
        </w:rPr>
        <w:t xml:space="preserve">ode-level environmental factors, ZIP </w:t>
      </w:r>
      <w:r>
        <w:rPr>
          <w:noProof/>
        </w:rPr>
        <w:t>c</w:t>
      </w:r>
      <w:r w:rsidRPr="00790A1A">
        <w:rPr>
          <w:noProof/>
        </w:rPr>
        <w:t xml:space="preserve">ode-level </w:t>
      </w:r>
      <w:r>
        <w:rPr>
          <w:noProof/>
        </w:rPr>
        <w:t>socioeconomic</w:t>
      </w:r>
      <w:r w:rsidRPr="00790A1A">
        <w:rPr>
          <w:noProof/>
        </w:rPr>
        <w:t xml:space="preserve"> factor</w:t>
      </w:r>
      <w:r>
        <w:rPr>
          <w:noProof/>
        </w:rPr>
        <w:t>s,</w:t>
      </w:r>
      <w:r w:rsidRPr="00790A1A">
        <w:rPr>
          <w:noProof/>
        </w:rPr>
        <w:t xml:space="preserve"> or county-level behavior</w:t>
      </w:r>
      <w:r>
        <w:rPr>
          <w:noProof/>
        </w:rPr>
        <w:t>al</w:t>
      </w:r>
      <w:r w:rsidRPr="00790A1A">
        <w:rPr>
          <w:noProof/>
        </w:rPr>
        <w:t xml:space="preserve"> risk</w:t>
      </w:r>
      <w:r>
        <w:rPr>
          <w:noProof/>
        </w:rPr>
        <w:t xml:space="preserve"> factors</w:t>
      </w:r>
      <w:r w:rsidRPr="00790A1A">
        <w:rPr>
          <w:noProof/>
        </w:rPr>
        <w:t>.</w:t>
      </w:r>
      <w:r w:rsidRPr="00EB5C39">
        <w:rPr>
          <w:noProof/>
        </w:rPr>
        <w:t xml:space="preserve"> </w:t>
      </w:r>
      <w:r>
        <w:rPr>
          <w:noProof/>
        </w:rPr>
        <w:t>The centerpoints represent the point estimations and the bars represent the 95% confidence intervals.</w:t>
      </w:r>
      <w:r w:rsidR="00B20BBA">
        <w:rPr>
          <w:noProof/>
        </w:rPr>
        <w:br w:type="page"/>
      </w:r>
    </w:p>
    <w:p w14:paraId="11F2293D" w14:textId="77777777" w:rsidR="00B20BBA" w:rsidRDefault="00B20BBA" w:rsidP="00B20BB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94849A7" wp14:editId="553E4DC1">
            <wp:extent cx="5943600" cy="1818640"/>
            <wp:effectExtent l="0" t="0" r="0" b="0"/>
            <wp:docPr id="23" name="Picture 2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e S7jpg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B994" w14:textId="0AAD7731" w:rsidR="00A424D9" w:rsidRDefault="00B20BBA" w:rsidP="0068494C">
      <w:pPr>
        <w:rPr>
          <w:noProof/>
        </w:rPr>
      </w:pPr>
      <w:r w:rsidRPr="0017117E">
        <w:rPr>
          <w:b/>
          <w:bCs/>
        </w:rPr>
        <w:t xml:space="preserve">Figure </w:t>
      </w:r>
      <w:r w:rsidRPr="002959D2">
        <w:rPr>
          <w:b/>
          <w:bCs/>
        </w:rPr>
        <w:t>6</w:t>
      </w:r>
      <w:r w:rsidRPr="000551BE">
        <w:rPr>
          <w:b/>
          <w:bCs/>
        </w:rPr>
        <w:t>.</w:t>
      </w:r>
      <w:r>
        <w:t xml:space="preserve"> </w:t>
      </w:r>
      <w:r w:rsidRPr="00790A1A">
        <w:rPr>
          <w:noProof/>
        </w:rPr>
        <w:t xml:space="preserve">A comparison between full models and the moderately simplified models </w:t>
      </w:r>
      <w:r>
        <w:rPr>
          <w:noProof/>
        </w:rPr>
        <w:t xml:space="preserve">that are adjusted for </w:t>
      </w:r>
      <w:r w:rsidRPr="00790A1A">
        <w:rPr>
          <w:noProof/>
        </w:rPr>
        <w:t>only individual-level factor</w:t>
      </w:r>
      <w:r>
        <w:rPr>
          <w:noProof/>
        </w:rPr>
        <w:t>s and</w:t>
      </w:r>
      <w:r w:rsidRPr="00790A1A">
        <w:rPr>
          <w:noProof/>
        </w:rPr>
        <w:t xml:space="preserve"> ZIP </w:t>
      </w:r>
      <w:r>
        <w:rPr>
          <w:noProof/>
        </w:rPr>
        <w:t>c</w:t>
      </w:r>
      <w:r w:rsidRPr="00790A1A">
        <w:rPr>
          <w:noProof/>
        </w:rPr>
        <w:t xml:space="preserve">ode-level environmental factors. Panel A shows the </w:t>
      </w:r>
      <w:r>
        <w:rPr>
          <w:noProof/>
        </w:rPr>
        <w:t>comparison</w:t>
      </w:r>
      <w:r w:rsidRPr="00790A1A">
        <w:rPr>
          <w:noProof/>
        </w:rPr>
        <w:t xml:space="preserve"> of a full Model I and a correpsonding moderately simplified Model I without adjusting for ZIP </w:t>
      </w:r>
      <w:r>
        <w:rPr>
          <w:noProof/>
        </w:rPr>
        <w:t>c</w:t>
      </w:r>
      <w:r w:rsidRPr="00790A1A">
        <w:rPr>
          <w:noProof/>
        </w:rPr>
        <w:t xml:space="preserve">ode-level </w:t>
      </w:r>
      <w:r>
        <w:rPr>
          <w:noProof/>
        </w:rPr>
        <w:t>socioeconomic</w:t>
      </w:r>
      <w:r w:rsidRPr="00790A1A">
        <w:rPr>
          <w:noProof/>
        </w:rPr>
        <w:t xml:space="preserve"> factor</w:t>
      </w:r>
      <w:r>
        <w:rPr>
          <w:noProof/>
        </w:rPr>
        <w:t>s</w:t>
      </w:r>
      <w:r w:rsidRPr="00790A1A">
        <w:rPr>
          <w:noProof/>
        </w:rPr>
        <w:t xml:space="preserve"> or county-level behavior</w:t>
      </w:r>
      <w:r>
        <w:rPr>
          <w:noProof/>
        </w:rPr>
        <w:t>al</w:t>
      </w:r>
      <w:r w:rsidRPr="00790A1A">
        <w:rPr>
          <w:noProof/>
        </w:rPr>
        <w:t xml:space="preserve"> risk</w:t>
      </w:r>
      <w:r>
        <w:rPr>
          <w:noProof/>
        </w:rPr>
        <w:t xml:space="preserve"> factors</w:t>
      </w:r>
      <w:r w:rsidRPr="00790A1A">
        <w:rPr>
          <w:noProof/>
        </w:rPr>
        <w:t xml:space="preserve">; Panel B shows the comparison of a full Model II and a </w:t>
      </w:r>
      <w:r>
        <w:rPr>
          <w:noProof/>
        </w:rPr>
        <w:t>corresponding</w:t>
      </w:r>
      <w:r w:rsidRPr="00790A1A">
        <w:rPr>
          <w:noProof/>
        </w:rPr>
        <w:t xml:space="preserve"> lightly modified Model II without adjusting for ZIP </w:t>
      </w:r>
      <w:r>
        <w:rPr>
          <w:noProof/>
        </w:rPr>
        <w:t>c</w:t>
      </w:r>
      <w:r w:rsidRPr="00790A1A">
        <w:rPr>
          <w:noProof/>
        </w:rPr>
        <w:t xml:space="preserve">ode-level </w:t>
      </w:r>
      <w:r>
        <w:rPr>
          <w:noProof/>
        </w:rPr>
        <w:t>socioeconomic</w:t>
      </w:r>
      <w:r w:rsidRPr="00790A1A">
        <w:rPr>
          <w:noProof/>
        </w:rPr>
        <w:t xml:space="preserve"> factor</w:t>
      </w:r>
      <w:r>
        <w:rPr>
          <w:noProof/>
        </w:rPr>
        <w:t>s</w:t>
      </w:r>
      <w:r w:rsidRPr="00790A1A">
        <w:rPr>
          <w:noProof/>
        </w:rPr>
        <w:t xml:space="preserve"> or county-level behavior</w:t>
      </w:r>
      <w:r>
        <w:rPr>
          <w:noProof/>
        </w:rPr>
        <w:t>al</w:t>
      </w:r>
      <w:r w:rsidRPr="00790A1A">
        <w:rPr>
          <w:noProof/>
        </w:rPr>
        <w:t xml:space="preserve"> risk</w:t>
      </w:r>
      <w:r>
        <w:rPr>
          <w:noProof/>
        </w:rPr>
        <w:t xml:space="preserve"> factors</w:t>
      </w:r>
      <w:r w:rsidRPr="00790A1A">
        <w:rPr>
          <w:noProof/>
        </w:rPr>
        <w:t>.</w:t>
      </w:r>
      <w:r>
        <w:rPr>
          <w:noProof/>
        </w:rPr>
        <w:t xml:space="preserve"> The centerpoints represent the point estimations and the bars represent the 95% confidence interval.</w:t>
      </w:r>
      <w:r w:rsidR="00A424D9">
        <w:rPr>
          <w:noProof/>
        </w:rPr>
        <w:br w:type="page"/>
      </w:r>
    </w:p>
    <w:p w14:paraId="1EAA2FF2" w14:textId="77777777" w:rsidR="00A424D9" w:rsidRDefault="00A424D9" w:rsidP="00A424D9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A65AA0E" wp14:editId="7939905C">
            <wp:extent cx="5943600" cy="1804670"/>
            <wp:effectExtent l="0" t="0" r="0" b="508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e S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FDF0" w14:textId="76275C77" w:rsidR="0088477C" w:rsidRDefault="00A424D9" w:rsidP="0068494C">
      <w:pPr>
        <w:rPr>
          <w:noProof/>
        </w:rPr>
      </w:pPr>
      <w:r w:rsidRPr="0017117E">
        <w:rPr>
          <w:b/>
          <w:bCs/>
        </w:rPr>
        <w:t xml:space="preserve">Figure </w:t>
      </w:r>
      <w:r>
        <w:rPr>
          <w:b/>
          <w:bCs/>
        </w:rPr>
        <w:t>7</w:t>
      </w:r>
      <w:r w:rsidRPr="000551BE">
        <w:rPr>
          <w:b/>
          <w:bCs/>
        </w:rPr>
        <w:t>.</w:t>
      </w:r>
      <w:r w:rsidRPr="003419F2">
        <w:rPr>
          <w:i/>
          <w:iCs/>
        </w:rPr>
        <w:t xml:space="preserve"> </w:t>
      </w:r>
      <w:r w:rsidRPr="00790A1A">
        <w:rPr>
          <w:noProof/>
        </w:rPr>
        <w:t xml:space="preserve">A comparison between full models and the </w:t>
      </w:r>
      <w:r>
        <w:rPr>
          <w:noProof/>
        </w:rPr>
        <w:t>s</w:t>
      </w:r>
      <w:r w:rsidRPr="00790A1A">
        <w:rPr>
          <w:noProof/>
        </w:rPr>
        <w:t>lightly simpli</w:t>
      </w:r>
      <w:r>
        <w:rPr>
          <w:noProof/>
        </w:rPr>
        <w:t>fi</w:t>
      </w:r>
      <w:r w:rsidRPr="00790A1A">
        <w:rPr>
          <w:noProof/>
        </w:rPr>
        <w:t xml:space="preserve">ed models </w:t>
      </w:r>
      <w:r>
        <w:rPr>
          <w:noProof/>
        </w:rPr>
        <w:t>adjusted</w:t>
      </w:r>
      <w:r w:rsidRPr="00790A1A">
        <w:rPr>
          <w:noProof/>
        </w:rPr>
        <w:t xml:space="preserve"> only </w:t>
      </w:r>
      <w:r>
        <w:rPr>
          <w:noProof/>
        </w:rPr>
        <w:t xml:space="preserve">for </w:t>
      </w:r>
      <w:r w:rsidRPr="00790A1A">
        <w:rPr>
          <w:noProof/>
        </w:rPr>
        <w:t>individual-level factor</w:t>
      </w:r>
      <w:r>
        <w:rPr>
          <w:noProof/>
        </w:rPr>
        <w:t>s</w:t>
      </w:r>
      <w:r w:rsidRPr="00790A1A">
        <w:rPr>
          <w:noProof/>
        </w:rPr>
        <w:t xml:space="preserve">, ZIP </w:t>
      </w:r>
      <w:r>
        <w:rPr>
          <w:noProof/>
        </w:rPr>
        <w:t>c</w:t>
      </w:r>
      <w:r w:rsidRPr="00790A1A">
        <w:rPr>
          <w:noProof/>
        </w:rPr>
        <w:t>ode-level environmental factor</w:t>
      </w:r>
      <w:r>
        <w:rPr>
          <w:noProof/>
        </w:rPr>
        <w:t>s,</w:t>
      </w:r>
      <w:r w:rsidRPr="00790A1A">
        <w:rPr>
          <w:noProof/>
        </w:rPr>
        <w:t xml:space="preserve"> and </w:t>
      </w:r>
      <w:r>
        <w:rPr>
          <w:noProof/>
        </w:rPr>
        <w:t>socioeconomic</w:t>
      </w:r>
      <w:r w:rsidRPr="00790A1A">
        <w:rPr>
          <w:noProof/>
        </w:rPr>
        <w:t xml:space="preserve"> factor</w:t>
      </w:r>
      <w:r>
        <w:rPr>
          <w:noProof/>
        </w:rPr>
        <w:t>s</w:t>
      </w:r>
      <w:r w:rsidRPr="00790A1A">
        <w:rPr>
          <w:noProof/>
        </w:rPr>
        <w:t xml:space="preserve">. Panel A shows the </w:t>
      </w:r>
      <w:r>
        <w:rPr>
          <w:noProof/>
        </w:rPr>
        <w:t>comparison</w:t>
      </w:r>
      <w:r w:rsidRPr="00790A1A">
        <w:rPr>
          <w:noProof/>
        </w:rPr>
        <w:t xml:space="preserve"> of a full Model I and a correpsonding </w:t>
      </w:r>
      <w:r>
        <w:rPr>
          <w:noProof/>
        </w:rPr>
        <w:t>s</w:t>
      </w:r>
      <w:r w:rsidRPr="00790A1A">
        <w:rPr>
          <w:noProof/>
        </w:rPr>
        <w:t>lightly modified Model I without adjusting for county-level behavior</w:t>
      </w:r>
      <w:r>
        <w:rPr>
          <w:noProof/>
        </w:rPr>
        <w:t>al</w:t>
      </w:r>
      <w:r w:rsidRPr="00790A1A">
        <w:rPr>
          <w:noProof/>
        </w:rPr>
        <w:t xml:space="preserve"> risk</w:t>
      </w:r>
      <w:r>
        <w:rPr>
          <w:noProof/>
        </w:rPr>
        <w:t xml:space="preserve"> factors</w:t>
      </w:r>
      <w:r w:rsidRPr="00790A1A">
        <w:rPr>
          <w:noProof/>
        </w:rPr>
        <w:t xml:space="preserve">; Panel B shows the comparison of a full Model II and a </w:t>
      </w:r>
      <w:r>
        <w:rPr>
          <w:noProof/>
        </w:rPr>
        <w:t>corresponding</w:t>
      </w:r>
      <w:r w:rsidRPr="00790A1A">
        <w:rPr>
          <w:noProof/>
        </w:rPr>
        <w:t xml:space="preserve"> </w:t>
      </w:r>
      <w:r>
        <w:rPr>
          <w:noProof/>
        </w:rPr>
        <w:t>s</w:t>
      </w:r>
      <w:r w:rsidRPr="00790A1A">
        <w:rPr>
          <w:noProof/>
        </w:rPr>
        <w:t>lightly modified Model II without adjusting for county-level behavior</w:t>
      </w:r>
      <w:r>
        <w:rPr>
          <w:noProof/>
        </w:rPr>
        <w:t>al</w:t>
      </w:r>
      <w:r w:rsidRPr="00790A1A">
        <w:rPr>
          <w:noProof/>
        </w:rPr>
        <w:t xml:space="preserve"> risk</w:t>
      </w:r>
      <w:r>
        <w:rPr>
          <w:noProof/>
        </w:rPr>
        <w:t xml:space="preserve"> factors</w:t>
      </w:r>
      <w:r w:rsidRPr="00790A1A">
        <w:rPr>
          <w:noProof/>
        </w:rPr>
        <w:t>.</w:t>
      </w:r>
      <w:r w:rsidRPr="00EB5C39">
        <w:rPr>
          <w:noProof/>
        </w:rPr>
        <w:t xml:space="preserve"> </w:t>
      </w:r>
      <w:r>
        <w:rPr>
          <w:noProof/>
        </w:rPr>
        <w:t>The centerpoints represent the point estimations and the bars represent the 95% confidence intervals.</w:t>
      </w:r>
      <w:r w:rsidR="0088477C">
        <w:rPr>
          <w:noProof/>
        </w:rPr>
        <w:br w:type="page"/>
      </w:r>
    </w:p>
    <w:p w14:paraId="7A928C1D" w14:textId="77777777" w:rsidR="00392270" w:rsidRDefault="00392270" w:rsidP="0039227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6AFBFDF" wp14:editId="7F60AAEB">
            <wp:extent cx="5943600" cy="1839595"/>
            <wp:effectExtent l="0" t="0" r="0" b="8255"/>
            <wp:docPr id="21" name="Picture 2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eS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265A" w14:textId="22425653" w:rsidR="0088477C" w:rsidRDefault="00392270" w:rsidP="00DB07AA">
      <w:pPr>
        <w:rPr>
          <w:noProof/>
        </w:rPr>
      </w:pPr>
      <w:r w:rsidRPr="004D21DD">
        <w:rPr>
          <w:b/>
          <w:bCs/>
        </w:rPr>
        <w:t xml:space="preserve">Figure </w:t>
      </w:r>
      <w:r>
        <w:rPr>
          <w:b/>
          <w:bCs/>
        </w:rPr>
        <w:t>8</w:t>
      </w:r>
      <w:r w:rsidRPr="000551BE">
        <w:rPr>
          <w:b/>
          <w:bCs/>
        </w:rPr>
        <w:t>.</w:t>
      </w:r>
      <w:r w:rsidRPr="0088477C">
        <w:t xml:space="preserve"> A comparison between full models and the modified models in which PE to COGD is omitted. Panel A shows the comparison of a full Model I and a </w:t>
      </w:r>
      <w:r w:rsidR="00DB7064" w:rsidRPr="0088477C">
        <w:t>corresponding</w:t>
      </w:r>
      <w:r w:rsidRPr="0088477C">
        <w:t xml:space="preserve"> modified Model I without adjusting for COGD; Panel B shows the comparison of a full Model II and a corresponding modified Model II without adjusting for COGD. The centerpoints represent the point estimations and the bars represent the 95% confidence intervals.</w:t>
      </w:r>
      <w:r w:rsidR="0088477C" w:rsidRPr="0088477C">
        <w:rPr>
          <w:b/>
          <w:bCs/>
        </w:rPr>
        <w:t xml:space="preserve"> </w:t>
      </w:r>
      <w:r w:rsidR="0088477C">
        <w:rPr>
          <w:noProof/>
        </w:rPr>
        <w:br w:type="page"/>
      </w:r>
    </w:p>
    <w:p w14:paraId="7D39C124" w14:textId="11175E02" w:rsidR="0088477C" w:rsidRDefault="0088477C" w:rsidP="0088477C">
      <w:pPr>
        <w:keepNext/>
        <w:spacing w:line="240" w:lineRule="auto"/>
      </w:pPr>
      <w:r>
        <w:rPr>
          <w:noProof/>
        </w:rPr>
        <w:lastRenderedPageBreak/>
        <w:drawing>
          <wp:inline distT="0" distB="0" distL="0" distR="0" wp14:anchorId="7DBD847E" wp14:editId="6A90DD77">
            <wp:extent cx="5390860" cy="3161899"/>
            <wp:effectExtent l="19050" t="19050" r="19685" b="1968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ar_imp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24" b="5971"/>
                    <a:stretch/>
                  </pic:blipFill>
                  <pic:spPr bwMode="auto">
                    <a:xfrm>
                      <a:off x="0" y="0"/>
                      <a:ext cx="5571872" cy="326806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FE6AF" w14:textId="7490F65B" w:rsidR="00555BD0" w:rsidRDefault="0088477C" w:rsidP="00DE431D">
      <w:pPr>
        <w:spacing w:line="360" w:lineRule="auto"/>
      </w:pPr>
      <w:r w:rsidRPr="007D6E35">
        <w:rPr>
          <w:b/>
          <w:bCs/>
        </w:rPr>
        <w:t xml:space="preserve">Figure </w:t>
      </w:r>
      <w:r>
        <w:rPr>
          <w:b/>
          <w:bCs/>
        </w:rPr>
        <w:t>9</w:t>
      </w:r>
      <w:r w:rsidRPr="007D6E35">
        <w:rPr>
          <w:b/>
          <w:bCs/>
        </w:rPr>
        <w:t>.</w:t>
      </w:r>
      <w:r>
        <w:t xml:space="preserve"> </w:t>
      </w:r>
      <w:r w:rsidRPr="00C61C79">
        <w:t xml:space="preserve">Relative importance of covariates in the random forest model. </w:t>
      </w:r>
      <w:r>
        <w:t>Listed</w:t>
      </w:r>
      <w:r w:rsidRPr="00C61C79">
        <w:t xml:space="preserve"> </w:t>
      </w:r>
      <w:r>
        <w:t>covariates</w:t>
      </w:r>
      <w:r w:rsidRPr="00C61C79">
        <w:t xml:space="preserve"> from top to bottom: </w:t>
      </w:r>
      <w:r>
        <w:t>n</w:t>
      </w:r>
      <w:r w:rsidRPr="00C61C79">
        <w:t>umber of conventional wells within 10</w:t>
      </w:r>
      <w:r>
        <w:t xml:space="preserve"> </w:t>
      </w:r>
      <w:r w:rsidRPr="00C61C79">
        <w:t>km</w:t>
      </w:r>
      <w:r>
        <w:t>;</w:t>
      </w:r>
      <w:r w:rsidRPr="00C61C79">
        <w:t xml:space="preserve"> number of unconventional wells within 10 km; drilling type of the closest well with known drilling type</w:t>
      </w:r>
      <w:r>
        <w:t>;</w:t>
      </w:r>
      <w:r w:rsidRPr="00C61C79">
        <w:t xml:space="preserve"> total drilling depth</w:t>
      </w:r>
      <w:r>
        <w:t>;</w:t>
      </w:r>
      <w:r w:rsidRPr="00C61C79">
        <w:t xml:space="preserve"> spudding date</w:t>
      </w:r>
      <w:r>
        <w:t>;</w:t>
      </w:r>
      <w:r w:rsidRPr="00C61C79">
        <w:t xml:space="preserve"> date of the first production record</w:t>
      </w:r>
      <w:r>
        <w:t>;</w:t>
      </w:r>
      <w:r w:rsidRPr="00C61C79">
        <w:t xml:space="preserve"> completion date</w:t>
      </w:r>
      <w:r>
        <w:t>;</w:t>
      </w:r>
      <w:r w:rsidRPr="00C61C79">
        <w:t xml:space="preserve"> date of peak million cubic feet of gas equivalent production</w:t>
      </w:r>
      <w:r>
        <w:t>;</w:t>
      </w:r>
      <w:r w:rsidRPr="00C61C79">
        <w:t xml:space="preserve"> date of peak natural gas production</w:t>
      </w:r>
      <w:r>
        <w:t>;</w:t>
      </w:r>
      <w:r w:rsidRPr="00C61C79">
        <w:t xml:space="preserve"> </w:t>
      </w:r>
      <w:r>
        <w:t xml:space="preserve">and </w:t>
      </w:r>
      <w:r w:rsidRPr="00C61C79">
        <w:t>date of peak barrel of oil equivalent production.</w:t>
      </w:r>
      <w:r w:rsidR="00555BD0">
        <w:br w:type="page"/>
      </w:r>
    </w:p>
    <w:p w14:paraId="3CA1920E" w14:textId="77777777" w:rsidR="00555BD0" w:rsidRDefault="00555BD0" w:rsidP="00555BD0">
      <w:pPr>
        <w:spacing w:line="259" w:lineRule="auto"/>
        <w:jc w:val="center"/>
        <w:rPr>
          <w:noProof/>
        </w:rPr>
      </w:pPr>
      <w:r w:rsidRPr="009226D0">
        <w:rPr>
          <w:noProof/>
        </w:rPr>
        <w:lastRenderedPageBreak/>
        <w:drawing>
          <wp:inline distT="0" distB="0" distL="0" distR="0" wp14:anchorId="769ABF83" wp14:editId="67AFD2EA">
            <wp:extent cx="4898364" cy="7002780"/>
            <wp:effectExtent l="0" t="0" r="0" b="762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2219" cy="700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B4CF" w14:textId="70A1364C" w:rsidR="004E1651" w:rsidRDefault="00555BD0" w:rsidP="00FC0FF3">
      <w:pPr>
        <w:spacing w:line="259" w:lineRule="auto"/>
      </w:pPr>
      <w:r w:rsidRPr="00B2376F">
        <w:rPr>
          <w:b/>
          <w:bCs/>
          <w:noProof/>
          <w:szCs w:val="24"/>
        </w:rPr>
        <w:t xml:space="preserve">Figure </w:t>
      </w:r>
      <w:r>
        <w:rPr>
          <w:b/>
          <w:bCs/>
          <w:noProof/>
          <w:szCs w:val="24"/>
        </w:rPr>
        <w:t>10</w:t>
      </w:r>
      <w:r w:rsidRPr="00B2376F">
        <w:rPr>
          <w:b/>
          <w:bCs/>
          <w:noProof/>
          <w:szCs w:val="24"/>
        </w:rPr>
        <w:t>.</w:t>
      </w:r>
      <w:r w:rsidRPr="00B2376F">
        <w:rPr>
          <w:noProof/>
          <w:szCs w:val="24"/>
        </w:rPr>
        <w:t xml:space="preserve"> Pre- and post-drilling trends in covariates</w:t>
      </w:r>
      <w:r w:rsidRPr="000551BE">
        <w:rPr>
          <w:szCs w:val="24"/>
        </w:rPr>
        <w:t xml:space="preserve">: Gender (Panel A), </w:t>
      </w:r>
      <w:r w:rsidRPr="00F06694">
        <w:rPr>
          <w:szCs w:val="24"/>
        </w:rPr>
        <w:t>PM</w:t>
      </w:r>
      <w:r w:rsidRPr="00F06694">
        <w:rPr>
          <w:szCs w:val="24"/>
          <w:vertAlign w:val="subscript"/>
        </w:rPr>
        <w:t xml:space="preserve">2.5 </w:t>
      </w:r>
      <w:r w:rsidRPr="00F06694">
        <w:rPr>
          <w:szCs w:val="24"/>
        </w:rPr>
        <w:t xml:space="preserve">(Panel B), </w:t>
      </w:r>
      <w:r w:rsidRPr="000551BE">
        <w:rPr>
          <w:szCs w:val="24"/>
        </w:rPr>
        <w:t xml:space="preserve">Dual eligibility for Medicaid (Panel C), </w:t>
      </w:r>
      <w:r w:rsidRPr="00F06694">
        <w:rPr>
          <w:szCs w:val="24"/>
        </w:rPr>
        <w:t xml:space="preserve">Poverty (Panel D), </w:t>
      </w:r>
      <w:r w:rsidRPr="000551BE">
        <w:rPr>
          <w:szCs w:val="24"/>
        </w:rPr>
        <w:t xml:space="preserve">Race (Panel E), </w:t>
      </w:r>
      <w:r w:rsidRPr="00F06694">
        <w:rPr>
          <w:szCs w:val="24"/>
        </w:rPr>
        <w:t xml:space="preserve">and </w:t>
      </w:r>
      <w:r w:rsidRPr="000551BE">
        <w:rPr>
          <w:szCs w:val="24"/>
        </w:rPr>
        <w:t>Smoking rate (Panel F)</w:t>
      </w:r>
      <w:r w:rsidRPr="00F06694">
        <w:rPr>
          <w:szCs w:val="24"/>
        </w:rPr>
        <w:t>.</w:t>
      </w:r>
      <w:r w:rsidR="00FC0FF3" w:rsidRPr="00FC0FF3">
        <w:t xml:space="preserve"> </w:t>
      </w:r>
      <w:r w:rsidR="00FC0FF3">
        <w:br w:type="page"/>
      </w:r>
    </w:p>
    <w:p w14:paraId="33C8D071" w14:textId="0B00471E" w:rsidR="006D7FD4" w:rsidRDefault="006D7FD4" w:rsidP="0060626A">
      <w:pPr>
        <w:pStyle w:val="Heading1"/>
      </w:pPr>
      <w:r>
        <w:lastRenderedPageBreak/>
        <w:t>Supplementary Tables</w:t>
      </w: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890"/>
        <w:gridCol w:w="1620"/>
        <w:gridCol w:w="1327"/>
      </w:tblGrid>
      <w:tr w:rsidR="004669E4" w:rsidRPr="004A233D" w14:paraId="65CA8F83" w14:textId="77777777" w:rsidTr="007C301F">
        <w:tc>
          <w:tcPr>
            <w:tcW w:w="1596" w:type="dxa"/>
            <w:shd w:val="clear" w:color="auto" w:fill="BFBFBF" w:themeFill="background1" w:themeFillShade="BF"/>
          </w:tcPr>
          <w:p w14:paraId="4E607DEF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</w:pPr>
            <w:bookmarkStart w:id="1" w:name="_Hlk35623878"/>
            <w:r w:rsidRPr="00A835A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  <w:t>Years</w:t>
            </w:r>
          </w:p>
        </w:tc>
        <w:tc>
          <w:tcPr>
            <w:tcW w:w="1596" w:type="dxa"/>
            <w:shd w:val="clear" w:color="auto" w:fill="BFBFBF" w:themeFill="background1" w:themeFillShade="BF"/>
          </w:tcPr>
          <w:p w14:paraId="66CC1F93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  <w:t>PE to UOGD</w:t>
            </w:r>
          </w:p>
        </w:tc>
        <w:tc>
          <w:tcPr>
            <w:tcW w:w="1596" w:type="dxa"/>
            <w:shd w:val="clear" w:color="auto" w:fill="BFBFBF" w:themeFill="background1" w:themeFillShade="BF"/>
          </w:tcPr>
          <w:p w14:paraId="3FE43DDE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  <w:t>PE to COGD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14:paraId="322643F8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  <w:t>Person-Years</w:t>
            </w:r>
          </w:p>
        </w:tc>
        <w:tc>
          <w:tcPr>
            <w:tcW w:w="1620" w:type="dxa"/>
            <w:shd w:val="clear" w:color="auto" w:fill="BFBFBF" w:themeFill="background1" w:themeFillShade="BF"/>
          </w:tcPr>
          <w:p w14:paraId="010A3E2A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  <w:t>Deaths</w:t>
            </w:r>
          </w:p>
        </w:tc>
        <w:tc>
          <w:tcPr>
            <w:tcW w:w="1327" w:type="dxa"/>
            <w:shd w:val="clear" w:color="auto" w:fill="BFBFBF" w:themeFill="background1" w:themeFillShade="BF"/>
          </w:tcPr>
          <w:p w14:paraId="00FF8629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  <w:t>Mortality</w:t>
            </w:r>
          </w:p>
        </w:tc>
      </w:tr>
      <w:tr w:rsidR="004669E4" w:rsidRPr="004A233D" w14:paraId="7234CC4E" w14:textId="77777777" w:rsidTr="007C301F">
        <w:tc>
          <w:tcPr>
            <w:tcW w:w="9625" w:type="dxa"/>
            <w:gridSpan w:val="6"/>
          </w:tcPr>
          <w:p w14:paraId="26F077E8" w14:textId="77777777" w:rsidR="004669E4" w:rsidRPr="00A835A9" w:rsidRDefault="004669E4" w:rsidP="007C301F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  <w:t>Northern Region</w:t>
            </w:r>
          </w:p>
        </w:tc>
      </w:tr>
      <w:tr w:rsidR="004669E4" w:rsidRPr="004A233D" w14:paraId="3CA176A7" w14:textId="77777777" w:rsidTr="007C301F">
        <w:tc>
          <w:tcPr>
            <w:tcW w:w="1596" w:type="dxa"/>
          </w:tcPr>
          <w:p w14:paraId="6E8EC20C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[2001,2003]</w:t>
            </w:r>
          </w:p>
        </w:tc>
        <w:tc>
          <w:tcPr>
            <w:tcW w:w="1596" w:type="dxa"/>
          </w:tcPr>
          <w:p w14:paraId="75B72DFB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0.021</w:t>
            </w:r>
          </w:p>
        </w:tc>
        <w:tc>
          <w:tcPr>
            <w:tcW w:w="1596" w:type="dxa"/>
          </w:tcPr>
          <w:p w14:paraId="0F6BFE7B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2.920</w:t>
            </w:r>
          </w:p>
        </w:tc>
        <w:tc>
          <w:tcPr>
            <w:tcW w:w="1890" w:type="dxa"/>
          </w:tcPr>
          <w:p w14:paraId="3D0E77BF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1,761,323</w:t>
            </w:r>
          </w:p>
        </w:tc>
        <w:tc>
          <w:tcPr>
            <w:tcW w:w="1620" w:type="dxa"/>
          </w:tcPr>
          <w:p w14:paraId="6F14A3AA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87,398</w:t>
            </w:r>
          </w:p>
        </w:tc>
        <w:tc>
          <w:tcPr>
            <w:tcW w:w="1327" w:type="dxa"/>
          </w:tcPr>
          <w:p w14:paraId="05D7A354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4.96%</w:t>
            </w:r>
          </w:p>
        </w:tc>
      </w:tr>
      <w:tr w:rsidR="004669E4" w:rsidRPr="004A233D" w14:paraId="67294D00" w14:textId="77777777" w:rsidTr="007C301F">
        <w:tc>
          <w:tcPr>
            <w:tcW w:w="1596" w:type="dxa"/>
          </w:tcPr>
          <w:p w14:paraId="1951B3CC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[2004,2007]</w:t>
            </w:r>
          </w:p>
        </w:tc>
        <w:tc>
          <w:tcPr>
            <w:tcW w:w="1596" w:type="dxa"/>
          </w:tcPr>
          <w:p w14:paraId="6E6B4564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0.032</w:t>
            </w:r>
          </w:p>
        </w:tc>
        <w:tc>
          <w:tcPr>
            <w:tcW w:w="1596" w:type="dxa"/>
          </w:tcPr>
          <w:p w14:paraId="2451F495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3.370</w:t>
            </w:r>
          </w:p>
        </w:tc>
        <w:tc>
          <w:tcPr>
            <w:tcW w:w="1890" w:type="dxa"/>
          </w:tcPr>
          <w:p w14:paraId="7720B74A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2,524,946</w:t>
            </w:r>
          </w:p>
        </w:tc>
        <w:tc>
          <w:tcPr>
            <w:tcW w:w="1620" w:type="dxa"/>
          </w:tcPr>
          <w:p w14:paraId="3D2496CE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115,638</w:t>
            </w:r>
          </w:p>
        </w:tc>
        <w:tc>
          <w:tcPr>
            <w:tcW w:w="1327" w:type="dxa"/>
          </w:tcPr>
          <w:p w14:paraId="3FBA3FAB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4.58%</w:t>
            </w:r>
          </w:p>
        </w:tc>
      </w:tr>
      <w:tr w:rsidR="004669E4" w:rsidRPr="004A233D" w14:paraId="00F9D6F8" w14:textId="77777777" w:rsidTr="007C301F">
        <w:tc>
          <w:tcPr>
            <w:tcW w:w="1596" w:type="dxa"/>
          </w:tcPr>
          <w:p w14:paraId="367BD696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[2008,2011]</w:t>
            </w:r>
          </w:p>
        </w:tc>
        <w:tc>
          <w:tcPr>
            <w:tcW w:w="1596" w:type="dxa"/>
          </w:tcPr>
          <w:p w14:paraId="47E40D50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0.071</w:t>
            </w:r>
          </w:p>
        </w:tc>
        <w:tc>
          <w:tcPr>
            <w:tcW w:w="1596" w:type="dxa"/>
          </w:tcPr>
          <w:p w14:paraId="12DF8138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3.400</w:t>
            </w:r>
          </w:p>
        </w:tc>
        <w:tc>
          <w:tcPr>
            <w:tcW w:w="1890" w:type="dxa"/>
          </w:tcPr>
          <w:p w14:paraId="236CFBF1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2,849,780</w:t>
            </w:r>
          </w:p>
        </w:tc>
        <w:tc>
          <w:tcPr>
            <w:tcW w:w="1620" w:type="dxa"/>
          </w:tcPr>
          <w:p w14:paraId="270A01AD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122,281</w:t>
            </w:r>
          </w:p>
        </w:tc>
        <w:tc>
          <w:tcPr>
            <w:tcW w:w="1327" w:type="dxa"/>
          </w:tcPr>
          <w:p w14:paraId="45EF1B5F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4.29%</w:t>
            </w:r>
          </w:p>
        </w:tc>
      </w:tr>
      <w:tr w:rsidR="004669E4" w:rsidRPr="004A233D" w14:paraId="0F400D98" w14:textId="77777777" w:rsidTr="007C301F">
        <w:tc>
          <w:tcPr>
            <w:tcW w:w="1596" w:type="dxa"/>
            <w:vAlign w:val="bottom"/>
          </w:tcPr>
          <w:p w14:paraId="0BB89834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hAnsi="Times New Roman" w:cs="Times New Roman"/>
                <w:color w:val="000000"/>
                <w:szCs w:val="24"/>
              </w:rPr>
              <w:t>[2012,2015]</w:t>
            </w:r>
          </w:p>
        </w:tc>
        <w:tc>
          <w:tcPr>
            <w:tcW w:w="1596" w:type="dxa"/>
          </w:tcPr>
          <w:p w14:paraId="43B3A788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0.403</w:t>
            </w:r>
          </w:p>
        </w:tc>
        <w:tc>
          <w:tcPr>
            <w:tcW w:w="1596" w:type="dxa"/>
          </w:tcPr>
          <w:p w14:paraId="5E2EEAED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3.700</w:t>
            </w:r>
          </w:p>
        </w:tc>
        <w:tc>
          <w:tcPr>
            <w:tcW w:w="1890" w:type="dxa"/>
          </w:tcPr>
          <w:p w14:paraId="48F77870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3,256,531</w:t>
            </w:r>
          </w:p>
        </w:tc>
        <w:tc>
          <w:tcPr>
            <w:tcW w:w="1620" w:type="dxa"/>
          </w:tcPr>
          <w:p w14:paraId="58D44192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132,032</w:t>
            </w:r>
          </w:p>
        </w:tc>
        <w:tc>
          <w:tcPr>
            <w:tcW w:w="1327" w:type="dxa"/>
          </w:tcPr>
          <w:p w14:paraId="61E4528E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4.05%</w:t>
            </w:r>
          </w:p>
        </w:tc>
      </w:tr>
      <w:tr w:rsidR="004669E4" w:rsidRPr="002E2184" w14:paraId="34937C99" w14:textId="77777777" w:rsidTr="007C301F">
        <w:tc>
          <w:tcPr>
            <w:tcW w:w="9625" w:type="dxa"/>
            <w:gridSpan w:val="6"/>
          </w:tcPr>
          <w:p w14:paraId="27564B4C" w14:textId="77777777" w:rsidR="004669E4" w:rsidRPr="00A835A9" w:rsidRDefault="004669E4" w:rsidP="007C301F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  <w:t>Eastern Region</w:t>
            </w:r>
          </w:p>
        </w:tc>
      </w:tr>
      <w:tr w:rsidR="004669E4" w:rsidRPr="002E2184" w14:paraId="6EA8E597" w14:textId="77777777" w:rsidTr="007C301F">
        <w:tc>
          <w:tcPr>
            <w:tcW w:w="1596" w:type="dxa"/>
          </w:tcPr>
          <w:p w14:paraId="191FD931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[2001,2003]</w:t>
            </w:r>
          </w:p>
        </w:tc>
        <w:tc>
          <w:tcPr>
            <w:tcW w:w="1596" w:type="dxa"/>
          </w:tcPr>
          <w:p w14:paraId="75DBFDF2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0.001</w:t>
            </w:r>
          </w:p>
        </w:tc>
        <w:tc>
          <w:tcPr>
            <w:tcW w:w="1596" w:type="dxa"/>
          </w:tcPr>
          <w:p w14:paraId="13AA2241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7.340</w:t>
            </w:r>
          </w:p>
        </w:tc>
        <w:tc>
          <w:tcPr>
            <w:tcW w:w="1890" w:type="dxa"/>
          </w:tcPr>
          <w:p w14:paraId="00F0DC7A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14,662,750</w:t>
            </w:r>
          </w:p>
        </w:tc>
        <w:tc>
          <w:tcPr>
            <w:tcW w:w="1620" w:type="dxa"/>
          </w:tcPr>
          <w:p w14:paraId="3346E506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791,712</w:t>
            </w:r>
          </w:p>
        </w:tc>
        <w:tc>
          <w:tcPr>
            <w:tcW w:w="1327" w:type="dxa"/>
          </w:tcPr>
          <w:p w14:paraId="41CCF391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5.40%</w:t>
            </w:r>
          </w:p>
        </w:tc>
      </w:tr>
      <w:tr w:rsidR="004669E4" w:rsidRPr="002E2184" w14:paraId="72866B20" w14:textId="77777777" w:rsidTr="007C301F">
        <w:tc>
          <w:tcPr>
            <w:tcW w:w="1596" w:type="dxa"/>
          </w:tcPr>
          <w:p w14:paraId="607CC731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[2004,2007]</w:t>
            </w:r>
          </w:p>
        </w:tc>
        <w:tc>
          <w:tcPr>
            <w:tcW w:w="1596" w:type="dxa"/>
          </w:tcPr>
          <w:p w14:paraId="2DF28E06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0.002</w:t>
            </w:r>
          </w:p>
        </w:tc>
        <w:tc>
          <w:tcPr>
            <w:tcW w:w="1596" w:type="dxa"/>
          </w:tcPr>
          <w:p w14:paraId="4D3F533F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8.100</w:t>
            </w:r>
          </w:p>
        </w:tc>
        <w:tc>
          <w:tcPr>
            <w:tcW w:w="1890" w:type="dxa"/>
          </w:tcPr>
          <w:p w14:paraId="11697447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19,642,761</w:t>
            </w:r>
          </w:p>
        </w:tc>
        <w:tc>
          <w:tcPr>
            <w:tcW w:w="1620" w:type="dxa"/>
          </w:tcPr>
          <w:p w14:paraId="159E79D9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1,015,742</w:t>
            </w:r>
          </w:p>
        </w:tc>
        <w:tc>
          <w:tcPr>
            <w:tcW w:w="1327" w:type="dxa"/>
          </w:tcPr>
          <w:p w14:paraId="7BB53A31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5.17%</w:t>
            </w:r>
          </w:p>
        </w:tc>
      </w:tr>
      <w:tr w:rsidR="004669E4" w:rsidRPr="002E2184" w14:paraId="07A8138E" w14:textId="77777777" w:rsidTr="007C301F">
        <w:tc>
          <w:tcPr>
            <w:tcW w:w="1596" w:type="dxa"/>
          </w:tcPr>
          <w:p w14:paraId="29C8983F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[2008,2011]</w:t>
            </w:r>
          </w:p>
        </w:tc>
        <w:tc>
          <w:tcPr>
            <w:tcW w:w="1596" w:type="dxa"/>
          </w:tcPr>
          <w:p w14:paraId="0F8578D7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0.065</w:t>
            </w:r>
          </w:p>
        </w:tc>
        <w:tc>
          <w:tcPr>
            <w:tcW w:w="1596" w:type="dxa"/>
          </w:tcPr>
          <w:p w14:paraId="0E797C51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8.920</w:t>
            </w:r>
          </w:p>
        </w:tc>
        <w:tc>
          <w:tcPr>
            <w:tcW w:w="1890" w:type="dxa"/>
          </w:tcPr>
          <w:p w14:paraId="65A2E958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20,397,279</w:t>
            </w:r>
          </w:p>
        </w:tc>
        <w:tc>
          <w:tcPr>
            <w:tcW w:w="1620" w:type="dxa"/>
          </w:tcPr>
          <w:p w14:paraId="35DEBE78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1,004,922</w:t>
            </w:r>
          </w:p>
        </w:tc>
        <w:tc>
          <w:tcPr>
            <w:tcW w:w="1327" w:type="dxa"/>
          </w:tcPr>
          <w:p w14:paraId="3D3DD1D8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4.93%</w:t>
            </w:r>
          </w:p>
        </w:tc>
      </w:tr>
      <w:tr w:rsidR="004669E4" w:rsidRPr="002E2184" w14:paraId="2F3B871D" w14:textId="77777777" w:rsidTr="007C301F">
        <w:tc>
          <w:tcPr>
            <w:tcW w:w="1596" w:type="dxa"/>
          </w:tcPr>
          <w:p w14:paraId="5602D805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[2012,2015]</w:t>
            </w:r>
          </w:p>
        </w:tc>
        <w:tc>
          <w:tcPr>
            <w:tcW w:w="1596" w:type="dxa"/>
          </w:tcPr>
          <w:p w14:paraId="462622D0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0.417</w:t>
            </w:r>
          </w:p>
        </w:tc>
        <w:tc>
          <w:tcPr>
            <w:tcW w:w="1596" w:type="dxa"/>
          </w:tcPr>
          <w:p w14:paraId="40126E16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9.080</w:t>
            </w:r>
          </w:p>
        </w:tc>
        <w:tc>
          <w:tcPr>
            <w:tcW w:w="1890" w:type="dxa"/>
          </w:tcPr>
          <w:p w14:paraId="1E162ABF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21,635,110</w:t>
            </w:r>
          </w:p>
        </w:tc>
        <w:tc>
          <w:tcPr>
            <w:tcW w:w="1620" w:type="dxa"/>
          </w:tcPr>
          <w:p w14:paraId="53729250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1,032,606</w:t>
            </w:r>
          </w:p>
        </w:tc>
        <w:tc>
          <w:tcPr>
            <w:tcW w:w="1327" w:type="dxa"/>
          </w:tcPr>
          <w:p w14:paraId="6D63F85A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4.77%</w:t>
            </w:r>
          </w:p>
        </w:tc>
      </w:tr>
      <w:tr w:rsidR="004669E4" w:rsidRPr="002E2184" w14:paraId="3B8B0773" w14:textId="77777777" w:rsidTr="007C301F">
        <w:tc>
          <w:tcPr>
            <w:tcW w:w="9625" w:type="dxa"/>
            <w:gridSpan w:val="6"/>
          </w:tcPr>
          <w:p w14:paraId="19BB251A" w14:textId="77777777" w:rsidR="004669E4" w:rsidRPr="00A835A9" w:rsidRDefault="004669E4" w:rsidP="007C301F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</w:rPr>
              <w:t>Southern Region</w:t>
            </w:r>
          </w:p>
        </w:tc>
      </w:tr>
      <w:tr w:rsidR="004669E4" w:rsidRPr="002E2184" w14:paraId="15EF5B3D" w14:textId="77777777" w:rsidTr="007C301F">
        <w:tc>
          <w:tcPr>
            <w:tcW w:w="1596" w:type="dxa"/>
          </w:tcPr>
          <w:p w14:paraId="5FA998AC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[2001,2003]</w:t>
            </w:r>
          </w:p>
        </w:tc>
        <w:tc>
          <w:tcPr>
            <w:tcW w:w="1596" w:type="dxa"/>
          </w:tcPr>
          <w:p w14:paraId="0852ECC8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0.235</w:t>
            </w:r>
          </w:p>
        </w:tc>
        <w:tc>
          <w:tcPr>
            <w:tcW w:w="1596" w:type="dxa"/>
          </w:tcPr>
          <w:p w14:paraId="70527684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4.620</w:t>
            </w:r>
          </w:p>
        </w:tc>
        <w:tc>
          <w:tcPr>
            <w:tcW w:w="1890" w:type="dxa"/>
          </w:tcPr>
          <w:p w14:paraId="26999932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8,739,250</w:t>
            </w:r>
          </w:p>
        </w:tc>
        <w:tc>
          <w:tcPr>
            <w:tcW w:w="1620" w:type="dxa"/>
          </w:tcPr>
          <w:p w14:paraId="6D96D4B9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474,872</w:t>
            </w:r>
          </w:p>
        </w:tc>
        <w:tc>
          <w:tcPr>
            <w:tcW w:w="1327" w:type="dxa"/>
          </w:tcPr>
          <w:p w14:paraId="4E6BBAF0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5.43%</w:t>
            </w:r>
          </w:p>
        </w:tc>
      </w:tr>
      <w:tr w:rsidR="004669E4" w:rsidRPr="002E2184" w14:paraId="2A4435FB" w14:textId="77777777" w:rsidTr="007C301F">
        <w:tc>
          <w:tcPr>
            <w:tcW w:w="1596" w:type="dxa"/>
          </w:tcPr>
          <w:p w14:paraId="1A8BE2AB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[2004,2007]</w:t>
            </w:r>
          </w:p>
        </w:tc>
        <w:tc>
          <w:tcPr>
            <w:tcW w:w="1596" w:type="dxa"/>
          </w:tcPr>
          <w:p w14:paraId="038373BF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0.656</w:t>
            </w:r>
          </w:p>
        </w:tc>
        <w:tc>
          <w:tcPr>
            <w:tcW w:w="1596" w:type="dxa"/>
          </w:tcPr>
          <w:p w14:paraId="64FC0DA6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5.040</w:t>
            </w:r>
          </w:p>
        </w:tc>
        <w:tc>
          <w:tcPr>
            <w:tcW w:w="1890" w:type="dxa"/>
          </w:tcPr>
          <w:p w14:paraId="34A47A0A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12,341,594</w:t>
            </w:r>
          </w:p>
        </w:tc>
        <w:tc>
          <w:tcPr>
            <w:tcW w:w="1620" w:type="dxa"/>
          </w:tcPr>
          <w:p w14:paraId="24EA9838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627,732</w:t>
            </w:r>
          </w:p>
        </w:tc>
        <w:tc>
          <w:tcPr>
            <w:tcW w:w="1327" w:type="dxa"/>
          </w:tcPr>
          <w:p w14:paraId="56DE53DD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5.09%</w:t>
            </w:r>
          </w:p>
        </w:tc>
      </w:tr>
      <w:tr w:rsidR="004669E4" w:rsidRPr="002E2184" w14:paraId="74CEA093" w14:textId="77777777" w:rsidTr="007C301F">
        <w:tc>
          <w:tcPr>
            <w:tcW w:w="1596" w:type="dxa"/>
          </w:tcPr>
          <w:p w14:paraId="15D798DB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[2008,2011]</w:t>
            </w:r>
          </w:p>
        </w:tc>
        <w:tc>
          <w:tcPr>
            <w:tcW w:w="1596" w:type="dxa"/>
          </w:tcPr>
          <w:p w14:paraId="0B0FC5A8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3.100</w:t>
            </w:r>
          </w:p>
        </w:tc>
        <w:tc>
          <w:tcPr>
            <w:tcW w:w="1596" w:type="dxa"/>
          </w:tcPr>
          <w:p w14:paraId="771E6511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5.450</w:t>
            </w:r>
          </w:p>
        </w:tc>
        <w:tc>
          <w:tcPr>
            <w:tcW w:w="1890" w:type="dxa"/>
          </w:tcPr>
          <w:p w14:paraId="64182F5D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13,540,645</w:t>
            </w:r>
          </w:p>
        </w:tc>
        <w:tc>
          <w:tcPr>
            <w:tcW w:w="1620" w:type="dxa"/>
          </w:tcPr>
          <w:p w14:paraId="0EDDFC19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644,641</w:t>
            </w:r>
          </w:p>
        </w:tc>
        <w:tc>
          <w:tcPr>
            <w:tcW w:w="1327" w:type="dxa"/>
          </w:tcPr>
          <w:p w14:paraId="751D017A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4.76%</w:t>
            </w:r>
          </w:p>
        </w:tc>
      </w:tr>
      <w:tr w:rsidR="004669E4" w:rsidRPr="002E2184" w14:paraId="56688988" w14:textId="77777777" w:rsidTr="007C301F">
        <w:tc>
          <w:tcPr>
            <w:tcW w:w="1596" w:type="dxa"/>
          </w:tcPr>
          <w:p w14:paraId="35F31FF7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[2012,2015]</w:t>
            </w:r>
          </w:p>
        </w:tc>
        <w:tc>
          <w:tcPr>
            <w:tcW w:w="1596" w:type="dxa"/>
          </w:tcPr>
          <w:p w14:paraId="4B1E043F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4.890</w:t>
            </w:r>
          </w:p>
        </w:tc>
        <w:tc>
          <w:tcPr>
            <w:tcW w:w="1596" w:type="dxa"/>
          </w:tcPr>
          <w:p w14:paraId="5995C398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5.350</w:t>
            </w:r>
          </w:p>
        </w:tc>
        <w:tc>
          <w:tcPr>
            <w:tcW w:w="1890" w:type="dxa"/>
          </w:tcPr>
          <w:p w14:paraId="617D8ED6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14,863,090</w:t>
            </w:r>
          </w:p>
        </w:tc>
        <w:tc>
          <w:tcPr>
            <w:tcW w:w="1620" w:type="dxa"/>
          </w:tcPr>
          <w:p w14:paraId="28DD81CF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682,075</w:t>
            </w:r>
          </w:p>
        </w:tc>
        <w:tc>
          <w:tcPr>
            <w:tcW w:w="1327" w:type="dxa"/>
          </w:tcPr>
          <w:p w14:paraId="54C9A269" w14:textId="77777777" w:rsidR="004669E4" w:rsidRPr="00A835A9" w:rsidRDefault="004669E4" w:rsidP="007C301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A835A9">
              <w:rPr>
                <w:rFonts w:ascii="Times New Roman" w:eastAsia="Times New Roman" w:hAnsi="Times New Roman" w:cs="Times New Roman"/>
                <w:color w:val="000000"/>
                <w:szCs w:val="24"/>
              </w:rPr>
              <w:t>4.59%</w:t>
            </w:r>
          </w:p>
        </w:tc>
      </w:tr>
    </w:tbl>
    <w:bookmarkEnd w:id="1"/>
    <w:p w14:paraId="03711C1F" w14:textId="4807726B" w:rsidR="006A1FBE" w:rsidRDefault="004669E4" w:rsidP="004669E4">
      <w:r>
        <w:rPr>
          <w:b/>
          <w:bCs/>
        </w:rPr>
        <w:t xml:space="preserve">Table 1. </w:t>
      </w:r>
      <w:r w:rsidRPr="00A835A9">
        <w:t>The spatiotemporal variability of PE to UOGD and PE to COGD from 2001 to 2015.</w:t>
      </w:r>
    </w:p>
    <w:p w14:paraId="60BD607D" w14:textId="77777777" w:rsidR="006A1FBE" w:rsidRDefault="006A1FBE">
      <w:pPr>
        <w:spacing w:line="259" w:lineRule="auto"/>
      </w:pPr>
      <w:r>
        <w:br w:type="page"/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298"/>
        <w:gridCol w:w="1217"/>
        <w:gridCol w:w="1728"/>
        <w:gridCol w:w="1692"/>
        <w:gridCol w:w="1022"/>
        <w:gridCol w:w="1948"/>
        <w:gridCol w:w="1710"/>
        <w:gridCol w:w="1350"/>
      </w:tblGrid>
      <w:tr w:rsidR="006A1FBE" w14:paraId="135C20F2" w14:textId="77777777" w:rsidTr="007C301F">
        <w:trPr>
          <w:trHeight w:val="432"/>
          <w:jc w:val="center"/>
        </w:trPr>
        <w:tc>
          <w:tcPr>
            <w:tcW w:w="1298" w:type="dxa"/>
            <w:shd w:val="clear" w:color="auto" w:fill="D9D9D9" w:themeFill="background1" w:themeFillShade="D9"/>
            <w:vAlign w:val="center"/>
          </w:tcPr>
          <w:p w14:paraId="5C2B91A5" w14:textId="77777777" w:rsidR="006A1FBE" w:rsidRPr="00A835A9" w:rsidRDefault="006A1FBE" w:rsidP="007C301F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835A9">
              <w:rPr>
                <w:rFonts w:ascii="Times New Roman" w:hAnsi="Times New Roman" w:cs="Times New Roman"/>
                <w:b/>
              </w:rPr>
              <w:lastRenderedPageBreak/>
              <w:t>PE level</w:t>
            </w:r>
          </w:p>
        </w:tc>
        <w:tc>
          <w:tcPr>
            <w:tcW w:w="1217" w:type="dxa"/>
            <w:shd w:val="clear" w:color="auto" w:fill="D9D9D9" w:themeFill="background1" w:themeFillShade="D9"/>
            <w:vAlign w:val="center"/>
          </w:tcPr>
          <w:p w14:paraId="0E7F58E9" w14:textId="77777777" w:rsidR="006A1FBE" w:rsidRPr="00A835A9" w:rsidRDefault="006A1FBE" w:rsidP="007C301F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835A9">
              <w:rPr>
                <w:rFonts w:ascii="Times New Roman" w:hAnsi="Times New Roman" w:cs="Times New Roman"/>
                <w:b/>
              </w:rPr>
              <w:t>DE level</w:t>
            </w:r>
          </w:p>
        </w:tc>
        <w:tc>
          <w:tcPr>
            <w:tcW w:w="1728" w:type="dxa"/>
            <w:shd w:val="clear" w:color="auto" w:fill="D9D9D9" w:themeFill="background1" w:themeFillShade="D9"/>
            <w:vAlign w:val="center"/>
          </w:tcPr>
          <w:p w14:paraId="4682A0AF" w14:textId="77777777" w:rsidR="006A1FBE" w:rsidRPr="00A835A9" w:rsidRDefault="006A1FBE" w:rsidP="007C301F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835A9">
              <w:rPr>
                <w:rFonts w:ascii="Times New Roman" w:hAnsi="Times New Roman" w:cs="Times New Roman"/>
                <w:b/>
              </w:rPr>
              <w:t>Hazard Ratio</w:t>
            </w:r>
          </w:p>
        </w:tc>
        <w:tc>
          <w:tcPr>
            <w:tcW w:w="1692" w:type="dxa"/>
            <w:shd w:val="clear" w:color="auto" w:fill="D9D9D9" w:themeFill="background1" w:themeFillShade="D9"/>
            <w:vAlign w:val="center"/>
          </w:tcPr>
          <w:p w14:paraId="1C5B42B3" w14:textId="77777777" w:rsidR="006A1FBE" w:rsidRPr="00A835A9" w:rsidRDefault="006A1FBE" w:rsidP="007C301F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835A9">
              <w:rPr>
                <w:rFonts w:ascii="Times New Roman" w:hAnsi="Times New Roman" w:cs="Times New Roman"/>
                <w:b/>
              </w:rPr>
              <w:t>95% CI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741AA0CB" w14:textId="77777777" w:rsidR="006A1FBE" w:rsidRPr="00A835A9" w:rsidRDefault="006A1FBE" w:rsidP="007C301F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835A9">
              <w:rPr>
                <w:rFonts w:ascii="Times New Roman" w:hAnsi="Times New Roman" w:cs="Times New Roman"/>
                <w:b/>
              </w:rPr>
              <w:t>P-value</w:t>
            </w:r>
          </w:p>
        </w:tc>
        <w:tc>
          <w:tcPr>
            <w:tcW w:w="1948" w:type="dxa"/>
            <w:shd w:val="clear" w:color="auto" w:fill="D9D9D9" w:themeFill="background1" w:themeFillShade="D9"/>
            <w:vAlign w:val="center"/>
          </w:tcPr>
          <w:p w14:paraId="3C978ECC" w14:textId="77777777" w:rsidR="006A1FBE" w:rsidRPr="00A835A9" w:rsidRDefault="006A1FBE" w:rsidP="007C301F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835A9">
              <w:rPr>
                <w:rFonts w:ascii="Times New Roman" w:hAnsi="Times New Roman" w:cs="Times New Roman"/>
                <w:b/>
              </w:rPr>
              <w:t>DE+ vs DE- Diff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14:paraId="1D4DF61D" w14:textId="77777777" w:rsidR="006A1FBE" w:rsidRPr="00A835A9" w:rsidRDefault="006A1FBE" w:rsidP="007C301F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835A9">
              <w:rPr>
                <w:rFonts w:ascii="Times New Roman" w:hAnsi="Times New Roman" w:cs="Times New Roman"/>
                <w:b/>
              </w:rPr>
              <w:t>95%CI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14:paraId="52E76D62" w14:textId="77777777" w:rsidR="006A1FBE" w:rsidRPr="00A835A9" w:rsidRDefault="006A1FBE" w:rsidP="007C301F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A835A9">
              <w:rPr>
                <w:rFonts w:ascii="Times New Roman" w:hAnsi="Times New Roman" w:cs="Times New Roman"/>
                <w:b/>
              </w:rPr>
              <w:t>P-value</w:t>
            </w:r>
          </w:p>
        </w:tc>
      </w:tr>
      <w:tr w:rsidR="006A1FBE" w14:paraId="01FD4459" w14:textId="77777777" w:rsidTr="007C301F">
        <w:trPr>
          <w:jc w:val="center"/>
        </w:trPr>
        <w:tc>
          <w:tcPr>
            <w:tcW w:w="1298" w:type="dxa"/>
            <w:vAlign w:val="center"/>
          </w:tcPr>
          <w:p w14:paraId="50689D4F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Low</w:t>
            </w:r>
          </w:p>
        </w:tc>
        <w:tc>
          <w:tcPr>
            <w:tcW w:w="1217" w:type="dxa"/>
            <w:vAlign w:val="center"/>
          </w:tcPr>
          <w:p w14:paraId="5867BEC8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--</w:t>
            </w:r>
          </w:p>
        </w:tc>
        <w:tc>
          <w:tcPr>
            <w:tcW w:w="1728" w:type="dxa"/>
            <w:vAlign w:val="center"/>
          </w:tcPr>
          <w:p w14:paraId="1F0EEBC1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1.008</w:t>
            </w:r>
          </w:p>
        </w:tc>
        <w:tc>
          <w:tcPr>
            <w:tcW w:w="1692" w:type="dxa"/>
            <w:vAlign w:val="center"/>
          </w:tcPr>
          <w:p w14:paraId="1A771093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(1.004,1.011)</w:t>
            </w:r>
          </w:p>
        </w:tc>
        <w:tc>
          <w:tcPr>
            <w:tcW w:w="1022" w:type="dxa"/>
            <w:vAlign w:val="center"/>
          </w:tcPr>
          <w:p w14:paraId="64C3997D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&lt;0.001</w:t>
            </w:r>
          </w:p>
        </w:tc>
        <w:tc>
          <w:tcPr>
            <w:tcW w:w="1948" w:type="dxa"/>
            <w:vAlign w:val="center"/>
          </w:tcPr>
          <w:p w14:paraId="3EE43231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--</w:t>
            </w:r>
          </w:p>
        </w:tc>
        <w:tc>
          <w:tcPr>
            <w:tcW w:w="1710" w:type="dxa"/>
            <w:vAlign w:val="center"/>
          </w:tcPr>
          <w:p w14:paraId="53665D36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--</w:t>
            </w:r>
          </w:p>
        </w:tc>
        <w:tc>
          <w:tcPr>
            <w:tcW w:w="1350" w:type="dxa"/>
            <w:vAlign w:val="center"/>
          </w:tcPr>
          <w:p w14:paraId="1912D189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--</w:t>
            </w:r>
          </w:p>
        </w:tc>
      </w:tr>
      <w:tr w:rsidR="006A1FBE" w14:paraId="0387F92A" w14:textId="77777777" w:rsidTr="007C301F">
        <w:trPr>
          <w:jc w:val="center"/>
        </w:trPr>
        <w:tc>
          <w:tcPr>
            <w:tcW w:w="1298" w:type="dxa"/>
            <w:vAlign w:val="center"/>
          </w:tcPr>
          <w:p w14:paraId="6C33BA0F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Med-Low</w:t>
            </w:r>
          </w:p>
        </w:tc>
        <w:tc>
          <w:tcPr>
            <w:tcW w:w="1217" w:type="dxa"/>
            <w:vAlign w:val="center"/>
          </w:tcPr>
          <w:p w14:paraId="1775C658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--</w:t>
            </w:r>
          </w:p>
        </w:tc>
        <w:tc>
          <w:tcPr>
            <w:tcW w:w="1728" w:type="dxa"/>
            <w:vAlign w:val="center"/>
          </w:tcPr>
          <w:p w14:paraId="1C46CFF3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1.013</w:t>
            </w:r>
          </w:p>
        </w:tc>
        <w:tc>
          <w:tcPr>
            <w:tcW w:w="1692" w:type="dxa"/>
            <w:vAlign w:val="center"/>
          </w:tcPr>
          <w:p w14:paraId="63A456AC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(1.009,1.017)</w:t>
            </w:r>
          </w:p>
        </w:tc>
        <w:tc>
          <w:tcPr>
            <w:tcW w:w="1022" w:type="dxa"/>
            <w:vAlign w:val="center"/>
          </w:tcPr>
          <w:p w14:paraId="329DE392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&lt;0.001</w:t>
            </w:r>
          </w:p>
        </w:tc>
        <w:tc>
          <w:tcPr>
            <w:tcW w:w="1948" w:type="dxa"/>
            <w:vAlign w:val="center"/>
          </w:tcPr>
          <w:p w14:paraId="6E301EC5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--</w:t>
            </w:r>
          </w:p>
        </w:tc>
        <w:tc>
          <w:tcPr>
            <w:tcW w:w="1710" w:type="dxa"/>
            <w:vAlign w:val="center"/>
          </w:tcPr>
          <w:p w14:paraId="47195763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--</w:t>
            </w:r>
          </w:p>
        </w:tc>
        <w:tc>
          <w:tcPr>
            <w:tcW w:w="1350" w:type="dxa"/>
            <w:vAlign w:val="center"/>
          </w:tcPr>
          <w:p w14:paraId="323A597E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--</w:t>
            </w:r>
          </w:p>
        </w:tc>
      </w:tr>
      <w:tr w:rsidR="006A1FBE" w14:paraId="7B2DA887" w14:textId="77777777" w:rsidTr="007C301F">
        <w:trPr>
          <w:jc w:val="center"/>
        </w:trPr>
        <w:tc>
          <w:tcPr>
            <w:tcW w:w="1298" w:type="dxa"/>
            <w:vAlign w:val="center"/>
          </w:tcPr>
          <w:p w14:paraId="126E7130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Med-High</w:t>
            </w:r>
          </w:p>
        </w:tc>
        <w:tc>
          <w:tcPr>
            <w:tcW w:w="1217" w:type="dxa"/>
            <w:vAlign w:val="center"/>
          </w:tcPr>
          <w:p w14:paraId="31F9095E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--</w:t>
            </w:r>
          </w:p>
        </w:tc>
        <w:tc>
          <w:tcPr>
            <w:tcW w:w="1728" w:type="dxa"/>
            <w:vAlign w:val="center"/>
          </w:tcPr>
          <w:p w14:paraId="39E92734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1.018</w:t>
            </w:r>
          </w:p>
        </w:tc>
        <w:tc>
          <w:tcPr>
            <w:tcW w:w="1692" w:type="dxa"/>
            <w:vAlign w:val="center"/>
          </w:tcPr>
          <w:p w14:paraId="4091B761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(1.014,1.022)</w:t>
            </w:r>
          </w:p>
        </w:tc>
        <w:tc>
          <w:tcPr>
            <w:tcW w:w="1022" w:type="dxa"/>
            <w:vAlign w:val="center"/>
          </w:tcPr>
          <w:p w14:paraId="3134D4A3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&lt;0.001</w:t>
            </w:r>
          </w:p>
        </w:tc>
        <w:tc>
          <w:tcPr>
            <w:tcW w:w="1948" w:type="dxa"/>
            <w:vAlign w:val="center"/>
          </w:tcPr>
          <w:p w14:paraId="52CE473B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--</w:t>
            </w:r>
          </w:p>
        </w:tc>
        <w:tc>
          <w:tcPr>
            <w:tcW w:w="1710" w:type="dxa"/>
            <w:vAlign w:val="center"/>
          </w:tcPr>
          <w:p w14:paraId="4E8F905A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--</w:t>
            </w:r>
          </w:p>
        </w:tc>
        <w:tc>
          <w:tcPr>
            <w:tcW w:w="1350" w:type="dxa"/>
            <w:vAlign w:val="center"/>
          </w:tcPr>
          <w:p w14:paraId="74A1B870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--</w:t>
            </w:r>
          </w:p>
        </w:tc>
      </w:tr>
      <w:tr w:rsidR="006A1FBE" w14:paraId="775A2695" w14:textId="77777777" w:rsidTr="007C301F">
        <w:trPr>
          <w:jc w:val="center"/>
        </w:trPr>
        <w:tc>
          <w:tcPr>
            <w:tcW w:w="1298" w:type="dxa"/>
            <w:vAlign w:val="center"/>
          </w:tcPr>
          <w:p w14:paraId="21A74F63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High</w:t>
            </w:r>
          </w:p>
        </w:tc>
        <w:tc>
          <w:tcPr>
            <w:tcW w:w="1217" w:type="dxa"/>
            <w:vAlign w:val="center"/>
          </w:tcPr>
          <w:p w14:paraId="2A9D44AF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--</w:t>
            </w:r>
          </w:p>
        </w:tc>
        <w:tc>
          <w:tcPr>
            <w:tcW w:w="1728" w:type="dxa"/>
            <w:vAlign w:val="center"/>
          </w:tcPr>
          <w:p w14:paraId="6E60BE7F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1.025</w:t>
            </w:r>
          </w:p>
        </w:tc>
        <w:tc>
          <w:tcPr>
            <w:tcW w:w="1692" w:type="dxa"/>
            <w:vAlign w:val="center"/>
          </w:tcPr>
          <w:p w14:paraId="1078EE93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(1.021,1.029)</w:t>
            </w:r>
          </w:p>
        </w:tc>
        <w:tc>
          <w:tcPr>
            <w:tcW w:w="1022" w:type="dxa"/>
            <w:vAlign w:val="center"/>
          </w:tcPr>
          <w:p w14:paraId="0A652831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&lt;0.001</w:t>
            </w:r>
          </w:p>
        </w:tc>
        <w:tc>
          <w:tcPr>
            <w:tcW w:w="1948" w:type="dxa"/>
            <w:vAlign w:val="center"/>
          </w:tcPr>
          <w:p w14:paraId="65C38869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--</w:t>
            </w:r>
          </w:p>
        </w:tc>
        <w:tc>
          <w:tcPr>
            <w:tcW w:w="1710" w:type="dxa"/>
            <w:vAlign w:val="center"/>
          </w:tcPr>
          <w:p w14:paraId="19550F38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--</w:t>
            </w:r>
          </w:p>
        </w:tc>
        <w:tc>
          <w:tcPr>
            <w:tcW w:w="1350" w:type="dxa"/>
            <w:vAlign w:val="center"/>
          </w:tcPr>
          <w:p w14:paraId="6F35A079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--</w:t>
            </w:r>
          </w:p>
        </w:tc>
      </w:tr>
      <w:tr w:rsidR="006A1FBE" w14:paraId="69B9085B" w14:textId="77777777" w:rsidTr="007C301F">
        <w:trPr>
          <w:jc w:val="center"/>
        </w:trPr>
        <w:tc>
          <w:tcPr>
            <w:tcW w:w="1298" w:type="dxa"/>
            <w:vAlign w:val="center"/>
          </w:tcPr>
          <w:p w14:paraId="5887203B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Low</w:t>
            </w:r>
          </w:p>
        </w:tc>
        <w:tc>
          <w:tcPr>
            <w:tcW w:w="1217" w:type="dxa"/>
            <w:vAlign w:val="center"/>
          </w:tcPr>
          <w:p w14:paraId="52EC6C3F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DE-</w:t>
            </w:r>
          </w:p>
        </w:tc>
        <w:tc>
          <w:tcPr>
            <w:tcW w:w="1728" w:type="dxa"/>
            <w:vAlign w:val="center"/>
          </w:tcPr>
          <w:p w14:paraId="53018D8B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1.010</w:t>
            </w:r>
          </w:p>
        </w:tc>
        <w:tc>
          <w:tcPr>
            <w:tcW w:w="1692" w:type="dxa"/>
            <w:vAlign w:val="center"/>
          </w:tcPr>
          <w:p w14:paraId="7D9FF378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(1.005,1.014)</w:t>
            </w:r>
          </w:p>
        </w:tc>
        <w:tc>
          <w:tcPr>
            <w:tcW w:w="1022" w:type="dxa"/>
            <w:vAlign w:val="center"/>
          </w:tcPr>
          <w:p w14:paraId="7C4C4AF6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&lt;0.001</w:t>
            </w:r>
          </w:p>
        </w:tc>
        <w:tc>
          <w:tcPr>
            <w:tcW w:w="1948" w:type="dxa"/>
            <w:vAlign w:val="center"/>
          </w:tcPr>
          <w:p w14:paraId="15E4AFB0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--</w:t>
            </w:r>
          </w:p>
        </w:tc>
        <w:tc>
          <w:tcPr>
            <w:tcW w:w="1710" w:type="dxa"/>
            <w:vAlign w:val="center"/>
          </w:tcPr>
          <w:p w14:paraId="0134B135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--</w:t>
            </w:r>
          </w:p>
        </w:tc>
        <w:tc>
          <w:tcPr>
            <w:tcW w:w="1350" w:type="dxa"/>
            <w:vAlign w:val="center"/>
          </w:tcPr>
          <w:p w14:paraId="5D7EEF8E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--</w:t>
            </w:r>
          </w:p>
        </w:tc>
      </w:tr>
      <w:tr w:rsidR="006A1FBE" w14:paraId="504B7655" w14:textId="77777777" w:rsidTr="007C301F">
        <w:trPr>
          <w:jc w:val="center"/>
        </w:trPr>
        <w:tc>
          <w:tcPr>
            <w:tcW w:w="1298" w:type="dxa"/>
            <w:vAlign w:val="center"/>
          </w:tcPr>
          <w:p w14:paraId="7A827454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Low</w:t>
            </w:r>
          </w:p>
        </w:tc>
        <w:tc>
          <w:tcPr>
            <w:tcW w:w="1217" w:type="dxa"/>
            <w:vAlign w:val="center"/>
          </w:tcPr>
          <w:p w14:paraId="79B5C295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DE+</w:t>
            </w:r>
          </w:p>
        </w:tc>
        <w:tc>
          <w:tcPr>
            <w:tcW w:w="1728" w:type="dxa"/>
            <w:vAlign w:val="center"/>
          </w:tcPr>
          <w:p w14:paraId="4CF6C8F0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1.006</w:t>
            </w:r>
          </w:p>
        </w:tc>
        <w:tc>
          <w:tcPr>
            <w:tcW w:w="1692" w:type="dxa"/>
            <w:vAlign w:val="center"/>
          </w:tcPr>
          <w:p w14:paraId="32876DF0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(1.001,1.012)</w:t>
            </w:r>
          </w:p>
        </w:tc>
        <w:tc>
          <w:tcPr>
            <w:tcW w:w="1022" w:type="dxa"/>
            <w:vAlign w:val="center"/>
          </w:tcPr>
          <w:p w14:paraId="1091665C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0.0142</w:t>
            </w:r>
          </w:p>
        </w:tc>
        <w:tc>
          <w:tcPr>
            <w:tcW w:w="1948" w:type="dxa"/>
            <w:vAlign w:val="center"/>
          </w:tcPr>
          <w:p w14:paraId="3510868E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-0.004</w:t>
            </w:r>
          </w:p>
        </w:tc>
        <w:tc>
          <w:tcPr>
            <w:tcW w:w="1710" w:type="dxa"/>
            <w:vAlign w:val="center"/>
          </w:tcPr>
          <w:p w14:paraId="5606B2BA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(-0.009, 0.002)</w:t>
            </w:r>
          </w:p>
        </w:tc>
        <w:tc>
          <w:tcPr>
            <w:tcW w:w="1350" w:type="dxa"/>
            <w:vAlign w:val="center"/>
          </w:tcPr>
          <w:p w14:paraId="5A036BCD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0.884</w:t>
            </w:r>
          </w:p>
        </w:tc>
      </w:tr>
      <w:tr w:rsidR="006A1FBE" w14:paraId="3B32AC97" w14:textId="77777777" w:rsidTr="007C301F">
        <w:trPr>
          <w:jc w:val="center"/>
        </w:trPr>
        <w:tc>
          <w:tcPr>
            <w:tcW w:w="1298" w:type="dxa"/>
            <w:vAlign w:val="center"/>
          </w:tcPr>
          <w:p w14:paraId="7A077311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Med-Low</w:t>
            </w:r>
          </w:p>
        </w:tc>
        <w:tc>
          <w:tcPr>
            <w:tcW w:w="1217" w:type="dxa"/>
            <w:vAlign w:val="center"/>
          </w:tcPr>
          <w:p w14:paraId="0AD64B5D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DE-</w:t>
            </w:r>
          </w:p>
        </w:tc>
        <w:tc>
          <w:tcPr>
            <w:tcW w:w="1728" w:type="dxa"/>
            <w:vAlign w:val="center"/>
          </w:tcPr>
          <w:p w14:paraId="5A15EFBF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1.008</w:t>
            </w:r>
          </w:p>
        </w:tc>
        <w:tc>
          <w:tcPr>
            <w:tcW w:w="1692" w:type="dxa"/>
            <w:vAlign w:val="center"/>
          </w:tcPr>
          <w:p w14:paraId="169B5EBC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(1.004,1.013)</w:t>
            </w:r>
          </w:p>
        </w:tc>
        <w:tc>
          <w:tcPr>
            <w:tcW w:w="1022" w:type="dxa"/>
            <w:vAlign w:val="center"/>
          </w:tcPr>
          <w:p w14:paraId="618E1ECC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&lt;0.001</w:t>
            </w:r>
          </w:p>
        </w:tc>
        <w:tc>
          <w:tcPr>
            <w:tcW w:w="1948" w:type="dxa"/>
            <w:vAlign w:val="center"/>
          </w:tcPr>
          <w:p w14:paraId="24406369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--</w:t>
            </w:r>
          </w:p>
        </w:tc>
        <w:tc>
          <w:tcPr>
            <w:tcW w:w="1710" w:type="dxa"/>
            <w:vAlign w:val="center"/>
          </w:tcPr>
          <w:p w14:paraId="55326AD1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--</w:t>
            </w:r>
          </w:p>
        </w:tc>
        <w:tc>
          <w:tcPr>
            <w:tcW w:w="1350" w:type="dxa"/>
            <w:vAlign w:val="center"/>
          </w:tcPr>
          <w:p w14:paraId="0A38AC32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--</w:t>
            </w:r>
          </w:p>
        </w:tc>
      </w:tr>
      <w:tr w:rsidR="006A1FBE" w14:paraId="7CC9D4E8" w14:textId="77777777" w:rsidTr="007C301F">
        <w:trPr>
          <w:jc w:val="center"/>
        </w:trPr>
        <w:tc>
          <w:tcPr>
            <w:tcW w:w="1298" w:type="dxa"/>
            <w:vAlign w:val="center"/>
          </w:tcPr>
          <w:p w14:paraId="22140010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Med-Low</w:t>
            </w:r>
          </w:p>
        </w:tc>
        <w:tc>
          <w:tcPr>
            <w:tcW w:w="1217" w:type="dxa"/>
            <w:vAlign w:val="center"/>
          </w:tcPr>
          <w:p w14:paraId="74532C2B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DE+</w:t>
            </w:r>
          </w:p>
        </w:tc>
        <w:tc>
          <w:tcPr>
            <w:tcW w:w="1728" w:type="dxa"/>
            <w:vAlign w:val="center"/>
          </w:tcPr>
          <w:p w14:paraId="35D25CF7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1.024</w:t>
            </w:r>
          </w:p>
        </w:tc>
        <w:tc>
          <w:tcPr>
            <w:tcW w:w="1692" w:type="dxa"/>
            <w:vAlign w:val="center"/>
          </w:tcPr>
          <w:p w14:paraId="62454692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(1.018,1.030)</w:t>
            </w:r>
          </w:p>
        </w:tc>
        <w:tc>
          <w:tcPr>
            <w:tcW w:w="1022" w:type="dxa"/>
            <w:vAlign w:val="center"/>
          </w:tcPr>
          <w:p w14:paraId="16B13CE3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&lt;0.001</w:t>
            </w:r>
          </w:p>
        </w:tc>
        <w:tc>
          <w:tcPr>
            <w:tcW w:w="1948" w:type="dxa"/>
            <w:vAlign w:val="center"/>
          </w:tcPr>
          <w:p w14:paraId="28798EE2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0.016</w:t>
            </w:r>
          </w:p>
        </w:tc>
        <w:tc>
          <w:tcPr>
            <w:tcW w:w="1710" w:type="dxa"/>
            <w:vAlign w:val="center"/>
          </w:tcPr>
          <w:p w14:paraId="5A6B3357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(0.010,0.022)</w:t>
            </w:r>
          </w:p>
        </w:tc>
        <w:tc>
          <w:tcPr>
            <w:tcW w:w="1350" w:type="dxa"/>
            <w:vAlign w:val="center"/>
          </w:tcPr>
          <w:p w14:paraId="5D9D7622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&lt;0.001</w:t>
            </w:r>
          </w:p>
        </w:tc>
      </w:tr>
      <w:tr w:rsidR="006A1FBE" w14:paraId="14E0B3E2" w14:textId="77777777" w:rsidTr="007C301F">
        <w:trPr>
          <w:jc w:val="center"/>
        </w:trPr>
        <w:tc>
          <w:tcPr>
            <w:tcW w:w="1298" w:type="dxa"/>
            <w:vAlign w:val="center"/>
          </w:tcPr>
          <w:p w14:paraId="65F9D153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Med-High</w:t>
            </w:r>
          </w:p>
        </w:tc>
        <w:tc>
          <w:tcPr>
            <w:tcW w:w="1217" w:type="dxa"/>
            <w:vAlign w:val="center"/>
          </w:tcPr>
          <w:p w14:paraId="3BE03F89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DE-</w:t>
            </w:r>
          </w:p>
        </w:tc>
        <w:tc>
          <w:tcPr>
            <w:tcW w:w="1728" w:type="dxa"/>
            <w:vAlign w:val="center"/>
          </w:tcPr>
          <w:p w14:paraId="24F23134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1.013</w:t>
            </w:r>
          </w:p>
        </w:tc>
        <w:tc>
          <w:tcPr>
            <w:tcW w:w="1692" w:type="dxa"/>
            <w:vAlign w:val="center"/>
          </w:tcPr>
          <w:p w14:paraId="7A5667D6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(1.008,1.018)</w:t>
            </w:r>
          </w:p>
        </w:tc>
        <w:tc>
          <w:tcPr>
            <w:tcW w:w="1022" w:type="dxa"/>
            <w:vAlign w:val="center"/>
          </w:tcPr>
          <w:p w14:paraId="5FDA75AD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&lt;0.001</w:t>
            </w:r>
          </w:p>
        </w:tc>
        <w:tc>
          <w:tcPr>
            <w:tcW w:w="1948" w:type="dxa"/>
            <w:vAlign w:val="center"/>
          </w:tcPr>
          <w:p w14:paraId="5AE14E47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--</w:t>
            </w:r>
          </w:p>
        </w:tc>
        <w:tc>
          <w:tcPr>
            <w:tcW w:w="1710" w:type="dxa"/>
            <w:vAlign w:val="center"/>
          </w:tcPr>
          <w:p w14:paraId="1084F13B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--</w:t>
            </w:r>
          </w:p>
        </w:tc>
        <w:tc>
          <w:tcPr>
            <w:tcW w:w="1350" w:type="dxa"/>
            <w:vAlign w:val="center"/>
          </w:tcPr>
          <w:p w14:paraId="57272C70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--</w:t>
            </w:r>
          </w:p>
        </w:tc>
      </w:tr>
      <w:tr w:rsidR="006A1FBE" w14:paraId="6DAB8815" w14:textId="77777777" w:rsidTr="007C301F">
        <w:trPr>
          <w:jc w:val="center"/>
        </w:trPr>
        <w:tc>
          <w:tcPr>
            <w:tcW w:w="1298" w:type="dxa"/>
            <w:vAlign w:val="center"/>
          </w:tcPr>
          <w:p w14:paraId="0B61ADDC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Med-High</w:t>
            </w:r>
          </w:p>
        </w:tc>
        <w:tc>
          <w:tcPr>
            <w:tcW w:w="1217" w:type="dxa"/>
            <w:vAlign w:val="center"/>
          </w:tcPr>
          <w:p w14:paraId="3D5792B6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DE+</w:t>
            </w:r>
          </w:p>
        </w:tc>
        <w:tc>
          <w:tcPr>
            <w:tcW w:w="1728" w:type="dxa"/>
            <w:vAlign w:val="center"/>
          </w:tcPr>
          <w:p w14:paraId="63A41606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1.027</w:t>
            </w:r>
          </w:p>
        </w:tc>
        <w:tc>
          <w:tcPr>
            <w:tcW w:w="1692" w:type="dxa"/>
            <w:vAlign w:val="center"/>
          </w:tcPr>
          <w:p w14:paraId="28EDD014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(1.022,1.033)</w:t>
            </w:r>
          </w:p>
        </w:tc>
        <w:tc>
          <w:tcPr>
            <w:tcW w:w="1022" w:type="dxa"/>
            <w:vAlign w:val="center"/>
          </w:tcPr>
          <w:p w14:paraId="46545852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&lt;0.001</w:t>
            </w:r>
          </w:p>
        </w:tc>
        <w:tc>
          <w:tcPr>
            <w:tcW w:w="1948" w:type="dxa"/>
            <w:vAlign w:val="center"/>
          </w:tcPr>
          <w:p w14:paraId="2CCD1F73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0.015</w:t>
            </w:r>
          </w:p>
        </w:tc>
        <w:tc>
          <w:tcPr>
            <w:tcW w:w="1710" w:type="dxa"/>
            <w:vAlign w:val="center"/>
          </w:tcPr>
          <w:p w14:paraId="543C5A90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(0.009,0.020)</w:t>
            </w:r>
          </w:p>
        </w:tc>
        <w:tc>
          <w:tcPr>
            <w:tcW w:w="1350" w:type="dxa"/>
            <w:vAlign w:val="center"/>
          </w:tcPr>
          <w:p w14:paraId="2A6B33B6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&lt;0.001</w:t>
            </w:r>
          </w:p>
        </w:tc>
      </w:tr>
      <w:tr w:rsidR="006A1FBE" w14:paraId="77B99847" w14:textId="77777777" w:rsidTr="007C301F">
        <w:trPr>
          <w:jc w:val="center"/>
        </w:trPr>
        <w:tc>
          <w:tcPr>
            <w:tcW w:w="1298" w:type="dxa"/>
            <w:vAlign w:val="center"/>
          </w:tcPr>
          <w:p w14:paraId="68908BF5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High</w:t>
            </w:r>
          </w:p>
        </w:tc>
        <w:tc>
          <w:tcPr>
            <w:tcW w:w="1217" w:type="dxa"/>
            <w:vAlign w:val="center"/>
          </w:tcPr>
          <w:p w14:paraId="0C561970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DE-</w:t>
            </w:r>
          </w:p>
        </w:tc>
        <w:tc>
          <w:tcPr>
            <w:tcW w:w="1728" w:type="dxa"/>
            <w:vAlign w:val="center"/>
          </w:tcPr>
          <w:p w14:paraId="5E1A9296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1.022</w:t>
            </w:r>
          </w:p>
        </w:tc>
        <w:tc>
          <w:tcPr>
            <w:tcW w:w="1692" w:type="dxa"/>
            <w:vAlign w:val="center"/>
          </w:tcPr>
          <w:p w14:paraId="3C766779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(1.017,1.028)</w:t>
            </w:r>
          </w:p>
        </w:tc>
        <w:tc>
          <w:tcPr>
            <w:tcW w:w="1022" w:type="dxa"/>
            <w:vAlign w:val="center"/>
          </w:tcPr>
          <w:p w14:paraId="256C64C6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&lt;0.001</w:t>
            </w:r>
          </w:p>
        </w:tc>
        <w:tc>
          <w:tcPr>
            <w:tcW w:w="1948" w:type="dxa"/>
            <w:vAlign w:val="center"/>
          </w:tcPr>
          <w:p w14:paraId="4A62D546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--</w:t>
            </w:r>
          </w:p>
        </w:tc>
        <w:tc>
          <w:tcPr>
            <w:tcW w:w="1710" w:type="dxa"/>
            <w:vAlign w:val="center"/>
          </w:tcPr>
          <w:p w14:paraId="4C9CB3FF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--</w:t>
            </w:r>
          </w:p>
        </w:tc>
        <w:tc>
          <w:tcPr>
            <w:tcW w:w="1350" w:type="dxa"/>
            <w:vAlign w:val="center"/>
          </w:tcPr>
          <w:p w14:paraId="32B2281C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--</w:t>
            </w:r>
          </w:p>
        </w:tc>
      </w:tr>
      <w:tr w:rsidR="006A1FBE" w14:paraId="12450035" w14:textId="77777777" w:rsidTr="007C301F">
        <w:trPr>
          <w:jc w:val="center"/>
        </w:trPr>
        <w:tc>
          <w:tcPr>
            <w:tcW w:w="1298" w:type="dxa"/>
            <w:vAlign w:val="center"/>
          </w:tcPr>
          <w:p w14:paraId="2613E164" w14:textId="77777777" w:rsidR="006A1FBE" w:rsidRPr="00A835A9" w:rsidRDefault="006A1FBE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835A9">
              <w:rPr>
                <w:rFonts w:ascii="Times New Roman" w:hAnsi="Times New Roman" w:cs="Times New Roman"/>
                <w:bCs/>
              </w:rPr>
              <w:t>High</w:t>
            </w:r>
          </w:p>
        </w:tc>
        <w:tc>
          <w:tcPr>
            <w:tcW w:w="1217" w:type="dxa"/>
            <w:vAlign w:val="center"/>
          </w:tcPr>
          <w:p w14:paraId="63BA8E12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DE+</w:t>
            </w:r>
          </w:p>
        </w:tc>
        <w:tc>
          <w:tcPr>
            <w:tcW w:w="1728" w:type="dxa"/>
            <w:vAlign w:val="center"/>
          </w:tcPr>
          <w:p w14:paraId="06E93317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1.031</w:t>
            </w:r>
          </w:p>
        </w:tc>
        <w:tc>
          <w:tcPr>
            <w:tcW w:w="1692" w:type="dxa"/>
            <w:vAlign w:val="center"/>
          </w:tcPr>
          <w:p w14:paraId="3B59B812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(1.025,1.037)</w:t>
            </w:r>
          </w:p>
        </w:tc>
        <w:tc>
          <w:tcPr>
            <w:tcW w:w="1022" w:type="dxa"/>
            <w:vAlign w:val="center"/>
          </w:tcPr>
          <w:p w14:paraId="7BF765A6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&lt;0.001</w:t>
            </w:r>
          </w:p>
        </w:tc>
        <w:tc>
          <w:tcPr>
            <w:tcW w:w="1948" w:type="dxa"/>
            <w:vAlign w:val="center"/>
          </w:tcPr>
          <w:p w14:paraId="5D038CB6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0.009</w:t>
            </w:r>
          </w:p>
        </w:tc>
        <w:tc>
          <w:tcPr>
            <w:tcW w:w="1710" w:type="dxa"/>
            <w:vAlign w:val="center"/>
          </w:tcPr>
          <w:p w14:paraId="6C3A023F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(0.003,0.014)</w:t>
            </w:r>
          </w:p>
        </w:tc>
        <w:tc>
          <w:tcPr>
            <w:tcW w:w="1350" w:type="dxa"/>
            <w:vAlign w:val="center"/>
          </w:tcPr>
          <w:p w14:paraId="08752CD1" w14:textId="77777777" w:rsidR="006A1FBE" w:rsidRPr="00A835A9" w:rsidRDefault="006A1FBE" w:rsidP="007C301F">
            <w:pPr>
              <w:pStyle w:val="Heading2"/>
              <w:spacing w:line="360" w:lineRule="auto"/>
              <w:jc w:val="center"/>
              <w:outlineLvl w:val="1"/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</w:pPr>
            <w:r w:rsidRPr="00A835A9">
              <w:rPr>
                <w:rFonts w:ascii="Times New Roman" w:eastAsiaTheme="minorEastAsia" w:hAnsi="Times New Roman" w:cs="Times New Roman"/>
                <w:b w:val="0"/>
                <w:bCs/>
                <w:szCs w:val="22"/>
              </w:rPr>
              <w:t>&lt;0.001</w:t>
            </w:r>
          </w:p>
        </w:tc>
      </w:tr>
    </w:tbl>
    <w:p w14:paraId="33BBD5D7" w14:textId="13BF75C7" w:rsidR="00BE5D73" w:rsidRDefault="006A1FBE" w:rsidP="004669E4">
      <w:pPr>
        <w:rPr>
          <w:noProof/>
        </w:rPr>
      </w:pPr>
      <w:r w:rsidRPr="00E30C02">
        <w:rPr>
          <w:b/>
          <w:bCs/>
          <w:noProof/>
        </w:rPr>
        <w:t xml:space="preserve">Table </w:t>
      </w:r>
      <w:r>
        <w:rPr>
          <w:b/>
          <w:bCs/>
          <w:noProof/>
        </w:rPr>
        <w:t>2</w:t>
      </w:r>
      <w:r w:rsidRPr="00E30C02">
        <w:rPr>
          <w:b/>
          <w:bCs/>
          <w:noProof/>
        </w:rPr>
        <w:t xml:space="preserve">. </w:t>
      </w:r>
      <w:r w:rsidRPr="00E30C02">
        <w:rPr>
          <w:noProof/>
        </w:rPr>
        <w:t>The results of full Model I and Model II (the data source of Figure 4 in the main text)</w:t>
      </w:r>
      <w:r>
        <w:rPr>
          <w:noProof/>
        </w:rPr>
        <w:t>. Cox proportional hazard models were used in both analyses. In Model II, two-sided t-tests were used to detect the wind-dependent differences in mortality influences.</w:t>
      </w:r>
    </w:p>
    <w:p w14:paraId="331615D5" w14:textId="77777777" w:rsidR="00BE5D73" w:rsidRDefault="00BE5D73">
      <w:pPr>
        <w:spacing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TableGrid"/>
        <w:tblW w:w="11335" w:type="dxa"/>
        <w:jc w:val="center"/>
        <w:tblLook w:val="04A0" w:firstRow="1" w:lastRow="0" w:firstColumn="1" w:lastColumn="0" w:noHBand="0" w:noVBand="1"/>
      </w:tblPr>
      <w:tblGrid>
        <w:gridCol w:w="870"/>
        <w:gridCol w:w="1261"/>
        <w:gridCol w:w="1124"/>
        <w:gridCol w:w="984"/>
        <w:gridCol w:w="1620"/>
        <w:gridCol w:w="990"/>
        <w:gridCol w:w="1516"/>
        <w:gridCol w:w="1620"/>
        <w:gridCol w:w="1350"/>
      </w:tblGrid>
      <w:tr w:rsidR="00BE5D73" w14:paraId="7F4DD287" w14:textId="77777777" w:rsidTr="007C301F">
        <w:trPr>
          <w:trHeight w:val="620"/>
          <w:jc w:val="center"/>
        </w:trPr>
        <w:tc>
          <w:tcPr>
            <w:tcW w:w="870" w:type="dxa"/>
            <w:shd w:val="clear" w:color="auto" w:fill="D9D9D9" w:themeFill="background1" w:themeFillShade="D9"/>
            <w:vAlign w:val="center"/>
          </w:tcPr>
          <w:p w14:paraId="71504B3E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Cs/>
                <w:szCs w:val="24"/>
              </w:rPr>
            </w:pPr>
            <w:r w:rsidRPr="00A835A9">
              <w:rPr>
                <w:rFonts w:ascii="Times New Roman" w:hAnsi="Times New Roman" w:cs="Times New Roman"/>
                <w:bCs/>
                <w:szCs w:val="24"/>
              </w:rPr>
              <w:lastRenderedPageBreak/>
              <w:t>Sub-region</w:t>
            </w:r>
          </w:p>
        </w:tc>
        <w:tc>
          <w:tcPr>
            <w:tcW w:w="1261" w:type="dxa"/>
            <w:shd w:val="clear" w:color="auto" w:fill="D9D9D9" w:themeFill="background1" w:themeFillShade="D9"/>
            <w:vAlign w:val="center"/>
          </w:tcPr>
          <w:p w14:paraId="30637293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Cs/>
                <w:noProof/>
                <w:szCs w:val="24"/>
              </w:rPr>
            </w:pPr>
            <w:r w:rsidRPr="00A835A9">
              <w:rPr>
                <w:rFonts w:ascii="Times New Roman" w:hAnsi="Times New Roman" w:cs="Times New Roman"/>
                <w:bCs/>
                <w:szCs w:val="24"/>
              </w:rPr>
              <w:t>PE level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722F3E5A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Cs/>
                <w:noProof/>
                <w:szCs w:val="24"/>
              </w:rPr>
            </w:pPr>
            <w:r w:rsidRPr="00A835A9">
              <w:rPr>
                <w:rFonts w:ascii="Times New Roman" w:hAnsi="Times New Roman" w:cs="Times New Roman"/>
                <w:bCs/>
                <w:szCs w:val="24"/>
              </w:rPr>
              <w:t>DE level</w:t>
            </w:r>
          </w:p>
        </w:tc>
        <w:tc>
          <w:tcPr>
            <w:tcW w:w="984" w:type="dxa"/>
            <w:shd w:val="clear" w:color="auto" w:fill="D9D9D9" w:themeFill="background1" w:themeFillShade="D9"/>
            <w:vAlign w:val="center"/>
          </w:tcPr>
          <w:p w14:paraId="1977F171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Cs/>
                <w:noProof/>
                <w:szCs w:val="24"/>
              </w:rPr>
            </w:pPr>
            <w:r w:rsidRPr="00A835A9">
              <w:rPr>
                <w:rFonts w:ascii="Times New Roman" w:hAnsi="Times New Roman" w:cs="Times New Roman"/>
                <w:bCs/>
                <w:szCs w:val="24"/>
              </w:rPr>
              <w:t>HR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14:paraId="29764183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Cs/>
                <w:noProof/>
                <w:szCs w:val="24"/>
              </w:rPr>
            </w:pPr>
            <w:r w:rsidRPr="00A835A9">
              <w:rPr>
                <w:rFonts w:ascii="Times New Roman" w:hAnsi="Times New Roman" w:cs="Times New Roman"/>
                <w:bCs/>
                <w:szCs w:val="24"/>
              </w:rPr>
              <w:t>95% CI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38BC00AD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Cs/>
                <w:noProof/>
                <w:szCs w:val="24"/>
              </w:rPr>
            </w:pPr>
            <w:r w:rsidRPr="00A835A9">
              <w:rPr>
                <w:rFonts w:ascii="Times New Roman" w:hAnsi="Times New Roman" w:cs="Times New Roman"/>
                <w:bCs/>
                <w:szCs w:val="24"/>
              </w:rPr>
              <w:t>P-value</w:t>
            </w:r>
          </w:p>
        </w:tc>
        <w:tc>
          <w:tcPr>
            <w:tcW w:w="1516" w:type="dxa"/>
            <w:shd w:val="clear" w:color="auto" w:fill="D9D9D9" w:themeFill="background1" w:themeFillShade="D9"/>
            <w:vAlign w:val="center"/>
          </w:tcPr>
          <w:p w14:paraId="1F72CEA2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Cs/>
                <w:szCs w:val="24"/>
              </w:rPr>
            </w:pPr>
            <w:r w:rsidRPr="00A835A9">
              <w:rPr>
                <w:rFonts w:ascii="Times New Roman" w:hAnsi="Times New Roman" w:cs="Times New Roman"/>
                <w:bCs/>
                <w:szCs w:val="24"/>
              </w:rPr>
              <w:t>DE+ vs DE- Diff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14:paraId="126DD1E7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Cs/>
                <w:szCs w:val="24"/>
              </w:rPr>
            </w:pPr>
            <w:r w:rsidRPr="00A835A9">
              <w:rPr>
                <w:rFonts w:ascii="Times New Roman" w:hAnsi="Times New Roman" w:cs="Times New Roman"/>
                <w:bCs/>
                <w:szCs w:val="24"/>
              </w:rPr>
              <w:t>95%CI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14:paraId="1A1A5579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Cs/>
                <w:szCs w:val="24"/>
              </w:rPr>
            </w:pPr>
            <w:r w:rsidRPr="00A835A9">
              <w:rPr>
                <w:rFonts w:ascii="Times New Roman" w:hAnsi="Times New Roman" w:cs="Times New Roman"/>
                <w:bCs/>
                <w:szCs w:val="24"/>
              </w:rPr>
              <w:t>P-value</w:t>
            </w:r>
          </w:p>
        </w:tc>
      </w:tr>
      <w:tr w:rsidR="00BE5D73" w:rsidRPr="00884762" w14:paraId="4F91055F" w14:textId="77777777" w:rsidTr="007C301F">
        <w:trPr>
          <w:trHeight w:val="144"/>
          <w:jc w:val="center"/>
        </w:trPr>
        <w:tc>
          <w:tcPr>
            <w:tcW w:w="870" w:type="dxa"/>
            <w:shd w:val="clear" w:color="auto" w:fill="auto"/>
            <w:vAlign w:val="center"/>
          </w:tcPr>
          <w:p w14:paraId="6792817F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North</w:t>
            </w:r>
          </w:p>
        </w:tc>
        <w:tc>
          <w:tcPr>
            <w:tcW w:w="1261" w:type="dxa"/>
            <w:shd w:val="clear" w:color="auto" w:fill="auto"/>
            <w:vAlign w:val="center"/>
          </w:tcPr>
          <w:p w14:paraId="7A7EDA19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Low</w:t>
            </w:r>
          </w:p>
        </w:tc>
        <w:tc>
          <w:tcPr>
            <w:tcW w:w="1124" w:type="dxa"/>
            <w:shd w:val="clear" w:color="auto" w:fill="auto"/>
            <w:vAlign w:val="center"/>
          </w:tcPr>
          <w:p w14:paraId="6F81DFAC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984" w:type="dxa"/>
            <w:shd w:val="clear" w:color="auto" w:fill="auto"/>
            <w:vAlign w:val="center"/>
          </w:tcPr>
          <w:p w14:paraId="646ECD95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1.016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09D1AFF7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(1.003,1.030)</w:t>
            </w:r>
          </w:p>
        </w:tc>
        <w:tc>
          <w:tcPr>
            <w:tcW w:w="990" w:type="dxa"/>
            <w:shd w:val="clear" w:color="auto" w:fill="auto"/>
            <w:vAlign w:val="center"/>
          </w:tcPr>
          <w:p w14:paraId="4C583A3F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0.008</w:t>
            </w:r>
          </w:p>
        </w:tc>
        <w:tc>
          <w:tcPr>
            <w:tcW w:w="1516" w:type="dxa"/>
            <w:shd w:val="clear" w:color="auto" w:fill="auto"/>
            <w:vAlign w:val="center"/>
          </w:tcPr>
          <w:p w14:paraId="6FBF6078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-0.024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1BE4D6C7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(-0.052,0.005)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35105B72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0.103</w:t>
            </w:r>
          </w:p>
        </w:tc>
      </w:tr>
      <w:tr w:rsidR="00BE5D73" w:rsidRPr="00884762" w14:paraId="2AE5D3E5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0987E901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North</w:t>
            </w:r>
          </w:p>
        </w:tc>
        <w:tc>
          <w:tcPr>
            <w:tcW w:w="1261" w:type="dxa"/>
            <w:vAlign w:val="center"/>
          </w:tcPr>
          <w:p w14:paraId="3E027686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Low</w:t>
            </w:r>
          </w:p>
        </w:tc>
        <w:tc>
          <w:tcPr>
            <w:tcW w:w="1124" w:type="dxa"/>
            <w:vAlign w:val="center"/>
          </w:tcPr>
          <w:p w14:paraId="7F89BE21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DE-</w:t>
            </w:r>
          </w:p>
        </w:tc>
        <w:tc>
          <w:tcPr>
            <w:tcW w:w="984" w:type="dxa"/>
            <w:vAlign w:val="center"/>
          </w:tcPr>
          <w:p w14:paraId="624FF4D1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1.017</w:t>
            </w:r>
          </w:p>
        </w:tc>
        <w:tc>
          <w:tcPr>
            <w:tcW w:w="1620" w:type="dxa"/>
            <w:vAlign w:val="center"/>
          </w:tcPr>
          <w:p w14:paraId="306FE772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(0.983,1.053)</w:t>
            </w:r>
          </w:p>
        </w:tc>
        <w:tc>
          <w:tcPr>
            <w:tcW w:w="990" w:type="dxa"/>
            <w:vAlign w:val="center"/>
          </w:tcPr>
          <w:p w14:paraId="500EBB02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0.161</w:t>
            </w:r>
          </w:p>
        </w:tc>
        <w:tc>
          <w:tcPr>
            <w:tcW w:w="1516" w:type="dxa"/>
            <w:vAlign w:val="center"/>
          </w:tcPr>
          <w:p w14:paraId="60291736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620" w:type="dxa"/>
            <w:vAlign w:val="center"/>
          </w:tcPr>
          <w:p w14:paraId="236C6A81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350" w:type="dxa"/>
            <w:vAlign w:val="center"/>
          </w:tcPr>
          <w:p w14:paraId="113EA252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</w:tr>
      <w:tr w:rsidR="00BE5D73" w:rsidRPr="00884762" w14:paraId="16DDE658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4DFEC332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North</w:t>
            </w:r>
          </w:p>
        </w:tc>
        <w:tc>
          <w:tcPr>
            <w:tcW w:w="1261" w:type="dxa"/>
            <w:vAlign w:val="center"/>
          </w:tcPr>
          <w:p w14:paraId="4193282F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Low</w:t>
            </w:r>
          </w:p>
        </w:tc>
        <w:tc>
          <w:tcPr>
            <w:tcW w:w="1124" w:type="dxa"/>
            <w:vAlign w:val="center"/>
          </w:tcPr>
          <w:p w14:paraId="457976CE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DE+</w:t>
            </w:r>
          </w:p>
        </w:tc>
        <w:tc>
          <w:tcPr>
            <w:tcW w:w="984" w:type="dxa"/>
            <w:vAlign w:val="center"/>
          </w:tcPr>
          <w:p w14:paraId="5FCF8D9B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0.994</w:t>
            </w:r>
          </w:p>
        </w:tc>
        <w:tc>
          <w:tcPr>
            <w:tcW w:w="1620" w:type="dxa"/>
            <w:vAlign w:val="center"/>
          </w:tcPr>
          <w:p w14:paraId="38786C2B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(0.970,1.018)</w:t>
            </w:r>
          </w:p>
        </w:tc>
        <w:tc>
          <w:tcPr>
            <w:tcW w:w="990" w:type="dxa"/>
            <w:vAlign w:val="center"/>
          </w:tcPr>
          <w:p w14:paraId="7EDA86EF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0.300</w:t>
            </w:r>
          </w:p>
        </w:tc>
        <w:tc>
          <w:tcPr>
            <w:tcW w:w="1516" w:type="dxa"/>
            <w:vAlign w:val="center"/>
          </w:tcPr>
          <w:p w14:paraId="20776C72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620" w:type="dxa"/>
            <w:vAlign w:val="center"/>
          </w:tcPr>
          <w:p w14:paraId="2088215D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350" w:type="dxa"/>
            <w:vAlign w:val="center"/>
          </w:tcPr>
          <w:p w14:paraId="2174BF5C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</w:tr>
      <w:tr w:rsidR="00BE5D73" w:rsidRPr="00884762" w14:paraId="5EFB58B3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59DA811A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North</w:t>
            </w:r>
          </w:p>
        </w:tc>
        <w:tc>
          <w:tcPr>
            <w:tcW w:w="1261" w:type="dxa"/>
            <w:vAlign w:val="center"/>
          </w:tcPr>
          <w:p w14:paraId="2E97B90F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Med-Low</w:t>
            </w:r>
          </w:p>
        </w:tc>
        <w:tc>
          <w:tcPr>
            <w:tcW w:w="1124" w:type="dxa"/>
            <w:vAlign w:val="center"/>
          </w:tcPr>
          <w:p w14:paraId="0DA33C89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984" w:type="dxa"/>
            <w:vAlign w:val="center"/>
          </w:tcPr>
          <w:p w14:paraId="4A55FD34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1.037</w:t>
            </w:r>
          </w:p>
        </w:tc>
        <w:tc>
          <w:tcPr>
            <w:tcW w:w="1620" w:type="dxa"/>
            <w:vAlign w:val="center"/>
          </w:tcPr>
          <w:p w14:paraId="5FDF9EE3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(1.021,1.054)</w:t>
            </w:r>
          </w:p>
        </w:tc>
        <w:tc>
          <w:tcPr>
            <w:tcW w:w="990" w:type="dxa"/>
            <w:vAlign w:val="center"/>
          </w:tcPr>
          <w:p w14:paraId="20DF52FE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&lt;0.001</w:t>
            </w:r>
          </w:p>
        </w:tc>
        <w:tc>
          <w:tcPr>
            <w:tcW w:w="1516" w:type="dxa"/>
            <w:vAlign w:val="center"/>
          </w:tcPr>
          <w:p w14:paraId="327F9CA9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0.034</w:t>
            </w:r>
          </w:p>
        </w:tc>
        <w:tc>
          <w:tcPr>
            <w:tcW w:w="1620" w:type="dxa"/>
            <w:vAlign w:val="center"/>
          </w:tcPr>
          <w:p w14:paraId="64A9D6AF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(0.010,0.057)</w:t>
            </w:r>
          </w:p>
        </w:tc>
        <w:tc>
          <w:tcPr>
            <w:tcW w:w="1350" w:type="dxa"/>
            <w:vAlign w:val="center"/>
          </w:tcPr>
          <w:p w14:paraId="629DE8DD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0.006</w:t>
            </w:r>
          </w:p>
        </w:tc>
      </w:tr>
      <w:tr w:rsidR="00BE5D73" w:rsidRPr="00884762" w14:paraId="4768AEE6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6B86B2E0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North</w:t>
            </w:r>
          </w:p>
        </w:tc>
        <w:tc>
          <w:tcPr>
            <w:tcW w:w="1261" w:type="dxa"/>
            <w:vAlign w:val="center"/>
          </w:tcPr>
          <w:p w14:paraId="29893223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Med-Low</w:t>
            </w:r>
          </w:p>
        </w:tc>
        <w:tc>
          <w:tcPr>
            <w:tcW w:w="1124" w:type="dxa"/>
            <w:vAlign w:val="center"/>
          </w:tcPr>
          <w:p w14:paraId="0F553ED0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DE-</w:t>
            </w:r>
          </w:p>
        </w:tc>
        <w:tc>
          <w:tcPr>
            <w:tcW w:w="984" w:type="dxa"/>
            <w:vAlign w:val="center"/>
          </w:tcPr>
          <w:p w14:paraId="545759B9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1.022</w:t>
            </w:r>
          </w:p>
        </w:tc>
        <w:tc>
          <w:tcPr>
            <w:tcW w:w="1620" w:type="dxa"/>
            <w:vAlign w:val="center"/>
          </w:tcPr>
          <w:p w14:paraId="3619F5D5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(1.004,1.040)</w:t>
            </w:r>
          </w:p>
        </w:tc>
        <w:tc>
          <w:tcPr>
            <w:tcW w:w="990" w:type="dxa"/>
            <w:vAlign w:val="center"/>
          </w:tcPr>
          <w:p w14:paraId="1CF8CE3D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0.007</w:t>
            </w:r>
          </w:p>
        </w:tc>
        <w:tc>
          <w:tcPr>
            <w:tcW w:w="1516" w:type="dxa"/>
            <w:vAlign w:val="center"/>
          </w:tcPr>
          <w:p w14:paraId="100CB62E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620" w:type="dxa"/>
            <w:vAlign w:val="center"/>
          </w:tcPr>
          <w:p w14:paraId="52B5C925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350" w:type="dxa"/>
            <w:vAlign w:val="center"/>
          </w:tcPr>
          <w:p w14:paraId="22F26064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</w:tr>
      <w:tr w:rsidR="00BE5D73" w:rsidRPr="00884762" w14:paraId="0B8E4AFE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160A8DD7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North</w:t>
            </w:r>
          </w:p>
        </w:tc>
        <w:tc>
          <w:tcPr>
            <w:tcW w:w="1261" w:type="dxa"/>
            <w:vAlign w:val="center"/>
          </w:tcPr>
          <w:p w14:paraId="2DF0343E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Med-Low</w:t>
            </w:r>
          </w:p>
        </w:tc>
        <w:tc>
          <w:tcPr>
            <w:tcW w:w="1124" w:type="dxa"/>
            <w:vAlign w:val="center"/>
          </w:tcPr>
          <w:p w14:paraId="7310FEC5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DE+</w:t>
            </w:r>
          </w:p>
        </w:tc>
        <w:tc>
          <w:tcPr>
            <w:tcW w:w="984" w:type="dxa"/>
            <w:vAlign w:val="center"/>
          </w:tcPr>
          <w:p w14:paraId="6E0ABA02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1.056</w:t>
            </w:r>
          </w:p>
        </w:tc>
        <w:tc>
          <w:tcPr>
            <w:tcW w:w="1620" w:type="dxa"/>
            <w:vAlign w:val="center"/>
          </w:tcPr>
          <w:p w14:paraId="2C8ED50A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(1.022,1.091)</w:t>
            </w:r>
          </w:p>
        </w:tc>
        <w:tc>
          <w:tcPr>
            <w:tcW w:w="990" w:type="dxa"/>
            <w:vAlign w:val="center"/>
          </w:tcPr>
          <w:p w14:paraId="7E8FB346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0.001</w:t>
            </w:r>
          </w:p>
        </w:tc>
        <w:tc>
          <w:tcPr>
            <w:tcW w:w="1516" w:type="dxa"/>
            <w:vAlign w:val="center"/>
          </w:tcPr>
          <w:p w14:paraId="69DD920B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620" w:type="dxa"/>
            <w:vAlign w:val="center"/>
          </w:tcPr>
          <w:p w14:paraId="74389585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350" w:type="dxa"/>
            <w:vAlign w:val="center"/>
          </w:tcPr>
          <w:p w14:paraId="39CD143D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</w:tr>
      <w:tr w:rsidR="00BE5D73" w:rsidRPr="00884762" w14:paraId="7DC3C27E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6CDFBC26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North</w:t>
            </w:r>
          </w:p>
        </w:tc>
        <w:tc>
          <w:tcPr>
            <w:tcW w:w="1261" w:type="dxa"/>
            <w:vAlign w:val="center"/>
          </w:tcPr>
          <w:p w14:paraId="5E4201C0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Med-High</w:t>
            </w:r>
          </w:p>
        </w:tc>
        <w:tc>
          <w:tcPr>
            <w:tcW w:w="1124" w:type="dxa"/>
            <w:vAlign w:val="center"/>
          </w:tcPr>
          <w:p w14:paraId="254A1E02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984" w:type="dxa"/>
            <w:vAlign w:val="center"/>
          </w:tcPr>
          <w:p w14:paraId="276E04DA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1.038</w:t>
            </w:r>
          </w:p>
        </w:tc>
        <w:tc>
          <w:tcPr>
            <w:tcW w:w="1620" w:type="dxa"/>
            <w:vAlign w:val="center"/>
          </w:tcPr>
          <w:p w14:paraId="42BCD5AB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(1.018,1.060)</w:t>
            </w:r>
          </w:p>
        </w:tc>
        <w:tc>
          <w:tcPr>
            <w:tcW w:w="990" w:type="dxa"/>
            <w:vAlign w:val="center"/>
          </w:tcPr>
          <w:p w14:paraId="615DDCFB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&lt;0.001</w:t>
            </w:r>
          </w:p>
        </w:tc>
        <w:tc>
          <w:tcPr>
            <w:tcW w:w="1516" w:type="dxa"/>
            <w:vAlign w:val="center"/>
          </w:tcPr>
          <w:p w14:paraId="68F37D8C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0.042</w:t>
            </w:r>
          </w:p>
        </w:tc>
        <w:tc>
          <w:tcPr>
            <w:tcW w:w="1620" w:type="dxa"/>
            <w:vAlign w:val="center"/>
          </w:tcPr>
          <w:p w14:paraId="60244112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(0.015,0.070)</w:t>
            </w:r>
          </w:p>
        </w:tc>
        <w:tc>
          <w:tcPr>
            <w:tcW w:w="1350" w:type="dxa"/>
            <w:vAlign w:val="center"/>
          </w:tcPr>
          <w:p w14:paraId="69E127E1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0.003</w:t>
            </w:r>
          </w:p>
        </w:tc>
      </w:tr>
      <w:tr w:rsidR="00BE5D73" w:rsidRPr="00884762" w14:paraId="330193D4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5A096138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North</w:t>
            </w:r>
          </w:p>
        </w:tc>
        <w:tc>
          <w:tcPr>
            <w:tcW w:w="1261" w:type="dxa"/>
            <w:vAlign w:val="center"/>
          </w:tcPr>
          <w:p w14:paraId="34E38E84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Med-High</w:t>
            </w:r>
          </w:p>
        </w:tc>
        <w:tc>
          <w:tcPr>
            <w:tcW w:w="1124" w:type="dxa"/>
            <w:vAlign w:val="center"/>
          </w:tcPr>
          <w:p w14:paraId="18DF2A62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DE-</w:t>
            </w:r>
          </w:p>
        </w:tc>
        <w:tc>
          <w:tcPr>
            <w:tcW w:w="984" w:type="dxa"/>
            <w:vAlign w:val="center"/>
          </w:tcPr>
          <w:p w14:paraId="4469AF91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1.010</w:t>
            </w:r>
          </w:p>
        </w:tc>
        <w:tc>
          <w:tcPr>
            <w:tcW w:w="1620" w:type="dxa"/>
            <w:vAlign w:val="center"/>
          </w:tcPr>
          <w:p w14:paraId="25812FD5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(0.984,1.037)</w:t>
            </w:r>
          </w:p>
        </w:tc>
        <w:tc>
          <w:tcPr>
            <w:tcW w:w="990" w:type="dxa"/>
            <w:vAlign w:val="center"/>
          </w:tcPr>
          <w:p w14:paraId="6814D645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0.219</w:t>
            </w:r>
          </w:p>
        </w:tc>
        <w:tc>
          <w:tcPr>
            <w:tcW w:w="1516" w:type="dxa"/>
            <w:vAlign w:val="center"/>
          </w:tcPr>
          <w:p w14:paraId="026CF162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620" w:type="dxa"/>
            <w:vAlign w:val="center"/>
          </w:tcPr>
          <w:p w14:paraId="2874E7B0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350" w:type="dxa"/>
            <w:vAlign w:val="center"/>
          </w:tcPr>
          <w:p w14:paraId="27E90F6D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</w:tr>
      <w:tr w:rsidR="00BE5D73" w:rsidRPr="00884762" w14:paraId="7A437EEE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5E90ED94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North</w:t>
            </w:r>
          </w:p>
        </w:tc>
        <w:tc>
          <w:tcPr>
            <w:tcW w:w="1261" w:type="dxa"/>
            <w:vAlign w:val="center"/>
          </w:tcPr>
          <w:p w14:paraId="78F71E21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Med-High</w:t>
            </w:r>
          </w:p>
        </w:tc>
        <w:tc>
          <w:tcPr>
            <w:tcW w:w="1124" w:type="dxa"/>
            <w:vAlign w:val="center"/>
          </w:tcPr>
          <w:p w14:paraId="3B4BD040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DE+</w:t>
            </w:r>
          </w:p>
        </w:tc>
        <w:tc>
          <w:tcPr>
            <w:tcW w:w="984" w:type="dxa"/>
            <w:vAlign w:val="center"/>
          </w:tcPr>
          <w:p w14:paraId="6680EF41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1.052</w:t>
            </w:r>
          </w:p>
        </w:tc>
        <w:tc>
          <w:tcPr>
            <w:tcW w:w="1620" w:type="dxa"/>
            <w:vAlign w:val="center"/>
          </w:tcPr>
          <w:p w14:paraId="7B677FCE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(1.022,1.084)</w:t>
            </w:r>
          </w:p>
        </w:tc>
        <w:tc>
          <w:tcPr>
            <w:tcW w:w="990" w:type="dxa"/>
            <w:vAlign w:val="center"/>
          </w:tcPr>
          <w:p w14:paraId="4C9EF0F4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&lt;0.001</w:t>
            </w:r>
          </w:p>
        </w:tc>
        <w:tc>
          <w:tcPr>
            <w:tcW w:w="1516" w:type="dxa"/>
            <w:vAlign w:val="center"/>
          </w:tcPr>
          <w:p w14:paraId="088EA8DF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620" w:type="dxa"/>
            <w:vAlign w:val="center"/>
          </w:tcPr>
          <w:p w14:paraId="63F11986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350" w:type="dxa"/>
            <w:vAlign w:val="center"/>
          </w:tcPr>
          <w:p w14:paraId="336D1175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</w:tr>
      <w:tr w:rsidR="00BE5D73" w:rsidRPr="00884762" w14:paraId="7F85621A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0A6970F7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North</w:t>
            </w:r>
          </w:p>
        </w:tc>
        <w:tc>
          <w:tcPr>
            <w:tcW w:w="1261" w:type="dxa"/>
            <w:vAlign w:val="center"/>
          </w:tcPr>
          <w:p w14:paraId="0A1F7AFE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High</w:t>
            </w:r>
          </w:p>
        </w:tc>
        <w:tc>
          <w:tcPr>
            <w:tcW w:w="1124" w:type="dxa"/>
            <w:vAlign w:val="center"/>
          </w:tcPr>
          <w:p w14:paraId="74BE0BC8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984" w:type="dxa"/>
            <w:vAlign w:val="center"/>
          </w:tcPr>
          <w:p w14:paraId="39D6E99F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1.052</w:t>
            </w:r>
          </w:p>
        </w:tc>
        <w:tc>
          <w:tcPr>
            <w:tcW w:w="1620" w:type="dxa"/>
            <w:vAlign w:val="center"/>
          </w:tcPr>
          <w:p w14:paraId="04CD5D3F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(1.024,1.080)</w:t>
            </w:r>
          </w:p>
        </w:tc>
        <w:tc>
          <w:tcPr>
            <w:tcW w:w="990" w:type="dxa"/>
            <w:vAlign w:val="center"/>
          </w:tcPr>
          <w:p w14:paraId="557EDD40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&lt;0.001</w:t>
            </w:r>
          </w:p>
        </w:tc>
        <w:tc>
          <w:tcPr>
            <w:tcW w:w="1516" w:type="dxa"/>
            <w:vAlign w:val="center"/>
          </w:tcPr>
          <w:p w14:paraId="7EFAD642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0.033</w:t>
            </w:r>
          </w:p>
        </w:tc>
        <w:tc>
          <w:tcPr>
            <w:tcW w:w="1620" w:type="dxa"/>
            <w:vAlign w:val="center"/>
          </w:tcPr>
          <w:p w14:paraId="77FAA566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(-0.004,0.069)</w:t>
            </w:r>
          </w:p>
        </w:tc>
        <w:tc>
          <w:tcPr>
            <w:tcW w:w="1350" w:type="dxa"/>
            <w:vAlign w:val="center"/>
          </w:tcPr>
          <w:p w14:paraId="65A82AF8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0.082</w:t>
            </w:r>
          </w:p>
        </w:tc>
      </w:tr>
      <w:tr w:rsidR="00BE5D73" w:rsidRPr="00884762" w14:paraId="4EBE3CA4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3B1182DF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North</w:t>
            </w:r>
          </w:p>
        </w:tc>
        <w:tc>
          <w:tcPr>
            <w:tcW w:w="1261" w:type="dxa"/>
            <w:vAlign w:val="center"/>
          </w:tcPr>
          <w:p w14:paraId="29D66F91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High</w:t>
            </w:r>
          </w:p>
        </w:tc>
        <w:tc>
          <w:tcPr>
            <w:tcW w:w="1124" w:type="dxa"/>
            <w:vAlign w:val="center"/>
          </w:tcPr>
          <w:p w14:paraId="2282DD40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DE-</w:t>
            </w:r>
          </w:p>
        </w:tc>
        <w:tc>
          <w:tcPr>
            <w:tcW w:w="984" w:type="dxa"/>
            <w:vAlign w:val="center"/>
          </w:tcPr>
          <w:p w14:paraId="116EB659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1.023</w:t>
            </w:r>
          </w:p>
        </w:tc>
        <w:tc>
          <w:tcPr>
            <w:tcW w:w="1620" w:type="dxa"/>
            <w:vAlign w:val="center"/>
          </w:tcPr>
          <w:p w14:paraId="5F561C7E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(0.989,1.058)</w:t>
            </w:r>
          </w:p>
        </w:tc>
        <w:tc>
          <w:tcPr>
            <w:tcW w:w="990" w:type="dxa"/>
            <w:vAlign w:val="center"/>
          </w:tcPr>
          <w:p w14:paraId="058FF567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0.093</w:t>
            </w:r>
          </w:p>
        </w:tc>
        <w:tc>
          <w:tcPr>
            <w:tcW w:w="1516" w:type="dxa"/>
            <w:vAlign w:val="center"/>
          </w:tcPr>
          <w:p w14:paraId="7EC62BE8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620" w:type="dxa"/>
            <w:vAlign w:val="center"/>
          </w:tcPr>
          <w:p w14:paraId="138F6C07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350" w:type="dxa"/>
            <w:vAlign w:val="center"/>
          </w:tcPr>
          <w:p w14:paraId="00300F0E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</w:tr>
      <w:tr w:rsidR="00BE5D73" w:rsidRPr="00884762" w14:paraId="3DC09A94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73292E07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North</w:t>
            </w:r>
          </w:p>
        </w:tc>
        <w:tc>
          <w:tcPr>
            <w:tcW w:w="1261" w:type="dxa"/>
            <w:vAlign w:val="center"/>
          </w:tcPr>
          <w:p w14:paraId="0DD7B197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High</w:t>
            </w:r>
          </w:p>
        </w:tc>
        <w:tc>
          <w:tcPr>
            <w:tcW w:w="1124" w:type="dxa"/>
            <w:vAlign w:val="center"/>
          </w:tcPr>
          <w:p w14:paraId="26C4A8D3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DE+</w:t>
            </w:r>
          </w:p>
        </w:tc>
        <w:tc>
          <w:tcPr>
            <w:tcW w:w="984" w:type="dxa"/>
            <w:vAlign w:val="center"/>
          </w:tcPr>
          <w:p w14:paraId="618D7E9E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1.055</w:t>
            </w:r>
          </w:p>
        </w:tc>
        <w:tc>
          <w:tcPr>
            <w:tcW w:w="1620" w:type="dxa"/>
            <w:vAlign w:val="center"/>
          </w:tcPr>
          <w:p w14:paraId="0C3F56AF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(1.014,1.099)</w:t>
            </w:r>
          </w:p>
        </w:tc>
        <w:tc>
          <w:tcPr>
            <w:tcW w:w="990" w:type="dxa"/>
            <w:vAlign w:val="center"/>
          </w:tcPr>
          <w:p w14:paraId="74ED1E89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0.004</w:t>
            </w:r>
          </w:p>
        </w:tc>
        <w:tc>
          <w:tcPr>
            <w:tcW w:w="1516" w:type="dxa"/>
            <w:vAlign w:val="center"/>
          </w:tcPr>
          <w:p w14:paraId="47B958FE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620" w:type="dxa"/>
            <w:vAlign w:val="center"/>
          </w:tcPr>
          <w:p w14:paraId="2C97DF6B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350" w:type="dxa"/>
            <w:vAlign w:val="center"/>
          </w:tcPr>
          <w:p w14:paraId="5962C8DD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</w:tr>
      <w:tr w:rsidR="00BE5D73" w:rsidRPr="00884762" w14:paraId="26CB9D82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20F706DF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East</w:t>
            </w:r>
          </w:p>
        </w:tc>
        <w:tc>
          <w:tcPr>
            <w:tcW w:w="1261" w:type="dxa"/>
            <w:vAlign w:val="center"/>
          </w:tcPr>
          <w:p w14:paraId="3FCF4A17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Low</w:t>
            </w:r>
          </w:p>
        </w:tc>
        <w:tc>
          <w:tcPr>
            <w:tcW w:w="1124" w:type="dxa"/>
            <w:vAlign w:val="center"/>
          </w:tcPr>
          <w:p w14:paraId="0E5A2D39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984" w:type="dxa"/>
            <w:vAlign w:val="center"/>
          </w:tcPr>
          <w:p w14:paraId="3485A785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0.999</w:t>
            </w:r>
          </w:p>
        </w:tc>
        <w:tc>
          <w:tcPr>
            <w:tcW w:w="1620" w:type="dxa"/>
            <w:vAlign w:val="center"/>
          </w:tcPr>
          <w:p w14:paraId="06785B8F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(0.992,1.005)</w:t>
            </w:r>
          </w:p>
        </w:tc>
        <w:tc>
          <w:tcPr>
            <w:tcW w:w="990" w:type="dxa"/>
            <w:vAlign w:val="center"/>
          </w:tcPr>
          <w:p w14:paraId="525D1FF1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0.341</w:t>
            </w:r>
          </w:p>
        </w:tc>
        <w:tc>
          <w:tcPr>
            <w:tcW w:w="1516" w:type="dxa"/>
            <w:vAlign w:val="center"/>
          </w:tcPr>
          <w:p w14:paraId="599F33B8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-0.013</w:t>
            </w:r>
          </w:p>
        </w:tc>
        <w:tc>
          <w:tcPr>
            <w:tcW w:w="1620" w:type="dxa"/>
            <w:vAlign w:val="center"/>
          </w:tcPr>
          <w:p w14:paraId="4B900B82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(-0.027,0.001)</w:t>
            </w:r>
          </w:p>
        </w:tc>
        <w:tc>
          <w:tcPr>
            <w:tcW w:w="1350" w:type="dxa"/>
            <w:vAlign w:val="center"/>
          </w:tcPr>
          <w:p w14:paraId="7016691E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0.063</w:t>
            </w:r>
          </w:p>
        </w:tc>
      </w:tr>
      <w:tr w:rsidR="00BE5D73" w:rsidRPr="00884762" w14:paraId="736C82AA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6C665692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East</w:t>
            </w:r>
          </w:p>
        </w:tc>
        <w:tc>
          <w:tcPr>
            <w:tcW w:w="1261" w:type="dxa"/>
            <w:vAlign w:val="center"/>
          </w:tcPr>
          <w:p w14:paraId="2D1410C8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Low</w:t>
            </w:r>
          </w:p>
        </w:tc>
        <w:tc>
          <w:tcPr>
            <w:tcW w:w="1124" w:type="dxa"/>
            <w:vAlign w:val="center"/>
          </w:tcPr>
          <w:p w14:paraId="75D4984D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DE-</w:t>
            </w:r>
          </w:p>
        </w:tc>
        <w:tc>
          <w:tcPr>
            <w:tcW w:w="984" w:type="dxa"/>
            <w:vAlign w:val="center"/>
          </w:tcPr>
          <w:p w14:paraId="77E3C565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1.004</w:t>
            </w:r>
          </w:p>
        </w:tc>
        <w:tc>
          <w:tcPr>
            <w:tcW w:w="1620" w:type="dxa"/>
            <w:vAlign w:val="center"/>
          </w:tcPr>
          <w:p w14:paraId="7818A49B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(0.990,1.017)</w:t>
            </w:r>
          </w:p>
        </w:tc>
        <w:tc>
          <w:tcPr>
            <w:tcW w:w="990" w:type="dxa"/>
            <w:vAlign w:val="center"/>
          </w:tcPr>
          <w:p w14:paraId="646FC452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0.195</w:t>
            </w:r>
          </w:p>
        </w:tc>
        <w:tc>
          <w:tcPr>
            <w:tcW w:w="1516" w:type="dxa"/>
            <w:vAlign w:val="center"/>
          </w:tcPr>
          <w:p w14:paraId="2ECB5AED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620" w:type="dxa"/>
            <w:vAlign w:val="center"/>
          </w:tcPr>
          <w:p w14:paraId="4A6C0778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350" w:type="dxa"/>
            <w:vAlign w:val="center"/>
          </w:tcPr>
          <w:p w14:paraId="2D676A7A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</w:tr>
      <w:tr w:rsidR="00BE5D73" w:rsidRPr="00884762" w14:paraId="0978499E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24DDA461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East</w:t>
            </w:r>
          </w:p>
        </w:tc>
        <w:tc>
          <w:tcPr>
            <w:tcW w:w="1261" w:type="dxa"/>
            <w:vAlign w:val="center"/>
          </w:tcPr>
          <w:p w14:paraId="65F7D103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Low</w:t>
            </w:r>
          </w:p>
        </w:tc>
        <w:tc>
          <w:tcPr>
            <w:tcW w:w="1124" w:type="dxa"/>
            <w:vAlign w:val="center"/>
          </w:tcPr>
          <w:p w14:paraId="6F1A4DA2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DE+</w:t>
            </w:r>
          </w:p>
        </w:tc>
        <w:tc>
          <w:tcPr>
            <w:tcW w:w="984" w:type="dxa"/>
            <w:vAlign w:val="center"/>
          </w:tcPr>
          <w:p w14:paraId="5F212F1E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0.991</w:t>
            </w:r>
          </w:p>
        </w:tc>
        <w:tc>
          <w:tcPr>
            <w:tcW w:w="1620" w:type="dxa"/>
            <w:vAlign w:val="center"/>
          </w:tcPr>
          <w:p w14:paraId="17198810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(0.977,1.005)</w:t>
            </w:r>
          </w:p>
        </w:tc>
        <w:tc>
          <w:tcPr>
            <w:tcW w:w="990" w:type="dxa"/>
            <w:vAlign w:val="center"/>
          </w:tcPr>
          <w:p w14:paraId="49859272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0.030</w:t>
            </w:r>
          </w:p>
        </w:tc>
        <w:tc>
          <w:tcPr>
            <w:tcW w:w="1516" w:type="dxa"/>
            <w:vAlign w:val="center"/>
          </w:tcPr>
          <w:p w14:paraId="245007F1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620" w:type="dxa"/>
            <w:vAlign w:val="center"/>
          </w:tcPr>
          <w:p w14:paraId="2D4D6AF0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350" w:type="dxa"/>
            <w:vAlign w:val="center"/>
          </w:tcPr>
          <w:p w14:paraId="0E0C507B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</w:tr>
      <w:tr w:rsidR="00BE5D73" w:rsidRPr="00884762" w14:paraId="508BA605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66ACD816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East</w:t>
            </w:r>
          </w:p>
        </w:tc>
        <w:tc>
          <w:tcPr>
            <w:tcW w:w="1261" w:type="dxa"/>
            <w:vAlign w:val="center"/>
          </w:tcPr>
          <w:p w14:paraId="0FEAABD9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Med-Low</w:t>
            </w:r>
          </w:p>
        </w:tc>
        <w:tc>
          <w:tcPr>
            <w:tcW w:w="1124" w:type="dxa"/>
            <w:vAlign w:val="center"/>
          </w:tcPr>
          <w:p w14:paraId="38CF4DDE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984" w:type="dxa"/>
            <w:vAlign w:val="center"/>
          </w:tcPr>
          <w:p w14:paraId="03EB13AC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1.010</w:t>
            </w:r>
          </w:p>
        </w:tc>
        <w:tc>
          <w:tcPr>
            <w:tcW w:w="1620" w:type="dxa"/>
            <w:vAlign w:val="center"/>
          </w:tcPr>
          <w:p w14:paraId="6C5E4EAD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(1.003,1.017)</w:t>
            </w:r>
          </w:p>
        </w:tc>
        <w:tc>
          <w:tcPr>
            <w:tcW w:w="990" w:type="dxa"/>
            <w:vAlign w:val="center"/>
          </w:tcPr>
          <w:p w14:paraId="78FD2E97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0.002</w:t>
            </w:r>
          </w:p>
        </w:tc>
        <w:tc>
          <w:tcPr>
            <w:tcW w:w="1516" w:type="dxa"/>
            <w:vAlign w:val="center"/>
          </w:tcPr>
          <w:p w14:paraId="23F15EDA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0.010</w:t>
            </w:r>
          </w:p>
        </w:tc>
        <w:tc>
          <w:tcPr>
            <w:tcW w:w="1620" w:type="dxa"/>
            <w:vAlign w:val="center"/>
          </w:tcPr>
          <w:p w14:paraId="7DD09EBE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(0.001,0.020)</w:t>
            </w:r>
          </w:p>
        </w:tc>
        <w:tc>
          <w:tcPr>
            <w:tcW w:w="1350" w:type="dxa"/>
            <w:vAlign w:val="center"/>
          </w:tcPr>
          <w:p w14:paraId="4766DF27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0.032</w:t>
            </w:r>
          </w:p>
        </w:tc>
      </w:tr>
      <w:tr w:rsidR="00BE5D73" w:rsidRPr="00884762" w14:paraId="6228E2FC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186CF944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East</w:t>
            </w:r>
          </w:p>
        </w:tc>
        <w:tc>
          <w:tcPr>
            <w:tcW w:w="1261" w:type="dxa"/>
            <w:vAlign w:val="center"/>
          </w:tcPr>
          <w:p w14:paraId="27A36B50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Med-Low</w:t>
            </w:r>
          </w:p>
        </w:tc>
        <w:tc>
          <w:tcPr>
            <w:tcW w:w="1124" w:type="dxa"/>
            <w:vAlign w:val="center"/>
          </w:tcPr>
          <w:p w14:paraId="4358AC16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DE-</w:t>
            </w:r>
          </w:p>
        </w:tc>
        <w:tc>
          <w:tcPr>
            <w:tcW w:w="984" w:type="dxa"/>
            <w:vAlign w:val="center"/>
          </w:tcPr>
          <w:p w14:paraId="3BCEA188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1.006</w:t>
            </w:r>
          </w:p>
        </w:tc>
        <w:tc>
          <w:tcPr>
            <w:tcW w:w="1620" w:type="dxa"/>
            <w:vAlign w:val="center"/>
          </w:tcPr>
          <w:p w14:paraId="0117BA92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(0.997,1.015)</w:t>
            </w:r>
          </w:p>
        </w:tc>
        <w:tc>
          <w:tcPr>
            <w:tcW w:w="990" w:type="dxa"/>
            <w:vAlign w:val="center"/>
          </w:tcPr>
          <w:p w14:paraId="065D368E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0.113</w:t>
            </w:r>
          </w:p>
        </w:tc>
        <w:tc>
          <w:tcPr>
            <w:tcW w:w="1516" w:type="dxa"/>
            <w:vAlign w:val="center"/>
          </w:tcPr>
          <w:p w14:paraId="41028BF3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620" w:type="dxa"/>
            <w:vAlign w:val="center"/>
          </w:tcPr>
          <w:p w14:paraId="19BFCE9E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350" w:type="dxa"/>
            <w:vAlign w:val="center"/>
          </w:tcPr>
          <w:p w14:paraId="6E6635BF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</w:tr>
      <w:tr w:rsidR="00BE5D73" w:rsidRPr="00884762" w14:paraId="4185AA71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5598CE76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East</w:t>
            </w:r>
          </w:p>
        </w:tc>
        <w:tc>
          <w:tcPr>
            <w:tcW w:w="1261" w:type="dxa"/>
            <w:vAlign w:val="center"/>
          </w:tcPr>
          <w:p w14:paraId="62357ACD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Med-Low</w:t>
            </w:r>
          </w:p>
        </w:tc>
        <w:tc>
          <w:tcPr>
            <w:tcW w:w="1124" w:type="dxa"/>
            <w:vAlign w:val="center"/>
          </w:tcPr>
          <w:p w14:paraId="38B506EE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DE+</w:t>
            </w:r>
          </w:p>
        </w:tc>
        <w:tc>
          <w:tcPr>
            <w:tcW w:w="984" w:type="dxa"/>
            <w:vAlign w:val="center"/>
          </w:tcPr>
          <w:p w14:paraId="13D7A6FD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1.016</w:t>
            </w:r>
          </w:p>
        </w:tc>
        <w:tc>
          <w:tcPr>
            <w:tcW w:w="1620" w:type="dxa"/>
            <w:vAlign w:val="center"/>
          </w:tcPr>
          <w:p w14:paraId="532DF92C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(1.006,1.026)</w:t>
            </w:r>
          </w:p>
        </w:tc>
        <w:tc>
          <w:tcPr>
            <w:tcW w:w="990" w:type="dxa"/>
            <w:vAlign w:val="center"/>
          </w:tcPr>
          <w:p w14:paraId="25BCEED8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0.001</w:t>
            </w:r>
          </w:p>
        </w:tc>
        <w:tc>
          <w:tcPr>
            <w:tcW w:w="1516" w:type="dxa"/>
            <w:vAlign w:val="center"/>
          </w:tcPr>
          <w:p w14:paraId="5C23907C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620" w:type="dxa"/>
            <w:vAlign w:val="center"/>
          </w:tcPr>
          <w:p w14:paraId="5B6AD1D7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350" w:type="dxa"/>
            <w:vAlign w:val="center"/>
          </w:tcPr>
          <w:p w14:paraId="2C011B6B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</w:tr>
      <w:tr w:rsidR="00BE5D73" w:rsidRPr="00884762" w14:paraId="560AA0C7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3FE89155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East</w:t>
            </w:r>
          </w:p>
        </w:tc>
        <w:tc>
          <w:tcPr>
            <w:tcW w:w="1261" w:type="dxa"/>
            <w:vAlign w:val="center"/>
          </w:tcPr>
          <w:p w14:paraId="581C5360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Med-High</w:t>
            </w:r>
          </w:p>
        </w:tc>
        <w:tc>
          <w:tcPr>
            <w:tcW w:w="1124" w:type="dxa"/>
            <w:vAlign w:val="center"/>
          </w:tcPr>
          <w:p w14:paraId="51B7807C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984" w:type="dxa"/>
            <w:vAlign w:val="center"/>
          </w:tcPr>
          <w:p w14:paraId="07C9037F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1.019</w:t>
            </w:r>
          </w:p>
        </w:tc>
        <w:tc>
          <w:tcPr>
            <w:tcW w:w="1620" w:type="dxa"/>
            <w:vAlign w:val="center"/>
          </w:tcPr>
          <w:p w14:paraId="4597C892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(1.012,1.026)</w:t>
            </w:r>
          </w:p>
        </w:tc>
        <w:tc>
          <w:tcPr>
            <w:tcW w:w="990" w:type="dxa"/>
            <w:vAlign w:val="center"/>
          </w:tcPr>
          <w:p w14:paraId="6AF67409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&lt;0.001</w:t>
            </w:r>
          </w:p>
        </w:tc>
        <w:tc>
          <w:tcPr>
            <w:tcW w:w="1516" w:type="dxa"/>
            <w:vAlign w:val="center"/>
          </w:tcPr>
          <w:p w14:paraId="0BCE65CC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0.018</w:t>
            </w:r>
          </w:p>
        </w:tc>
        <w:tc>
          <w:tcPr>
            <w:tcW w:w="1620" w:type="dxa"/>
            <w:vAlign w:val="center"/>
          </w:tcPr>
          <w:p w14:paraId="08240593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(0.009,0.027)</w:t>
            </w:r>
          </w:p>
        </w:tc>
        <w:tc>
          <w:tcPr>
            <w:tcW w:w="1350" w:type="dxa"/>
            <w:vAlign w:val="center"/>
          </w:tcPr>
          <w:p w14:paraId="68F6904C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&lt;0.001</w:t>
            </w:r>
          </w:p>
        </w:tc>
      </w:tr>
      <w:tr w:rsidR="00BE5D73" w:rsidRPr="00884762" w14:paraId="1808F928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70C6E515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East</w:t>
            </w:r>
          </w:p>
        </w:tc>
        <w:tc>
          <w:tcPr>
            <w:tcW w:w="1261" w:type="dxa"/>
            <w:vAlign w:val="center"/>
          </w:tcPr>
          <w:p w14:paraId="194F3AF6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Med-High</w:t>
            </w:r>
          </w:p>
        </w:tc>
        <w:tc>
          <w:tcPr>
            <w:tcW w:w="1124" w:type="dxa"/>
            <w:vAlign w:val="center"/>
          </w:tcPr>
          <w:p w14:paraId="0F95AB3D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DE-</w:t>
            </w:r>
          </w:p>
        </w:tc>
        <w:tc>
          <w:tcPr>
            <w:tcW w:w="984" w:type="dxa"/>
            <w:vAlign w:val="center"/>
          </w:tcPr>
          <w:p w14:paraId="7BD6FBA7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1.013</w:t>
            </w:r>
          </w:p>
        </w:tc>
        <w:tc>
          <w:tcPr>
            <w:tcW w:w="1620" w:type="dxa"/>
            <w:vAlign w:val="center"/>
          </w:tcPr>
          <w:p w14:paraId="0181343A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(1.005,1.021)</w:t>
            </w:r>
          </w:p>
        </w:tc>
        <w:tc>
          <w:tcPr>
            <w:tcW w:w="990" w:type="dxa"/>
            <w:vAlign w:val="center"/>
          </w:tcPr>
          <w:p w14:paraId="54BD409A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0.001</w:t>
            </w:r>
          </w:p>
        </w:tc>
        <w:tc>
          <w:tcPr>
            <w:tcW w:w="1516" w:type="dxa"/>
            <w:vAlign w:val="center"/>
          </w:tcPr>
          <w:p w14:paraId="7B64423D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620" w:type="dxa"/>
            <w:vAlign w:val="center"/>
          </w:tcPr>
          <w:p w14:paraId="504E11D9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350" w:type="dxa"/>
            <w:vAlign w:val="center"/>
          </w:tcPr>
          <w:p w14:paraId="5E0F9D0E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</w:tr>
      <w:tr w:rsidR="00BE5D73" w:rsidRPr="00884762" w14:paraId="0FD578F9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2B4B298E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East</w:t>
            </w:r>
          </w:p>
        </w:tc>
        <w:tc>
          <w:tcPr>
            <w:tcW w:w="1261" w:type="dxa"/>
            <w:vAlign w:val="center"/>
          </w:tcPr>
          <w:p w14:paraId="7D8604FF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Med-High</w:t>
            </w:r>
          </w:p>
        </w:tc>
        <w:tc>
          <w:tcPr>
            <w:tcW w:w="1124" w:type="dxa"/>
            <w:vAlign w:val="center"/>
          </w:tcPr>
          <w:p w14:paraId="197AB7BB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DE+</w:t>
            </w:r>
          </w:p>
        </w:tc>
        <w:tc>
          <w:tcPr>
            <w:tcW w:w="984" w:type="dxa"/>
            <w:vAlign w:val="center"/>
          </w:tcPr>
          <w:p w14:paraId="13E7359C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1.031</w:t>
            </w:r>
          </w:p>
        </w:tc>
        <w:tc>
          <w:tcPr>
            <w:tcW w:w="1620" w:type="dxa"/>
            <w:vAlign w:val="center"/>
          </w:tcPr>
          <w:p w14:paraId="28006FC0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(1.020,1.041)</w:t>
            </w:r>
          </w:p>
        </w:tc>
        <w:tc>
          <w:tcPr>
            <w:tcW w:w="990" w:type="dxa"/>
            <w:vAlign w:val="center"/>
          </w:tcPr>
          <w:p w14:paraId="33CBD691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&lt;0.001</w:t>
            </w:r>
          </w:p>
        </w:tc>
        <w:tc>
          <w:tcPr>
            <w:tcW w:w="1516" w:type="dxa"/>
            <w:vAlign w:val="center"/>
          </w:tcPr>
          <w:p w14:paraId="2DF34CE6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620" w:type="dxa"/>
            <w:vAlign w:val="center"/>
          </w:tcPr>
          <w:p w14:paraId="69D9CD52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350" w:type="dxa"/>
            <w:vAlign w:val="center"/>
          </w:tcPr>
          <w:p w14:paraId="63A6C4B6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</w:tr>
      <w:tr w:rsidR="00BE5D73" w:rsidRPr="00884762" w14:paraId="718B8AAA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0B8EAFCB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East</w:t>
            </w:r>
          </w:p>
        </w:tc>
        <w:tc>
          <w:tcPr>
            <w:tcW w:w="1261" w:type="dxa"/>
            <w:vAlign w:val="center"/>
          </w:tcPr>
          <w:p w14:paraId="7BFAAF39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High</w:t>
            </w:r>
          </w:p>
        </w:tc>
        <w:tc>
          <w:tcPr>
            <w:tcW w:w="1124" w:type="dxa"/>
            <w:vAlign w:val="center"/>
          </w:tcPr>
          <w:p w14:paraId="5B210B8D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984" w:type="dxa"/>
            <w:vAlign w:val="center"/>
          </w:tcPr>
          <w:p w14:paraId="1DC50527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1.029</w:t>
            </w:r>
          </w:p>
        </w:tc>
        <w:tc>
          <w:tcPr>
            <w:tcW w:w="1620" w:type="dxa"/>
            <w:vAlign w:val="center"/>
          </w:tcPr>
          <w:p w14:paraId="2A637659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(1.020,1.038)</w:t>
            </w:r>
          </w:p>
        </w:tc>
        <w:tc>
          <w:tcPr>
            <w:tcW w:w="990" w:type="dxa"/>
            <w:vAlign w:val="center"/>
          </w:tcPr>
          <w:p w14:paraId="44BFEB41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&lt;0.001</w:t>
            </w:r>
          </w:p>
        </w:tc>
        <w:tc>
          <w:tcPr>
            <w:tcW w:w="1516" w:type="dxa"/>
            <w:vAlign w:val="center"/>
          </w:tcPr>
          <w:p w14:paraId="11B0FBED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0.012</w:t>
            </w:r>
          </w:p>
        </w:tc>
        <w:tc>
          <w:tcPr>
            <w:tcW w:w="1620" w:type="dxa"/>
            <w:vAlign w:val="center"/>
          </w:tcPr>
          <w:p w14:paraId="4DBD685F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(0.000,0.024)</w:t>
            </w:r>
          </w:p>
        </w:tc>
        <w:tc>
          <w:tcPr>
            <w:tcW w:w="1350" w:type="dxa"/>
            <w:vAlign w:val="center"/>
          </w:tcPr>
          <w:p w14:paraId="7659E3F8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0.046</w:t>
            </w:r>
          </w:p>
        </w:tc>
      </w:tr>
      <w:tr w:rsidR="00BE5D73" w:rsidRPr="00884762" w14:paraId="0FC94994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1153996A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East</w:t>
            </w:r>
          </w:p>
        </w:tc>
        <w:tc>
          <w:tcPr>
            <w:tcW w:w="1261" w:type="dxa"/>
            <w:vAlign w:val="center"/>
          </w:tcPr>
          <w:p w14:paraId="4F314283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High</w:t>
            </w:r>
          </w:p>
        </w:tc>
        <w:tc>
          <w:tcPr>
            <w:tcW w:w="1124" w:type="dxa"/>
            <w:vAlign w:val="center"/>
          </w:tcPr>
          <w:p w14:paraId="2FD16E9D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DE-</w:t>
            </w:r>
          </w:p>
        </w:tc>
        <w:tc>
          <w:tcPr>
            <w:tcW w:w="984" w:type="dxa"/>
            <w:vAlign w:val="center"/>
          </w:tcPr>
          <w:p w14:paraId="108D3A68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1.024</w:t>
            </w:r>
          </w:p>
        </w:tc>
        <w:tc>
          <w:tcPr>
            <w:tcW w:w="1620" w:type="dxa"/>
            <w:vAlign w:val="center"/>
          </w:tcPr>
          <w:p w14:paraId="15065232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(1.011,1.037)</w:t>
            </w:r>
          </w:p>
        </w:tc>
        <w:tc>
          <w:tcPr>
            <w:tcW w:w="990" w:type="dxa"/>
            <w:vAlign w:val="center"/>
          </w:tcPr>
          <w:p w14:paraId="2E8BF44C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&lt;0.001</w:t>
            </w:r>
          </w:p>
        </w:tc>
        <w:tc>
          <w:tcPr>
            <w:tcW w:w="1516" w:type="dxa"/>
            <w:vAlign w:val="center"/>
          </w:tcPr>
          <w:p w14:paraId="4A27E0EC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620" w:type="dxa"/>
            <w:vAlign w:val="center"/>
          </w:tcPr>
          <w:p w14:paraId="76ECAB5A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350" w:type="dxa"/>
            <w:vAlign w:val="center"/>
          </w:tcPr>
          <w:p w14:paraId="707691EE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</w:tr>
      <w:tr w:rsidR="00BE5D73" w:rsidRPr="00884762" w14:paraId="681DAD4A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38187ED2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East</w:t>
            </w:r>
          </w:p>
        </w:tc>
        <w:tc>
          <w:tcPr>
            <w:tcW w:w="1261" w:type="dxa"/>
            <w:vAlign w:val="center"/>
          </w:tcPr>
          <w:p w14:paraId="1EC5FFC7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High</w:t>
            </w:r>
          </w:p>
        </w:tc>
        <w:tc>
          <w:tcPr>
            <w:tcW w:w="1124" w:type="dxa"/>
            <w:vAlign w:val="center"/>
          </w:tcPr>
          <w:p w14:paraId="2CF245B1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DE+</w:t>
            </w:r>
          </w:p>
        </w:tc>
        <w:tc>
          <w:tcPr>
            <w:tcW w:w="984" w:type="dxa"/>
            <w:vAlign w:val="center"/>
          </w:tcPr>
          <w:p w14:paraId="65686D51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1.036</w:t>
            </w:r>
          </w:p>
        </w:tc>
        <w:tc>
          <w:tcPr>
            <w:tcW w:w="1620" w:type="dxa"/>
            <w:vAlign w:val="center"/>
          </w:tcPr>
          <w:p w14:paraId="7236AA58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(1.025,1.048)</w:t>
            </w:r>
          </w:p>
        </w:tc>
        <w:tc>
          <w:tcPr>
            <w:tcW w:w="990" w:type="dxa"/>
            <w:vAlign w:val="center"/>
          </w:tcPr>
          <w:p w14:paraId="3631DDB7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&lt;0.001</w:t>
            </w:r>
          </w:p>
        </w:tc>
        <w:tc>
          <w:tcPr>
            <w:tcW w:w="1516" w:type="dxa"/>
            <w:vAlign w:val="center"/>
          </w:tcPr>
          <w:p w14:paraId="3213971D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620" w:type="dxa"/>
            <w:vAlign w:val="center"/>
          </w:tcPr>
          <w:p w14:paraId="34990103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350" w:type="dxa"/>
            <w:vAlign w:val="center"/>
          </w:tcPr>
          <w:p w14:paraId="6CC8A2E2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</w:tr>
      <w:tr w:rsidR="00BE5D73" w:rsidRPr="00884762" w14:paraId="7499D0EC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558DCD05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South</w:t>
            </w:r>
          </w:p>
        </w:tc>
        <w:tc>
          <w:tcPr>
            <w:tcW w:w="1261" w:type="dxa"/>
            <w:vAlign w:val="center"/>
          </w:tcPr>
          <w:p w14:paraId="3BFF0A30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Low</w:t>
            </w:r>
          </w:p>
        </w:tc>
        <w:tc>
          <w:tcPr>
            <w:tcW w:w="1124" w:type="dxa"/>
            <w:vAlign w:val="center"/>
          </w:tcPr>
          <w:p w14:paraId="4236B751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984" w:type="dxa"/>
            <w:vAlign w:val="center"/>
          </w:tcPr>
          <w:p w14:paraId="48237D23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1.001</w:t>
            </w:r>
          </w:p>
        </w:tc>
        <w:tc>
          <w:tcPr>
            <w:tcW w:w="1620" w:type="dxa"/>
            <w:vAlign w:val="center"/>
          </w:tcPr>
          <w:p w14:paraId="148471F9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(0.995,1.007)</w:t>
            </w:r>
          </w:p>
        </w:tc>
        <w:tc>
          <w:tcPr>
            <w:tcW w:w="990" w:type="dxa"/>
            <w:vAlign w:val="center"/>
          </w:tcPr>
          <w:p w14:paraId="38151129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0.347</w:t>
            </w:r>
          </w:p>
        </w:tc>
        <w:tc>
          <w:tcPr>
            <w:tcW w:w="1516" w:type="dxa"/>
            <w:vAlign w:val="center"/>
          </w:tcPr>
          <w:p w14:paraId="1B40121C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0.011</w:t>
            </w:r>
          </w:p>
        </w:tc>
        <w:tc>
          <w:tcPr>
            <w:tcW w:w="1620" w:type="dxa"/>
            <w:vAlign w:val="center"/>
          </w:tcPr>
          <w:p w14:paraId="04038934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(0.002,0.019)</w:t>
            </w:r>
          </w:p>
        </w:tc>
        <w:tc>
          <w:tcPr>
            <w:tcW w:w="1350" w:type="dxa"/>
            <w:vAlign w:val="center"/>
          </w:tcPr>
          <w:p w14:paraId="16B338E1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0.015</w:t>
            </w:r>
          </w:p>
        </w:tc>
      </w:tr>
      <w:tr w:rsidR="00BE5D73" w:rsidRPr="00884762" w14:paraId="7BBB1777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4BF0EEFC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South</w:t>
            </w:r>
          </w:p>
        </w:tc>
        <w:tc>
          <w:tcPr>
            <w:tcW w:w="1261" w:type="dxa"/>
            <w:vAlign w:val="center"/>
          </w:tcPr>
          <w:p w14:paraId="750D201F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Low</w:t>
            </w:r>
          </w:p>
        </w:tc>
        <w:tc>
          <w:tcPr>
            <w:tcW w:w="1124" w:type="dxa"/>
            <w:vAlign w:val="center"/>
          </w:tcPr>
          <w:p w14:paraId="139638A8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DE-</w:t>
            </w:r>
          </w:p>
        </w:tc>
        <w:tc>
          <w:tcPr>
            <w:tcW w:w="984" w:type="dxa"/>
            <w:vAlign w:val="center"/>
          </w:tcPr>
          <w:p w14:paraId="05082E05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0.997</w:t>
            </w:r>
          </w:p>
        </w:tc>
        <w:tc>
          <w:tcPr>
            <w:tcW w:w="1620" w:type="dxa"/>
            <w:vAlign w:val="center"/>
          </w:tcPr>
          <w:p w14:paraId="25DA3702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(0.990,1.005)</w:t>
            </w:r>
          </w:p>
        </w:tc>
        <w:tc>
          <w:tcPr>
            <w:tcW w:w="990" w:type="dxa"/>
            <w:vAlign w:val="center"/>
          </w:tcPr>
          <w:p w14:paraId="3F7CFC40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0.231</w:t>
            </w:r>
          </w:p>
        </w:tc>
        <w:tc>
          <w:tcPr>
            <w:tcW w:w="1516" w:type="dxa"/>
            <w:vAlign w:val="center"/>
          </w:tcPr>
          <w:p w14:paraId="38E609C1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620" w:type="dxa"/>
            <w:vAlign w:val="center"/>
          </w:tcPr>
          <w:p w14:paraId="6C10F72B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350" w:type="dxa"/>
            <w:vAlign w:val="center"/>
          </w:tcPr>
          <w:p w14:paraId="61E72674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</w:tr>
      <w:tr w:rsidR="00BE5D73" w:rsidRPr="00884762" w14:paraId="37D984CC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53801C93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South</w:t>
            </w:r>
          </w:p>
        </w:tc>
        <w:tc>
          <w:tcPr>
            <w:tcW w:w="1261" w:type="dxa"/>
            <w:vAlign w:val="center"/>
          </w:tcPr>
          <w:p w14:paraId="74D5266A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Low</w:t>
            </w:r>
          </w:p>
        </w:tc>
        <w:tc>
          <w:tcPr>
            <w:tcW w:w="1124" w:type="dxa"/>
            <w:vAlign w:val="center"/>
          </w:tcPr>
          <w:p w14:paraId="302FA9BE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DE+</w:t>
            </w:r>
          </w:p>
        </w:tc>
        <w:tc>
          <w:tcPr>
            <w:tcW w:w="984" w:type="dxa"/>
            <w:vAlign w:val="center"/>
          </w:tcPr>
          <w:p w14:paraId="2F8FB3F8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1.008</w:t>
            </w:r>
          </w:p>
        </w:tc>
        <w:tc>
          <w:tcPr>
            <w:tcW w:w="1620" w:type="dxa"/>
            <w:vAlign w:val="center"/>
          </w:tcPr>
          <w:p w14:paraId="36F7F1AF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(0.998,1.017)</w:t>
            </w:r>
          </w:p>
        </w:tc>
        <w:tc>
          <w:tcPr>
            <w:tcW w:w="990" w:type="dxa"/>
            <w:vAlign w:val="center"/>
          </w:tcPr>
          <w:p w14:paraId="60FF9014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0.058</w:t>
            </w:r>
          </w:p>
        </w:tc>
        <w:tc>
          <w:tcPr>
            <w:tcW w:w="1516" w:type="dxa"/>
            <w:vAlign w:val="center"/>
          </w:tcPr>
          <w:p w14:paraId="4747305F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620" w:type="dxa"/>
            <w:vAlign w:val="center"/>
          </w:tcPr>
          <w:p w14:paraId="111795F0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350" w:type="dxa"/>
            <w:vAlign w:val="center"/>
          </w:tcPr>
          <w:p w14:paraId="50DFE177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</w:tr>
      <w:tr w:rsidR="00BE5D73" w:rsidRPr="00884762" w14:paraId="064D8A86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2EC85589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South</w:t>
            </w:r>
          </w:p>
        </w:tc>
        <w:tc>
          <w:tcPr>
            <w:tcW w:w="1261" w:type="dxa"/>
            <w:vAlign w:val="center"/>
          </w:tcPr>
          <w:p w14:paraId="568630ED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Med-Low</w:t>
            </w:r>
          </w:p>
        </w:tc>
        <w:tc>
          <w:tcPr>
            <w:tcW w:w="1124" w:type="dxa"/>
            <w:vAlign w:val="center"/>
          </w:tcPr>
          <w:p w14:paraId="750FCADD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984" w:type="dxa"/>
            <w:vAlign w:val="center"/>
          </w:tcPr>
          <w:p w14:paraId="79E66729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1.009</w:t>
            </w:r>
          </w:p>
        </w:tc>
        <w:tc>
          <w:tcPr>
            <w:tcW w:w="1620" w:type="dxa"/>
            <w:vAlign w:val="center"/>
          </w:tcPr>
          <w:p w14:paraId="171078DF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(1.005,1.014)</w:t>
            </w:r>
          </w:p>
        </w:tc>
        <w:tc>
          <w:tcPr>
            <w:tcW w:w="990" w:type="dxa"/>
            <w:vAlign w:val="center"/>
          </w:tcPr>
          <w:p w14:paraId="6DF9C8EB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&lt;0.001</w:t>
            </w:r>
          </w:p>
        </w:tc>
        <w:tc>
          <w:tcPr>
            <w:tcW w:w="1516" w:type="dxa"/>
            <w:vAlign w:val="center"/>
          </w:tcPr>
          <w:p w14:paraId="229DCB45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0.003</w:t>
            </w:r>
          </w:p>
        </w:tc>
        <w:tc>
          <w:tcPr>
            <w:tcW w:w="1620" w:type="dxa"/>
            <w:vAlign w:val="center"/>
          </w:tcPr>
          <w:p w14:paraId="1A8BDF20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(-0.003,0.009)</w:t>
            </w:r>
          </w:p>
        </w:tc>
        <w:tc>
          <w:tcPr>
            <w:tcW w:w="1350" w:type="dxa"/>
            <w:vAlign w:val="center"/>
          </w:tcPr>
          <w:p w14:paraId="02FB85ED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0.346</w:t>
            </w:r>
          </w:p>
        </w:tc>
      </w:tr>
      <w:tr w:rsidR="00BE5D73" w:rsidRPr="00884762" w14:paraId="326A8C97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67C7FDB6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South</w:t>
            </w:r>
          </w:p>
        </w:tc>
        <w:tc>
          <w:tcPr>
            <w:tcW w:w="1261" w:type="dxa"/>
            <w:vAlign w:val="center"/>
          </w:tcPr>
          <w:p w14:paraId="7E5D2770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Med-Low</w:t>
            </w:r>
          </w:p>
        </w:tc>
        <w:tc>
          <w:tcPr>
            <w:tcW w:w="1124" w:type="dxa"/>
            <w:vAlign w:val="center"/>
          </w:tcPr>
          <w:p w14:paraId="56BF0007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DE-</w:t>
            </w:r>
          </w:p>
        </w:tc>
        <w:tc>
          <w:tcPr>
            <w:tcW w:w="984" w:type="dxa"/>
            <w:vAlign w:val="center"/>
          </w:tcPr>
          <w:p w14:paraId="7870EE9F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1.008</w:t>
            </w:r>
          </w:p>
        </w:tc>
        <w:tc>
          <w:tcPr>
            <w:tcW w:w="1620" w:type="dxa"/>
            <w:vAlign w:val="center"/>
          </w:tcPr>
          <w:p w14:paraId="1F7F410D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(1.003,1.013)</w:t>
            </w:r>
          </w:p>
        </w:tc>
        <w:tc>
          <w:tcPr>
            <w:tcW w:w="990" w:type="dxa"/>
            <w:vAlign w:val="center"/>
          </w:tcPr>
          <w:p w14:paraId="6FEF49CA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0.001</w:t>
            </w:r>
          </w:p>
        </w:tc>
        <w:tc>
          <w:tcPr>
            <w:tcW w:w="1516" w:type="dxa"/>
            <w:vAlign w:val="center"/>
          </w:tcPr>
          <w:p w14:paraId="49EEC1D1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620" w:type="dxa"/>
            <w:vAlign w:val="center"/>
          </w:tcPr>
          <w:p w14:paraId="678E5D71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350" w:type="dxa"/>
            <w:vAlign w:val="center"/>
          </w:tcPr>
          <w:p w14:paraId="5BA3B52E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</w:tr>
      <w:tr w:rsidR="00BE5D73" w:rsidRPr="00884762" w14:paraId="0B668D30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3CA03F64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South</w:t>
            </w:r>
          </w:p>
        </w:tc>
        <w:tc>
          <w:tcPr>
            <w:tcW w:w="1261" w:type="dxa"/>
            <w:vAlign w:val="center"/>
          </w:tcPr>
          <w:p w14:paraId="6AACC48E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Med-Low</w:t>
            </w:r>
          </w:p>
        </w:tc>
        <w:tc>
          <w:tcPr>
            <w:tcW w:w="1124" w:type="dxa"/>
            <w:vAlign w:val="center"/>
          </w:tcPr>
          <w:p w14:paraId="00FD64A4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DE+</w:t>
            </w:r>
          </w:p>
        </w:tc>
        <w:tc>
          <w:tcPr>
            <w:tcW w:w="984" w:type="dxa"/>
            <w:vAlign w:val="center"/>
          </w:tcPr>
          <w:p w14:paraId="140A8E05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1.011</w:t>
            </w:r>
          </w:p>
        </w:tc>
        <w:tc>
          <w:tcPr>
            <w:tcW w:w="1620" w:type="dxa"/>
            <w:vAlign w:val="center"/>
          </w:tcPr>
          <w:p w14:paraId="73F71042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(1.004,1.018)</w:t>
            </w:r>
          </w:p>
        </w:tc>
        <w:tc>
          <w:tcPr>
            <w:tcW w:w="990" w:type="dxa"/>
            <w:vAlign w:val="center"/>
          </w:tcPr>
          <w:p w14:paraId="6837B364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0.001</w:t>
            </w:r>
          </w:p>
        </w:tc>
        <w:tc>
          <w:tcPr>
            <w:tcW w:w="1516" w:type="dxa"/>
            <w:vAlign w:val="center"/>
          </w:tcPr>
          <w:p w14:paraId="3BE9EBDB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620" w:type="dxa"/>
            <w:vAlign w:val="center"/>
          </w:tcPr>
          <w:p w14:paraId="1809F2F3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350" w:type="dxa"/>
            <w:vAlign w:val="center"/>
          </w:tcPr>
          <w:p w14:paraId="50BA0534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</w:tr>
      <w:tr w:rsidR="00BE5D73" w:rsidRPr="00884762" w14:paraId="7425C81E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78431020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South</w:t>
            </w:r>
          </w:p>
        </w:tc>
        <w:tc>
          <w:tcPr>
            <w:tcW w:w="1261" w:type="dxa"/>
            <w:vAlign w:val="center"/>
          </w:tcPr>
          <w:p w14:paraId="3FCE837A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Med-High</w:t>
            </w:r>
          </w:p>
        </w:tc>
        <w:tc>
          <w:tcPr>
            <w:tcW w:w="1124" w:type="dxa"/>
            <w:vAlign w:val="center"/>
          </w:tcPr>
          <w:p w14:paraId="7096AFDE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984" w:type="dxa"/>
            <w:vAlign w:val="center"/>
          </w:tcPr>
          <w:p w14:paraId="5FE5BB9A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1.003</w:t>
            </w:r>
          </w:p>
        </w:tc>
        <w:tc>
          <w:tcPr>
            <w:tcW w:w="1620" w:type="dxa"/>
            <w:vAlign w:val="center"/>
          </w:tcPr>
          <w:p w14:paraId="0B5AE8C7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(0.998,1.008)</w:t>
            </w:r>
          </w:p>
        </w:tc>
        <w:tc>
          <w:tcPr>
            <w:tcW w:w="990" w:type="dxa"/>
            <w:vAlign w:val="center"/>
          </w:tcPr>
          <w:p w14:paraId="39A0C800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0.104</w:t>
            </w:r>
          </w:p>
        </w:tc>
        <w:tc>
          <w:tcPr>
            <w:tcW w:w="1516" w:type="dxa"/>
            <w:vAlign w:val="center"/>
          </w:tcPr>
          <w:p w14:paraId="68257A32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0.000</w:t>
            </w:r>
          </w:p>
        </w:tc>
        <w:tc>
          <w:tcPr>
            <w:tcW w:w="1620" w:type="dxa"/>
            <w:vAlign w:val="center"/>
          </w:tcPr>
          <w:p w14:paraId="00CDB3F9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(-0.006,0.006)</w:t>
            </w:r>
          </w:p>
        </w:tc>
        <w:tc>
          <w:tcPr>
            <w:tcW w:w="1350" w:type="dxa"/>
            <w:vAlign w:val="center"/>
          </w:tcPr>
          <w:p w14:paraId="6E7E08D5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0.935</w:t>
            </w:r>
          </w:p>
        </w:tc>
      </w:tr>
      <w:tr w:rsidR="00BE5D73" w:rsidRPr="00884762" w14:paraId="24E80ACE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687B0C20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South</w:t>
            </w:r>
          </w:p>
        </w:tc>
        <w:tc>
          <w:tcPr>
            <w:tcW w:w="1261" w:type="dxa"/>
            <w:vAlign w:val="center"/>
          </w:tcPr>
          <w:p w14:paraId="538D10C0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Med-High</w:t>
            </w:r>
          </w:p>
        </w:tc>
        <w:tc>
          <w:tcPr>
            <w:tcW w:w="1124" w:type="dxa"/>
            <w:vAlign w:val="center"/>
          </w:tcPr>
          <w:p w14:paraId="65C86985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DE-</w:t>
            </w:r>
          </w:p>
        </w:tc>
        <w:tc>
          <w:tcPr>
            <w:tcW w:w="984" w:type="dxa"/>
            <w:vAlign w:val="center"/>
          </w:tcPr>
          <w:p w14:paraId="5484F000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1.003</w:t>
            </w:r>
          </w:p>
        </w:tc>
        <w:tc>
          <w:tcPr>
            <w:tcW w:w="1620" w:type="dxa"/>
            <w:vAlign w:val="center"/>
          </w:tcPr>
          <w:p w14:paraId="0AF8244B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(0.997,1.009)</w:t>
            </w:r>
          </w:p>
        </w:tc>
        <w:tc>
          <w:tcPr>
            <w:tcW w:w="990" w:type="dxa"/>
            <w:vAlign w:val="center"/>
          </w:tcPr>
          <w:p w14:paraId="6C95011F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0.165</w:t>
            </w:r>
          </w:p>
        </w:tc>
        <w:tc>
          <w:tcPr>
            <w:tcW w:w="1516" w:type="dxa"/>
            <w:vAlign w:val="center"/>
          </w:tcPr>
          <w:p w14:paraId="2B590517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620" w:type="dxa"/>
            <w:vAlign w:val="center"/>
          </w:tcPr>
          <w:p w14:paraId="1124FC87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350" w:type="dxa"/>
            <w:vAlign w:val="center"/>
          </w:tcPr>
          <w:p w14:paraId="52F89139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</w:tr>
      <w:tr w:rsidR="00BE5D73" w:rsidRPr="00884762" w14:paraId="4A9CC3A1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74F3452B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South</w:t>
            </w:r>
          </w:p>
        </w:tc>
        <w:tc>
          <w:tcPr>
            <w:tcW w:w="1261" w:type="dxa"/>
            <w:vAlign w:val="center"/>
          </w:tcPr>
          <w:p w14:paraId="33B175A3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Med-High</w:t>
            </w:r>
          </w:p>
        </w:tc>
        <w:tc>
          <w:tcPr>
            <w:tcW w:w="1124" w:type="dxa"/>
            <w:vAlign w:val="center"/>
          </w:tcPr>
          <w:p w14:paraId="39FAC129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DE+</w:t>
            </w:r>
          </w:p>
        </w:tc>
        <w:tc>
          <w:tcPr>
            <w:tcW w:w="984" w:type="dxa"/>
            <w:vAlign w:val="center"/>
          </w:tcPr>
          <w:p w14:paraId="63D11EA7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1.003</w:t>
            </w:r>
          </w:p>
        </w:tc>
        <w:tc>
          <w:tcPr>
            <w:tcW w:w="1620" w:type="dxa"/>
            <w:vAlign w:val="center"/>
          </w:tcPr>
          <w:p w14:paraId="6891E7EC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(0.997,1.009)</w:t>
            </w:r>
          </w:p>
        </w:tc>
        <w:tc>
          <w:tcPr>
            <w:tcW w:w="990" w:type="dxa"/>
            <w:vAlign w:val="center"/>
          </w:tcPr>
          <w:p w14:paraId="407B4138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0.161</w:t>
            </w:r>
          </w:p>
        </w:tc>
        <w:tc>
          <w:tcPr>
            <w:tcW w:w="1516" w:type="dxa"/>
            <w:vAlign w:val="center"/>
          </w:tcPr>
          <w:p w14:paraId="5381DE2E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620" w:type="dxa"/>
            <w:vAlign w:val="center"/>
          </w:tcPr>
          <w:p w14:paraId="38356693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350" w:type="dxa"/>
            <w:vAlign w:val="center"/>
          </w:tcPr>
          <w:p w14:paraId="73ACE366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</w:tr>
      <w:tr w:rsidR="00BE5D73" w:rsidRPr="00884762" w14:paraId="7F0934EB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7B09CFD3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South</w:t>
            </w:r>
          </w:p>
        </w:tc>
        <w:tc>
          <w:tcPr>
            <w:tcW w:w="1261" w:type="dxa"/>
            <w:vAlign w:val="center"/>
          </w:tcPr>
          <w:p w14:paraId="4276D7C6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High</w:t>
            </w:r>
          </w:p>
        </w:tc>
        <w:tc>
          <w:tcPr>
            <w:tcW w:w="1124" w:type="dxa"/>
            <w:vAlign w:val="center"/>
          </w:tcPr>
          <w:p w14:paraId="6440A629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984" w:type="dxa"/>
            <w:vAlign w:val="center"/>
          </w:tcPr>
          <w:p w14:paraId="1F336DEE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1.010</w:t>
            </w:r>
          </w:p>
        </w:tc>
        <w:tc>
          <w:tcPr>
            <w:tcW w:w="1620" w:type="dxa"/>
            <w:vAlign w:val="center"/>
          </w:tcPr>
          <w:p w14:paraId="130D00AE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(1.003,1.015)</w:t>
            </w:r>
          </w:p>
        </w:tc>
        <w:tc>
          <w:tcPr>
            <w:tcW w:w="990" w:type="dxa"/>
            <w:vAlign w:val="center"/>
          </w:tcPr>
          <w:p w14:paraId="74DFD60B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&lt;0.001</w:t>
            </w:r>
          </w:p>
        </w:tc>
        <w:tc>
          <w:tcPr>
            <w:tcW w:w="1516" w:type="dxa"/>
            <w:vAlign w:val="center"/>
          </w:tcPr>
          <w:p w14:paraId="4A236519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0.023</w:t>
            </w:r>
          </w:p>
        </w:tc>
        <w:tc>
          <w:tcPr>
            <w:tcW w:w="1620" w:type="dxa"/>
            <w:vAlign w:val="center"/>
          </w:tcPr>
          <w:p w14:paraId="4AEA48B9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(0.015,0.031)</w:t>
            </w:r>
          </w:p>
        </w:tc>
        <w:tc>
          <w:tcPr>
            <w:tcW w:w="1350" w:type="dxa"/>
            <w:vAlign w:val="center"/>
          </w:tcPr>
          <w:p w14:paraId="18F4B67A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&lt;0.001</w:t>
            </w:r>
          </w:p>
        </w:tc>
      </w:tr>
      <w:tr w:rsidR="00BE5D73" w:rsidRPr="00884762" w14:paraId="24C0E00B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1F4009F8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South</w:t>
            </w:r>
          </w:p>
        </w:tc>
        <w:tc>
          <w:tcPr>
            <w:tcW w:w="1261" w:type="dxa"/>
            <w:vAlign w:val="center"/>
          </w:tcPr>
          <w:p w14:paraId="76CB2676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High</w:t>
            </w:r>
          </w:p>
        </w:tc>
        <w:tc>
          <w:tcPr>
            <w:tcW w:w="1124" w:type="dxa"/>
            <w:vAlign w:val="center"/>
          </w:tcPr>
          <w:p w14:paraId="6A8F85FC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DE-</w:t>
            </w:r>
          </w:p>
        </w:tc>
        <w:tc>
          <w:tcPr>
            <w:tcW w:w="984" w:type="dxa"/>
            <w:vAlign w:val="center"/>
          </w:tcPr>
          <w:p w14:paraId="1F13FDF9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0.998</w:t>
            </w:r>
          </w:p>
        </w:tc>
        <w:tc>
          <w:tcPr>
            <w:tcW w:w="1620" w:type="dxa"/>
            <w:vAlign w:val="center"/>
          </w:tcPr>
          <w:p w14:paraId="5D0302BC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(0.990,1.005)</w:t>
            </w:r>
          </w:p>
        </w:tc>
        <w:tc>
          <w:tcPr>
            <w:tcW w:w="990" w:type="dxa"/>
            <w:vAlign w:val="center"/>
          </w:tcPr>
          <w:p w14:paraId="578CD8DC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0.266</w:t>
            </w:r>
          </w:p>
        </w:tc>
        <w:tc>
          <w:tcPr>
            <w:tcW w:w="1516" w:type="dxa"/>
            <w:vAlign w:val="center"/>
          </w:tcPr>
          <w:p w14:paraId="516865B5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620" w:type="dxa"/>
            <w:vAlign w:val="center"/>
          </w:tcPr>
          <w:p w14:paraId="2D12BF46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350" w:type="dxa"/>
            <w:vAlign w:val="center"/>
          </w:tcPr>
          <w:p w14:paraId="4340B732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</w:tr>
      <w:tr w:rsidR="00BE5D73" w:rsidRPr="00884762" w14:paraId="12ABC8A1" w14:textId="77777777" w:rsidTr="007C301F">
        <w:trPr>
          <w:trHeight w:val="144"/>
          <w:jc w:val="center"/>
        </w:trPr>
        <w:tc>
          <w:tcPr>
            <w:tcW w:w="870" w:type="dxa"/>
            <w:vAlign w:val="center"/>
          </w:tcPr>
          <w:p w14:paraId="165FC889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South</w:t>
            </w:r>
          </w:p>
        </w:tc>
        <w:tc>
          <w:tcPr>
            <w:tcW w:w="1261" w:type="dxa"/>
            <w:vAlign w:val="center"/>
          </w:tcPr>
          <w:p w14:paraId="739CEEA2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High</w:t>
            </w:r>
          </w:p>
        </w:tc>
        <w:tc>
          <w:tcPr>
            <w:tcW w:w="1124" w:type="dxa"/>
            <w:vAlign w:val="center"/>
          </w:tcPr>
          <w:p w14:paraId="667BA5E6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DE+</w:t>
            </w:r>
          </w:p>
        </w:tc>
        <w:tc>
          <w:tcPr>
            <w:tcW w:w="984" w:type="dxa"/>
            <w:vAlign w:val="center"/>
          </w:tcPr>
          <w:p w14:paraId="30985BDF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1.021</w:t>
            </w:r>
          </w:p>
        </w:tc>
        <w:tc>
          <w:tcPr>
            <w:tcW w:w="1620" w:type="dxa"/>
            <w:vAlign w:val="center"/>
          </w:tcPr>
          <w:p w14:paraId="60094264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(1.013,1.029)</w:t>
            </w:r>
          </w:p>
        </w:tc>
        <w:tc>
          <w:tcPr>
            <w:tcW w:w="990" w:type="dxa"/>
            <w:vAlign w:val="center"/>
          </w:tcPr>
          <w:p w14:paraId="5E44E200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&lt;0.001</w:t>
            </w:r>
          </w:p>
        </w:tc>
        <w:tc>
          <w:tcPr>
            <w:tcW w:w="1516" w:type="dxa"/>
            <w:vAlign w:val="center"/>
          </w:tcPr>
          <w:p w14:paraId="139EF484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620" w:type="dxa"/>
            <w:vAlign w:val="center"/>
          </w:tcPr>
          <w:p w14:paraId="54172F9D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  <w:tc>
          <w:tcPr>
            <w:tcW w:w="1350" w:type="dxa"/>
            <w:vAlign w:val="center"/>
          </w:tcPr>
          <w:p w14:paraId="188A74B3" w14:textId="77777777" w:rsidR="00BE5D73" w:rsidRPr="00A835A9" w:rsidRDefault="00BE5D73" w:rsidP="007C301F">
            <w:pPr>
              <w:pStyle w:val="Heading2"/>
              <w:spacing w:line="240" w:lineRule="auto"/>
              <w:outlineLvl w:val="1"/>
              <w:rPr>
                <w:rFonts w:ascii="Times New Roman" w:hAnsi="Times New Roman" w:cs="Times New Roman"/>
                <w:b w:val="0"/>
                <w:szCs w:val="24"/>
              </w:rPr>
            </w:pPr>
            <w:r w:rsidRPr="00A835A9">
              <w:rPr>
                <w:rFonts w:ascii="Times New Roman" w:hAnsi="Times New Roman" w:cs="Times New Roman"/>
                <w:b w:val="0"/>
                <w:szCs w:val="24"/>
              </w:rPr>
              <w:t>--</w:t>
            </w:r>
          </w:p>
        </w:tc>
      </w:tr>
    </w:tbl>
    <w:p w14:paraId="5265501E" w14:textId="607AC79D" w:rsidR="00DE0E54" w:rsidRDefault="00BE5D73" w:rsidP="004669E4">
      <w:pPr>
        <w:rPr>
          <w:noProof/>
        </w:rPr>
      </w:pPr>
      <w:r w:rsidRPr="007C7C6C">
        <w:rPr>
          <w:b/>
          <w:bCs/>
          <w:noProof/>
        </w:rPr>
        <w:t xml:space="preserve">Table </w:t>
      </w:r>
      <w:r>
        <w:rPr>
          <w:b/>
          <w:bCs/>
          <w:noProof/>
        </w:rPr>
        <w:t>3</w:t>
      </w:r>
      <w:r w:rsidRPr="000551BE">
        <w:rPr>
          <w:b/>
          <w:bCs/>
          <w:noProof/>
        </w:rPr>
        <w:t>.</w:t>
      </w:r>
      <w:r>
        <w:rPr>
          <w:noProof/>
        </w:rPr>
        <w:t xml:space="preserve"> </w:t>
      </w:r>
      <w:r w:rsidRPr="007C7C6C">
        <w:rPr>
          <w:noProof/>
        </w:rPr>
        <w:t xml:space="preserve">The results of </w:t>
      </w:r>
      <w:r>
        <w:rPr>
          <w:noProof/>
        </w:rPr>
        <w:t>subregional analyses. Both Cox proportional hazards models were used. In subregional Model II, two-sided t-tests were used to detect the wind-dependent differences in mortality influences.</w:t>
      </w:r>
    </w:p>
    <w:tbl>
      <w:tblPr>
        <w:tblStyle w:val="TableGrid3"/>
        <w:tblW w:w="11965" w:type="dxa"/>
        <w:jc w:val="center"/>
        <w:tblLayout w:type="fixed"/>
        <w:tblLook w:val="04A0" w:firstRow="1" w:lastRow="0" w:firstColumn="1" w:lastColumn="0" w:noHBand="0" w:noVBand="1"/>
      </w:tblPr>
      <w:tblGrid>
        <w:gridCol w:w="1298"/>
        <w:gridCol w:w="1217"/>
        <w:gridCol w:w="1728"/>
        <w:gridCol w:w="1962"/>
        <w:gridCol w:w="900"/>
        <w:gridCol w:w="1800"/>
        <w:gridCol w:w="1710"/>
        <w:gridCol w:w="1350"/>
      </w:tblGrid>
      <w:tr w:rsidR="0088477C" w:rsidRPr="003B064A" w14:paraId="6DDA4DAD" w14:textId="77777777" w:rsidTr="007C301F">
        <w:trPr>
          <w:trHeight w:val="432"/>
          <w:jc w:val="center"/>
        </w:trPr>
        <w:tc>
          <w:tcPr>
            <w:tcW w:w="1298" w:type="dxa"/>
            <w:shd w:val="clear" w:color="auto" w:fill="D9D9D9"/>
            <w:vAlign w:val="center"/>
          </w:tcPr>
          <w:p w14:paraId="3FC3E3B2" w14:textId="77777777" w:rsidR="0088477C" w:rsidRPr="00790A1A" w:rsidRDefault="0088477C" w:rsidP="007C301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90A1A">
              <w:rPr>
                <w:rFonts w:ascii="Times New Roman" w:hAnsi="Times New Roman" w:cs="Times New Roman"/>
                <w:b/>
              </w:rPr>
              <w:lastRenderedPageBreak/>
              <w:t>PE level</w:t>
            </w:r>
          </w:p>
        </w:tc>
        <w:tc>
          <w:tcPr>
            <w:tcW w:w="1217" w:type="dxa"/>
            <w:shd w:val="clear" w:color="auto" w:fill="D9D9D9"/>
            <w:vAlign w:val="center"/>
          </w:tcPr>
          <w:p w14:paraId="590304C5" w14:textId="77777777" w:rsidR="0088477C" w:rsidRPr="00790A1A" w:rsidRDefault="0088477C" w:rsidP="007C301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90A1A">
              <w:rPr>
                <w:rFonts w:ascii="Times New Roman" w:hAnsi="Times New Roman" w:cs="Times New Roman"/>
                <w:b/>
              </w:rPr>
              <w:t>DE level</w:t>
            </w:r>
          </w:p>
        </w:tc>
        <w:tc>
          <w:tcPr>
            <w:tcW w:w="1728" w:type="dxa"/>
            <w:shd w:val="clear" w:color="auto" w:fill="D9D9D9"/>
            <w:vAlign w:val="center"/>
          </w:tcPr>
          <w:p w14:paraId="63DAE2FD" w14:textId="77777777" w:rsidR="0088477C" w:rsidRPr="00790A1A" w:rsidRDefault="0088477C" w:rsidP="007C301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90A1A">
              <w:rPr>
                <w:rFonts w:ascii="Times New Roman" w:hAnsi="Times New Roman" w:cs="Times New Roman"/>
                <w:b/>
              </w:rPr>
              <w:t>Hazard Ratio</w:t>
            </w:r>
          </w:p>
        </w:tc>
        <w:tc>
          <w:tcPr>
            <w:tcW w:w="1962" w:type="dxa"/>
            <w:shd w:val="clear" w:color="auto" w:fill="D9D9D9"/>
            <w:vAlign w:val="center"/>
          </w:tcPr>
          <w:p w14:paraId="5F42F38D" w14:textId="77777777" w:rsidR="0088477C" w:rsidRPr="00790A1A" w:rsidRDefault="0088477C" w:rsidP="007C301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90A1A">
              <w:rPr>
                <w:rFonts w:ascii="Times New Roman" w:hAnsi="Times New Roman" w:cs="Times New Roman"/>
                <w:b/>
              </w:rPr>
              <w:t>95% CI</w:t>
            </w:r>
          </w:p>
        </w:tc>
        <w:tc>
          <w:tcPr>
            <w:tcW w:w="900" w:type="dxa"/>
            <w:shd w:val="clear" w:color="auto" w:fill="D9D9D9"/>
            <w:vAlign w:val="center"/>
          </w:tcPr>
          <w:p w14:paraId="26865ACA" w14:textId="77777777" w:rsidR="0088477C" w:rsidRPr="00790A1A" w:rsidRDefault="0088477C" w:rsidP="007C301F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90A1A">
              <w:rPr>
                <w:rFonts w:ascii="Times New Roman" w:hAnsi="Times New Roman" w:cs="Times New Roman"/>
                <w:b/>
                <w:sz w:val="20"/>
                <w:szCs w:val="20"/>
              </w:rPr>
              <w:t>P-value</w:t>
            </w:r>
          </w:p>
        </w:tc>
        <w:tc>
          <w:tcPr>
            <w:tcW w:w="1800" w:type="dxa"/>
            <w:shd w:val="clear" w:color="auto" w:fill="D9D9D9"/>
            <w:vAlign w:val="center"/>
          </w:tcPr>
          <w:p w14:paraId="0B55C6CF" w14:textId="77777777" w:rsidR="0088477C" w:rsidRPr="00790A1A" w:rsidRDefault="0088477C" w:rsidP="007C301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90A1A">
              <w:rPr>
                <w:rFonts w:ascii="Times New Roman" w:hAnsi="Times New Roman" w:cs="Times New Roman"/>
                <w:b/>
              </w:rPr>
              <w:t>DE+ vs DE- Diff</w:t>
            </w:r>
          </w:p>
        </w:tc>
        <w:tc>
          <w:tcPr>
            <w:tcW w:w="1710" w:type="dxa"/>
            <w:shd w:val="clear" w:color="auto" w:fill="D9D9D9"/>
            <w:vAlign w:val="center"/>
          </w:tcPr>
          <w:p w14:paraId="74B8BB5A" w14:textId="77777777" w:rsidR="0088477C" w:rsidRPr="00790A1A" w:rsidRDefault="0088477C" w:rsidP="007C301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90A1A">
              <w:rPr>
                <w:rFonts w:ascii="Times New Roman" w:hAnsi="Times New Roman" w:cs="Times New Roman"/>
                <w:b/>
              </w:rPr>
              <w:t>95%CI</w:t>
            </w:r>
          </w:p>
        </w:tc>
        <w:tc>
          <w:tcPr>
            <w:tcW w:w="1350" w:type="dxa"/>
            <w:shd w:val="clear" w:color="auto" w:fill="D9D9D9"/>
            <w:vAlign w:val="center"/>
          </w:tcPr>
          <w:p w14:paraId="6DF868D3" w14:textId="77777777" w:rsidR="0088477C" w:rsidRPr="00790A1A" w:rsidRDefault="0088477C" w:rsidP="007C301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90A1A">
              <w:rPr>
                <w:rFonts w:ascii="Times New Roman" w:hAnsi="Times New Roman" w:cs="Times New Roman"/>
                <w:b/>
              </w:rPr>
              <w:t>P-value</w:t>
            </w:r>
          </w:p>
        </w:tc>
      </w:tr>
      <w:tr w:rsidR="0088477C" w:rsidRPr="003B064A" w14:paraId="1F8288C0" w14:textId="77777777" w:rsidTr="007C301F">
        <w:trPr>
          <w:jc w:val="center"/>
        </w:trPr>
        <w:tc>
          <w:tcPr>
            <w:tcW w:w="1298" w:type="dxa"/>
            <w:vAlign w:val="center"/>
          </w:tcPr>
          <w:p w14:paraId="6AE2DCC2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Low</w:t>
            </w:r>
          </w:p>
        </w:tc>
        <w:tc>
          <w:tcPr>
            <w:tcW w:w="1217" w:type="dxa"/>
            <w:vAlign w:val="center"/>
          </w:tcPr>
          <w:p w14:paraId="1C3BE282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--</w:t>
            </w:r>
          </w:p>
        </w:tc>
        <w:tc>
          <w:tcPr>
            <w:tcW w:w="1728" w:type="dxa"/>
          </w:tcPr>
          <w:p w14:paraId="406D5B96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1.004</w:t>
            </w:r>
          </w:p>
        </w:tc>
        <w:tc>
          <w:tcPr>
            <w:tcW w:w="1962" w:type="dxa"/>
          </w:tcPr>
          <w:p w14:paraId="3E5F5279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(0.994,1.015)</w:t>
            </w:r>
          </w:p>
        </w:tc>
        <w:tc>
          <w:tcPr>
            <w:tcW w:w="900" w:type="dxa"/>
          </w:tcPr>
          <w:p w14:paraId="69EBC2A6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0.213</w:t>
            </w:r>
          </w:p>
        </w:tc>
        <w:tc>
          <w:tcPr>
            <w:tcW w:w="1800" w:type="dxa"/>
          </w:tcPr>
          <w:p w14:paraId="14973A37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710" w:type="dxa"/>
          </w:tcPr>
          <w:p w14:paraId="08A116A4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350" w:type="dxa"/>
          </w:tcPr>
          <w:p w14:paraId="26EE5012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88477C" w:rsidRPr="003B064A" w14:paraId="031713D8" w14:textId="77777777" w:rsidTr="007C301F">
        <w:trPr>
          <w:jc w:val="center"/>
        </w:trPr>
        <w:tc>
          <w:tcPr>
            <w:tcW w:w="1298" w:type="dxa"/>
            <w:vAlign w:val="center"/>
          </w:tcPr>
          <w:p w14:paraId="6DC4E8CB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Med-Low</w:t>
            </w:r>
          </w:p>
        </w:tc>
        <w:tc>
          <w:tcPr>
            <w:tcW w:w="1217" w:type="dxa"/>
            <w:vAlign w:val="center"/>
          </w:tcPr>
          <w:p w14:paraId="362392AE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--</w:t>
            </w:r>
          </w:p>
        </w:tc>
        <w:tc>
          <w:tcPr>
            <w:tcW w:w="1728" w:type="dxa"/>
          </w:tcPr>
          <w:p w14:paraId="0DBEFC73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1.010</w:t>
            </w:r>
          </w:p>
        </w:tc>
        <w:tc>
          <w:tcPr>
            <w:tcW w:w="1962" w:type="dxa"/>
          </w:tcPr>
          <w:p w14:paraId="72E77615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(0.996,1.023)</w:t>
            </w:r>
          </w:p>
        </w:tc>
        <w:tc>
          <w:tcPr>
            <w:tcW w:w="900" w:type="dxa"/>
          </w:tcPr>
          <w:p w14:paraId="34A9E736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0.080</w:t>
            </w:r>
          </w:p>
        </w:tc>
        <w:tc>
          <w:tcPr>
            <w:tcW w:w="1800" w:type="dxa"/>
          </w:tcPr>
          <w:p w14:paraId="7517C586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710" w:type="dxa"/>
          </w:tcPr>
          <w:p w14:paraId="2C01ADC0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350" w:type="dxa"/>
          </w:tcPr>
          <w:p w14:paraId="57737331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88477C" w:rsidRPr="003B064A" w14:paraId="74963C7C" w14:textId="77777777" w:rsidTr="007C301F">
        <w:trPr>
          <w:jc w:val="center"/>
        </w:trPr>
        <w:tc>
          <w:tcPr>
            <w:tcW w:w="1298" w:type="dxa"/>
            <w:vAlign w:val="center"/>
          </w:tcPr>
          <w:p w14:paraId="2760EE4E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Med-High</w:t>
            </w:r>
          </w:p>
        </w:tc>
        <w:tc>
          <w:tcPr>
            <w:tcW w:w="1217" w:type="dxa"/>
            <w:vAlign w:val="center"/>
          </w:tcPr>
          <w:p w14:paraId="4CA2FFF4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--</w:t>
            </w:r>
          </w:p>
        </w:tc>
        <w:tc>
          <w:tcPr>
            <w:tcW w:w="1728" w:type="dxa"/>
          </w:tcPr>
          <w:p w14:paraId="2442076A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1.015</w:t>
            </w:r>
          </w:p>
        </w:tc>
        <w:tc>
          <w:tcPr>
            <w:tcW w:w="1962" w:type="dxa"/>
          </w:tcPr>
          <w:p w14:paraId="142323D5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(1.005,1.025)</w:t>
            </w:r>
          </w:p>
        </w:tc>
        <w:tc>
          <w:tcPr>
            <w:tcW w:w="900" w:type="dxa"/>
          </w:tcPr>
          <w:p w14:paraId="2322704E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0.002</w:t>
            </w:r>
          </w:p>
        </w:tc>
        <w:tc>
          <w:tcPr>
            <w:tcW w:w="1800" w:type="dxa"/>
          </w:tcPr>
          <w:p w14:paraId="7B3B3693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710" w:type="dxa"/>
          </w:tcPr>
          <w:p w14:paraId="29A9A83B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350" w:type="dxa"/>
          </w:tcPr>
          <w:p w14:paraId="6CA7989A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88477C" w:rsidRPr="003B064A" w14:paraId="66319C76" w14:textId="77777777" w:rsidTr="007C301F">
        <w:trPr>
          <w:jc w:val="center"/>
        </w:trPr>
        <w:tc>
          <w:tcPr>
            <w:tcW w:w="1298" w:type="dxa"/>
            <w:vAlign w:val="center"/>
          </w:tcPr>
          <w:p w14:paraId="429B5AA8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High</w:t>
            </w:r>
          </w:p>
        </w:tc>
        <w:tc>
          <w:tcPr>
            <w:tcW w:w="1217" w:type="dxa"/>
            <w:vAlign w:val="center"/>
          </w:tcPr>
          <w:p w14:paraId="5CF1B160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--</w:t>
            </w:r>
          </w:p>
        </w:tc>
        <w:tc>
          <w:tcPr>
            <w:tcW w:w="1728" w:type="dxa"/>
          </w:tcPr>
          <w:p w14:paraId="3F2EA19E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1.023</w:t>
            </w:r>
          </w:p>
        </w:tc>
        <w:tc>
          <w:tcPr>
            <w:tcW w:w="1962" w:type="dxa"/>
          </w:tcPr>
          <w:p w14:paraId="7AFAF9E5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(1.013,1.034)</w:t>
            </w:r>
          </w:p>
        </w:tc>
        <w:tc>
          <w:tcPr>
            <w:tcW w:w="900" w:type="dxa"/>
          </w:tcPr>
          <w:p w14:paraId="0951BBAF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0.000</w:t>
            </w:r>
          </w:p>
        </w:tc>
        <w:tc>
          <w:tcPr>
            <w:tcW w:w="1800" w:type="dxa"/>
          </w:tcPr>
          <w:p w14:paraId="1F99D4DC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710" w:type="dxa"/>
          </w:tcPr>
          <w:p w14:paraId="6B87BCCF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350" w:type="dxa"/>
          </w:tcPr>
          <w:p w14:paraId="51633694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88477C" w:rsidRPr="003B064A" w14:paraId="4CD9C75C" w14:textId="77777777" w:rsidTr="007C301F">
        <w:trPr>
          <w:jc w:val="center"/>
        </w:trPr>
        <w:tc>
          <w:tcPr>
            <w:tcW w:w="1298" w:type="dxa"/>
            <w:vAlign w:val="center"/>
          </w:tcPr>
          <w:p w14:paraId="184C4CC3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Low</w:t>
            </w:r>
          </w:p>
        </w:tc>
        <w:tc>
          <w:tcPr>
            <w:tcW w:w="1217" w:type="dxa"/>
            <w:vAlign w:val="center"/>
          </w:tcPr>
          <w:p w14:paraId="42298BEA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DE-</w:t>
            </w:r>
          </w:p>
        </w:tc>
        <w:tc>
          <w:tcPr>
            <w:tcW w:w="1728" w:type="dxa"/>
          </w:tcPr>
          <w:p w14:paraId="4EE956E4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1.005</w:t>
            </w:r>
          </w:p>
        </w:tc>
        <w:tc>
          <w:tcPr>
            <w:tcW w:w="1962" w:type="dxa"/>
          </w:tcPr>
          <w:p w14:paraId="68B73C39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(1.001,1.010)</w:t>
            </w:r>
          </w:p>
        </w:tc>
        <w:tc>
          <w:tcPr>
            <w:tcW w:w="900" w:type="dxa"/>
          </w:tcPr>
          <w:p w14:paraId="588E36EA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0.010</w:t>
            </w:r>
          </w:p>
        </w:tc>
        <w:tc>
          <w:tcPr>
            <w:tcW w:w="1800" w:type="dxa"/>
          </w:tcPr>
          <w:p w14:paraId="62DD9189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710" w:type="dxa"/>
          </w:tcPr>
          <w:p w14:paraId="69252F80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350" w:type="dxa"/>
          </w:tcPr>
          <w:p w14:paraId="529C2F92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88477C" w:rsidRPr="003B064A" w14:paraId="681AAE70" w14:textId="77777777" w:rsidTr="007C301F">
        <w:trPr>
          <w:jc w:val="center"/>
        </w:trPr>
        <w:tc>
          <w:tcPr>
            <w:tcW w:w="1298" w:type="dxa"/>
            <w:vAlign w:val="center"/>
          </w:tcPr>
          <w:p w14:paraId="59C1EDA9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Low</w:t>
            </w:r>
          </w:p>
        </w:tc>
        <w:tc>
          <w:tcPr>
            <w:tcW w:w="1217" w:type="dxa"/>
            <w:vAlign w:val="center"/>
          </w:tcPr>
          <w:p w14:paraId="7FC7530B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DE+</w:t>
            </w:r>
          </w:p>
        </w:tc>
        <w:tc>
          <w:tcPr>
            <w:tcW w:w="1728" w:type="dxa"/>
          </w:tcPr>
          <w:p w14:paraId="1CC9C75B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1.003</w:t>
            </w:r>
          </w:p>
        </w:tc>
        <w:tc>
          <w:tcPr>
            <w:tcW w:w="1962" w:type="dxa"/>
          </w:tcPr>
          <w:p w14:paraId="03F1B95E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(0.997,1.008)</w:t>
            </w:r>
          </w:p>
        </w:tc>
        <w:tc>
          <w:tcPr>
            <w:tcW w:w="900" w:type="dxa"/>
          </w:tcPr>
          <w:p w14:paraId="6B60ED50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0.186</w:t>
            </w:r>
          </w:p>
        </w:tc>
        <w:tc>
          <w:tcPr>
            <w:tcW w:w="1800" w:type="dxa"/>
          </w:tcPr>
          <w:p w14:paraId="007D0FAD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-0.003</w:t>
            </w:r>
          </w:p>
        </w:tc>
        <w:tc>
          <w:tcPr>
            <w:tcW w:w="1710" w:type="dxa"/>
          </w:tcPr>
          <w:p w14:paraId="58CF0BD4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(-0.008,0.003)</w:t>
            </w:r>
          </w:p>
        </w:tc>
        <w:tc>
          <w:tcPr>
            <w:tcW w:w="1350" w:type="dxa"/>
          </w:tcPr>
          <w:p w14:paraId="1A05B5C3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0.831</w:t>
            </w:r>
          </w:p>
        </w:tc>
      </w:tr>
      <w:tr w:rsidR="0088477C" w:rsidRPr="003B064A" w14:paraId="6C29085B" w14:textId="77777777" w:rsidTr="007C301F">
        <w:trPr>
          <w:jc w:val="center"/>
        </w:trPr>
        <w:tc>
          <w:tcPr>
            <w:tcW w:w="1298" w:type="dxa"/>
            <w:vAlign w:val="center"/>
          </w:tcPr>
          <w:p w14:paraId="62A2EC28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Med-Low</w:t>
            </w:r>
          </w:p>
        </w:tc>
        <w:tc>
          <w:tcPr>
            <w:tcW w:w="1217" w:type="dxa"/>
            <w:vAlign w:val="center"/>
          </w:tcPr>
          <w:p w14:paraId="1F4AA2D5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DE-</w:t>
            </w:r>
          </w:p>
        </w:tc>
        <w:tc>
          <w:tcPr>
            <w:tcW w:w="1728" w:type="dxa"/>
          </w:tcPr>
          <w:p w14:paraId="0D55993A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1.004</w:t>
            </w:r>
          </w:p>
        </w:tc>
        <w:tc>
          <w:tcPr>
            <w:tcW w:w="1962" w:type="dxa"/>
          </w:tcPr>
          <w:p w14:paraId="27E4035D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(0.999,1.008)</w:t>
            </w:r>
          </w:p>
        </w:tc>
        <w:tc>
          <w:tcPr>
            <w:tcW w:w="900" w:type="dxa"/>
          </w:tcPr>
          <w:p w14:paraId="7161D096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0.058</w:t>
            </w:r>
          </w:p>
        </w:tc>
        <w:tc>
          <w:tcPr>
            <w:tcW w:w="1800" w:type="dxa"/>
          </w:tcPr>
          <w:p w14:paraId="508C0779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710" w:type="dxa"/>
          </w:tcPr>
          <w:p w14:paraId="270785E6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350" w:type="dxa"/>
          </w:tcPr>
          <w:p w14:paraId="66A89355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88477C" w:rsidRPr="003B064A" w14:paraId="5FFBF362" w14:textId="77777777" w:rsidTr="007C301F">
        <w:trPr>
          <w:jc w:val="center"/>
        </w:trPr>
        <w:tc>
          <w:tcPr>
            <w:tcW w:w="1298" w:type="dxa"/>
            <w:vAlign w:val="center"/>
          </w:tcPr>
          <w:p w14:paraId="7D327B26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Med-Low</w:t>
            </w:r>
          </w:p>
        </w:tc>
        <w:tc>
          <w:tcPr>
            <w:tcW w:w="1217" w:type="dxa"/>
            <w:vAlign w:val="center"/>
          </w:tcPr>
          <w:p w14:paraId="14AB56D2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DE+</w:t>
            </w:r>
          </w:p>
        </w:tc>
        <w:tc>
          <w:tcPr>
            <w:tcW w:w="1728" w:type="dxa"/>
          </w:tcPr>
          <w:p w14:paraId="0C2E6D11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eastAsia="DengXian Light" w:hAnsi="Times New Roman" w:cs="Times New Roman"/>
                <w:bCs/>
                <w:szCs w:val="26"/>
              </w:rPr>
              <w:t>1.020</w:t>
            </w:r>
          </w:p>
        </w:tc>
        <w:tc>
          <w:tcPr>
            <w:tcW w:w="1962" w:type="dxa"/>
          </w:tcPr>
          <w:p w14:paraId="6C1AD02F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eastAsia="DengXian Light" w:hAnsi="Times New Roman" w:cs="Times New Roman"/>
                <w:bCs/>
                <w:szCs w:val="26"/>
              </w:rPr>
              <w:t>(1.015,1.026)</w:t>
            </w:r>
          </w:p>
        </w:tc>
        <w:tc>
          <w:tcPr>
            <w:tcW w:w="900" w:type="dxa"/>
          </w:tcPr>
          <w:p w14:paraId="5BB17EF4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eastAsia="DengXian Light" w:hAnsi="Times New Roman" w:cs="Times New Roman"/>
                <w:bCs/>
                <w:szCs w:val="26"/>
              </w:rPr>
              <w:t>0.000</w:t>
            </w:r>
          </w:p>
        </w:tc>
        <w:tc>
          <w:tcPr>
            <w:tcW w:w="1800" w:type="dxa"/>
          </w:tcPr>
          <w:p w14:paraId="4360356D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eastAsia="DengXian Light" w:hAnsi="Times New Roman" w:cs="Times New Roman"/>
                <w:bCs/>
                <w:szCs w:val="26"/>
              </w:rPr>
              <w:t>0.017</w:t>
            </w:r>
          </w:p>
        </w:tc>
        <w:tc>
          <w:tcPr>
            <w:tcW w:w="1710" w:type="dxa"/>
          </w:tcPr>
          <w:p w14:paraId="5CEE67D2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eastAsia="DengXian Light" w:hAnsi="Times New Roman" w:cs="Times New Roman"/>
                <w:bCs/>
                <w:szCs w:val="26"/>
              </w:rPr>
              <w:t>(0.011,0.023)</w:t>
            </w:r>
          </w:p>
        </w:tc>
        <w:tc>
          <w:tcPr>
            <w:tcW w:w="1350" w:type="dxa"/>
          </w:tcPr>
          <w:p w14:paraId="4111B93B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eastAsia="DengXian Light" w:hAnsi="Times New Roman" w:cs="Times New Roman"/>
                <w:bCs/>
                <w:szCs w:val="26"/>
              </w:rPr>
              <w:t>0.000</w:t>
            </w:r>
          </w:p>
        </w:tc>
      </w:tr>
      <w:tr w:rsidR="0088477C" w:rsidRPr="003B064A" w14:paraId="4F9A1C0D" w14:textId="77777777" w:rsidTr="007C301F">
        <w:trPr>
          <w:jc w:val="center"/>
        </w:trPr>
        <w:tc>
          <w:tcPr>
            <w:tcW w:w="1298" w:type="dxa"/>
            <w:vAlign w:val="center"/>
          </w:tcPr>
          <w:p w14:paraId="5FB4E678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Med-High</w:t>
            </w:r>
          </w:p>
        </w:tc>
        <w:tc>
          <w:tcPr>
            <w:tcW w:w="1217" w:type="dxa"/>
            <w:vAlign w:val="center"/>
          </w:tcPr>
          <w:p w14:paraId="39FA6AB4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DE-</w:t>
            </w:r>
          </w:p>
        </w:tc>
        <w:tc>
          <w:tcPr>
            <w:tcW w:w="1728" w:type="dxa"/>
          </w:tcPr>
          <w:p w14:paraId="56DC3E73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eastAsia="DengXian Light" w:hAnsi="Times New Roman" w:cs="Times New Roman"/>
                <w:bCs/>
                <w:szCs w:val="26"/>
              </w:rPr>
              <w:t>1.009</w:t>
            </w:r>
          </w:p>
        </w:tc>
        <w:tc>
          <w:tcPr>
            <w:tcW w:w="1962" w:type="dxa"/>
          </w:tcPr>
          <w:p w14:paraId="5A54B16B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eastAsia="DengXian Light" w:hAnsi="Times New Roman" w:cs="Times New Roman"/>
                <w:bCs/>
                <w:szCs w:val="26"/>
              </w:rPr>
              <w:t>(1.004,1.014)</w:t>
            </w:r>
          </w:p>
        </w:tc>
        <w:tc>
          <w:tcPr>
            <w:tcW w:w="900" w:type="dxa"/>
          </w:tcPr>
          <w:p w14:paraId="7E27486F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eastAsia="DengXian Light" w:hAnsi="Times New Roman" w:cs="Times New Roman"/>
                <w:bCs/>
                <w:szCs w:val="26"/>
              </w:rPr>
              <w:t>0.000</w:t>
            </w:r>
          </w:p>
        </w:tc>
        <w:tc>
          <w:tcPr>
            <w:tcW w:w="1800" w:type="dxa"/>
          </w:tcPr>
          <w:p w14:paraId="4412C01D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710" w:type="dxa"/>
          </w:tcPr>
          <w:p w14:paraId="1E60E0B2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350" w:type="dxa"/>
          </w:tcPr>
          <w:p w14:paraId="0598BD12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</w:p>
        </w:tc>
      </w:tr>
      <w:tr w:rsidR="0088477C" w:rsidRPr="003B064A" w14:paraId="30D3045A" w14:textId="77777777" w:rsidTr="007C301F">
        <w:trPr>
          <w:jc w:val="center"/>
        </w:trPr>
        <w:tc>
          <w:tcPr>
            <w:tcW w:w="1298" w:type="dxa"/>
            <w:vAlign w:val="center"/>
          </w:tcPr>
          <w:p w14:paraId="6633079F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Med-High</w:t>
            </w:r>
          </w:p>
        </w:tc>
        <w:tc>
          <w:tcPr>
            <w:tcW w:w="1217" w:type="dxa"/>
            <w:vAlign w:val="center"/>
          </w:tcPr>
          <w:p w14:paraId="4EB843FD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DE+</w:t>
            </w:r>
          </w:p>
        </w:tc>
        <w:tc>
          <w:tcPr>
            <w:tcW w:w="1728" w:type="dxa"/>
          </w:tcPr>
          <w:p w14:paraId="0E1529F7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eastAsia="DengXian Light" w:hAnsi="Times New Roman" w:cs="Times New Roman"/>
                <w:bCs/>
                <w:szCs w:val="26"/>
              </w:rPr>
              <w:t>1.022</w:t>
            </w:r>
          </w:p>
        </w:tc>
        <w:tc>
          <w:tcPr>
            <w:tcW w:w="1962" w:type="dxa"/>
          </w:tcPr>
          <w:p w14:paraId="5CF78F2B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eastAsia="DengXian Light" w:hAnsi="Times New Roman" w:cs="Times New Roman"/>
                <w:bCs/>
                <w:szCs w:val="26"/>
              </w:rPr>
              <w:t>(1.017,1.028)</w:t>
            </w:r>
          </w:p>
        </w:tc>
        <w:tc>
          <w:tcPr>
            <w:tcW w:w="900" w:type="dxa"/>
          </w:tcPr>
          <w:p w14:paraId="203C456E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eastAsia="DengXian Light" w:hAnsi="Times New Roman" w:cs="Times New Roman"/>
                <w:bCs/>
                <w:szCs w:val="26"/>
              </w:rPr>
              <w:t>0.000</w:t>
            </w:r>
          </w:p>
        </w:tc>
        <w:tc>
          <w:tcPr>
            <w:tcW w:w="1800" w:type="dxa"/>
          </w:tcPr>
          <w:p w14:paraId="43405A83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eastAsia="DengXian Light" w:hAnsi="Times New Roman" w:cs="Times New Roman"/>
                <w:bCs/>
                <w:szCs w:val="26"/>
              </w:rPr>
              <w:t>0.013</w:t>
            </w:r>
          </w:p>
        </w:tc>
        <w:tc>
          <w:tcPr>
            <w:tcW w:w="1710" w:type="dxa"/>
          </w:tcPr>
          <w:p w14:paraId="16DD2D5B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eastAsia="DengXian Light" w:hAnsi="Times New Roman" w:cs="Times New Roman"/>
                <w:bCs/>
                <w:szCs w:val="26"/>
              </w:rPr>
              <w:t>(0.008,0.019)</w:t>
            </w:r>
          </w:p>
        </w:tc>
        <w:tc>
          <w:tcPr>
            <w:tcW w:w="1350" w:type="dxa"/>
          </w:tcPr>
          <w:p w14:paraId="3E21C6C3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eastAsia="DengXian Light" w:hAnsi="Times New Roman" w:cs="Times New Roman"/>
                <w:bCs/>
                <w:szCs w:val="26"/>
              </w:rPr>
              <w:t>0.000</w:t>
            </w:r>
          </w:p>
        </w:tc>
      </w:tr>
      <w:tr w:rsidR="0088477C" w:rsidRPr="003B064A" w14:paraId="41A0375B" w14:textId="77777777" w:rsidTr="007C301F">
        <w:trPr>
          <w:jc w:val="center"/>
        </w:trPr>
        <w:tc>
          <w:tcPr>
            <w:tcW w:w="1298" w:type="dxa"/>
            <w:vAlign w:val="center"/>
          </w:tcPr>
          <w:p w14:paraId="2A5ABE8C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High</w:t>
            </w:r>
          </w:p>
        </w:tc>
        <w:tc>
          <w:tcPr>
            <w:tcW w:w="1217" w:type="dxa"/>
            <w:vAlign w:val="center"/>
          </w:tcPr>
          <w:p w14:paraId="764CD021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DE-</w:t>
            </w:r>
          </w:p>
        </w:tc>
        <w:tc>
          <w:tcPr>
            <w:tcW w:w="1728" w:type="dxa"/>
          </w:tcPr>
          <w:p w14:paraId="7BD988EE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eastAsia="DengXian Light" w:hAnsi="Times New Roman" w:cs="Times New Roman"/>
                <w:bCs/>
                <w:szCs w:val="26"/>
              </w:rPr>
              <w:t>1.020</w:t>
            </w:r>
          </w:p>
        </w:tc>
        <w:tc>
          <w:tcPr>
            <w:tcW w:w="1962" w:type="dxa"/>
          </w:tcPr>
          <w:p w14:paraId="636717E8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eastAsia="DengXian Light" w:hAnsi="Times New Roman" w:cs="Times New Roman"/>
                <w:bCs/>
                <w:szCs w:val="26"/>
              </w:rPr>
              <w:t>(1.015,1.025)</w:t>
            </w:r>
          </w:p>
        </w:tc>
        <w:tc>
          <w:tcPr>
            <w:tcW w:w="900" w:type="dxa"/>
          </w:tcPr>
          <w:p w14:paraId="050D0C75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eastAsia="DengXian Light" w:hAnsi="Times New Roman" w:cs="Times New Roman"/>
                <w:bCs/>
                <w:szCs w:val="26"/>
              </w:rPr>
              <w:t>0.000</w:t>
            </w:r>
          </w:p>
        </w:tc>
        <w:tc>
          <w:tcPr>
            <w:tcW w:w="1800" w:type="dxa"/>
          </w:tcPr>
          <w:p w14:paraId="60A38A91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710" w:type="dxa"/>
          </w:tcPr>
          <w:p w14:paraId="7D07C100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350" w:type="dxa"/>
          </w:tcPr>
          <w:p w14:paraId="2D842585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</w:p>
        </w:tc>
      </w:tr>
      <w:tr w:rsidR="0088477C" w:rsidRPr="003B064A" w14:paraId="422F9056" w14:textId="77777777" w:rsidTr="007C301F">
        <w:trPr>
          <w:jc w:val="center"/>
        </w:trPr>
        <w:tc>
          <w:tcPr>
            <w:tcW w:w="1298" w:type="dxa"/>
            <w:vAlign w:val="center"/>
          </w:tcPr>
          <w:p w14:paraId="3A78884F" w14:textId="77777777" w:rsidR="0088477C" w:rsidRPr="00790A1A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High</w:t>
            </w:r>
          </w:p>
        </w:tc>
        <w:tc>
          <w:tcPr>
            <w:tcW w:w="1217" w:type="dxa"/>
            <w:vAlign w:val="center"/>
          </w:tcPr>
          <w:p w14:paraId="3D1207E8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hAnsi="Times New Roman" w:cs="Times New Roman"/>
                <w:bCs/>
              </w:rPr>
              <w:t>DE+</w:t>
            </w:r>
          </w:p>
        </w:tc>
        <w:tc>
          <w:tcPr>
            <w:tcW w:w="1728" w:type="dxa"/>
          </w:tcPr>
          <w:p w14:paraId="77C61483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eastAsia="DengXian Light" w:hAnsi="Times New Roman" w:cs="Times New Roman"/>
                <w:bCs/>
                <w:szCs w:val="26"/>
              </w:rPr>
              <w:t>1.027</w:t>
            </w:r>
          </w:p>
        </w:tc>
        <w:tc>
          <w:tcPr>
            <w:tcW w:w="1962" w:type="dxa"/>
          </w:tcPr>
          <w:p w14:paraId="050DDF81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eastAsia="DengXian Light" w:hAnsi="Times New Roman" w:cs="Times New Roman"/>
                <w:bCs/>
                <w:szCs w:val="26"/>
              </w:rPr>
              <w:t>(1.022,1.032)</w:t>
            </w:r>
          </w:p>
        </w:tc>
        <w:tc>
          <w:tcPr>
            <w:tcW w:w="900" w:type="dxa"/>
          </w:tcPr>
          <w:p w14:paraId="0043F95C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eastAsia="DengXian Light" w:hAnsi="Times New Roman" w:cs="Times New Roman"/>
                <w:bCs/>
                <w:szCs w:val="26"/>
              </w:rPr>
              <w:t>0.000</w:t>
            </w:r>
          </w:p>
        </w:tc>
        <w:tc>
          <w:tcPr>
            <w:tcW w:w="1800" w:type="dxa"/>
          </w:tcPr>
          <w:p w14:paraId="4AC1F951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eastAsia="DengXian Light" w:hAnsi="Times New Roman" w:cs="Times New Roman"/>
                <w:bCs/>
                <w:szCs w:val="26"/>
              </w:rPr>
              <w:t>0.007</w:t>
            </w:r>
          </w:p>
        </w:tc>
        <w:tc>
          <w:tcPr>
            <w:tcW w:w="1710" w:type="dxa"/>
          </w:tcPr>
          <w:p w14:paraId="0E86696E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eastAsia="DengXian Light" w:hAnsi="Times New Roman" w:cs="Times New Roman"/>
                <w:bCs/>
                <w:szCs w:val="26"/>
              </w:rPr>
              <w:t>(0.002,0.012)</w:t>
            </w:r>
          </w:p>
        </w:tc>
        <w:tc>
          <w:tcPr>
            <w:tcW w:w="1350" w:type="dxa"/>
          </w:tcPr>
          <w:p w14:paraId="55874A05" w14:textId="77777777" w:rsidR="0088477C" w:rsidRPr="00790A1A" w:rsidRDefault="0088477C" w:rsidP="007C301F">
            <w:pPr>
              <w:spacing w:before="40" w:line="360" w:lineRule="auto"/>
              <w:jc w:val="center"/>
              <w:outlineLvl w:val="1"/>
              <w:rPr>
                <w:rFonts w:ascii="Times New Roman" w:hAnsi="Times New Roman" w:cs="Times New Roman"/>
                <w:bCs/>
              </w:rPr>
            </w:pPr>
            <w:r w:rsidRPr="00790A1A">
              <w:rPr>
                <w:rFonts w:ascii="Times New Roman" w:eastAsia="DengXian Light" w:hAnsi="Times New Roman" w:cs="Times New Roman"/>
                <w:bCs/>
                <w:szCs w:val="26"/>
              </w:rPr>
              <w:t>0.006</w:t>
            </w:r>
          </w:p>
        </w:tc>
      </w:tr>
    </w:tbl>
    <w:p w14:paraId="6898294A" w14:textId="509A3D6E" w:rsidR="0088477C" w:rsidRDefault="0088477C" w:rsidP="00FC0FF3">
      <w:pPr>
        <w:rPr>
          <w:noProof/>
        </w:rPr>
      </w:pPr>
      <w:r w:rsidRPr="007C7C6C">
        <w:rPr>
          <w:b/>
          <w:bCs/>
          <w:noProof/>
        </w:rPr>
        <w:t xml:space="preserve">Table </w:t>
      </w:r>
      <w:r>
        <w:rPr>
          <w:b/>
          <w:bCs/>
          <w:noProof/>
        </w:rPr>
        <w:t>4</w:t>
      </w:r>
      <w:r w:rsidRPr="000551BE">
        <w:rPr>
          <w:b/>
          <w:bCs/>
          <w:noProof/>
        </w:rPr>
        <w:t>.</w:t>
      </w:r>
      <w:r>
        <w:rPr>
          <w:noProof/>
        </w:rPr>
        <w:t xml:space="preserve"> </w:t>
      </w:r>
      <w:r w:rsidRPr="005B5F0B">
        <w:rPr>
          <w:noProof/>
        </w:rPr>
        <w:t>The results of modified Model I and Model II after omitting PM</w:t>
      </w:r>
      <w:r w:rsidRPr="00790A1A">
        <w:rPr>
          <w:noProof/>
          <w:vertAlign w:val="subscript"/>
        </w:rPr>
        <w:t>2.5</w:t>
      </w:r>
      <w:r w:rsidRPr="000551BE">
        <w:rPr>
          <w:noProof/>
        </w:rPr>
        <w:t>.</w:t>
      </w:r>
      <w:r>
        <w:rPr>
          <w:noProof/>
          <w:vertAlign w:val="subscript"/>
        </w:rPr>
        <w:t xml:space="preserve"> </w:t>
      </w:r>
      <w:r>
        <w:rPr>
          <w:noProof/>
        </w:rPr>
        <w:t>Cox proportional hazard models were used in both analyses. In Model II, two-sided t-tests were used to detect the wind-dependent differences in mortality risk.</w:t>
      </w:r>
      <w:r w:rsidR="00FC0FF3" w:rsidRPr="00FC0FF3">
        <w:rPr>
          <w:noProof/>
        </w:rPr>
        <w:t xml:space="preserve"> </w:t>
      </w:r>
      <w:r w:rsidR="00FC0FF3">
        <w:rPr>
          <w:noProof/>
        </w:rPr>
        <w:br w:type="page"/>
      </w:r>
    </w:p>
    <w:tbl>
      <w:tblPr>
        <w:tblStyle w:val="TableGrid"/>
        <w:tblW w:w="9985" w:type="dxa"/>
        <w:jc w:val="center"/>
        <w:tblLayout w:type="fixed"/>
        <w:tblLook w:val="04A0" w:firstRow="1" w:lastRow="0" w:firstColumn="1" w:lastColumn="0" w:noHBand="0" w:noVBand="1"/>
      </w:tblPr>
      <w:tblGrid>
        <w:gridCol w:w="1298"/>
        <w:gridCol w:w="1217"/>
        <w:gridCol w:w="1728"/>
        <w:gridCol w:w="1692"/>
        <w:gridCol w:w="1022"/>
        <w:gridCol w:w="1858"/>
        <w:gridCol w:w="1170"/>
      </w:tblGrid>
      <w:tr w:rsidR="0088477C" w14:paraId="304764EE" w14:textId="77777777" w:rsidTr="007C301F">
        <w:trPr>
          <w:trHeight w:val="432"/>
          <w:jc w:val="center"/>
        </w:trPr>
        <w:tc>
          <w:tcPr>
            <w:tcW w:w="1298" w:type="dxa"/>
            <w:shd w:val="clear" w:color="auto" w:fill="D9D9D9" w:themeFill="background1" w:themeFillShade="D9"/>
            <w:vAlign w:val="center"/>
          </w:tcPr>
          <w:p w14:paraId="3074EE86" w14:textId="77777777" w:rsidR="0088477C" w:rsidRPr="00443823" w:rsidRDefault="0088477C" w:rsidP="007C301F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443823">
              <w:rPr>
                <w:rFonts w:ascii="Times New Roman" w:hAnsi="Times New Roman" w:cs="Times New Roman"/>
                <w:b/>
              </w:rPr>
              <w:lastRenderedPageBreak/>
              <w:t>PE level</w:t>
            </w:r>
          </w:p>
        </w:tc>
        <w:tc>
          <w:tcPr>
            <w:tcW w:w="1217" w:type="dxa"/>
            <w:shd w:val="clear" w:color="auto" w:fill="D9D9D9" w:themeFill="background1" w:themeFillShade="D9"/>
            <w:vAlign w:val="center"/>
          </w:tcPr>
          <w:p w14:paraId="10EF6113" w14:textId="77777777" w:rsidR="0088477C" w:rsidRPr="00443823" w:rsidRDefault="0088477C" w:rsidP="007C301F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443823">
              <w:rPr>
                <w:rFonts w:ascii="Times New Roman" w:hAnsi="Times New Roman" w:cs="Times New Roman"/>
                <w:b/>
              </w:rPr>
              <w:t>DE level</w:t>
            </w:r>
          </w:p>
        </w:tc>
        <w:tc>
          <w:tcPr>
            <w:tcW w:w="1728" w:type="dxa"/>
            <w:shd w:val="clear" w:color="auto" w:fill="D9D9D9" w:themeFill="background1" w:themeFillShade="D9"/>
            <w:vAlign w:val="center"/>
          </w:tcPr>
          <w:p w14:paraId="4A6BD9F0" w14:textId="77777777" w:rsidR="0088477C" w:rsidRPr="00443823" w:rsidRDefault="0088477C" w:rsidP="007C301F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443823">
              <w:rPr>
                <w:rFonts w:ascii="Times New Roman" w:hAnsi="Times New Roman" w:cs="Times New Roman"/>
                <w:b/>
              </w:rPr>
              <w:t>Hazard Ratio</w:t>
            </w:r>
          </w:p>
        </w:tc>
        <w:tc>
          <w:tcPr>
            <w:tcW w:w="1692" w:type="dxa"/>
            <w:shd w:val="clear" w:color="auto" w:fill="D9D9D9" w:themeFill="background1" w:themeFillShade="D9"/>
            <w:vAlign w:val="center"/>
          </w:tcPr>
          <w:p w14:paraId="2694A355" w14:textId="77777777" w:rsidR="0088477C" w:rsidRPr="00443823" w:rsidRDefault="0088477C" w:rsidP="007C301F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443823">
              <w:rPr>
                <w:rFonts w:ascii="Times New Roman" w:hAnsi="Times New Roman" w:cs="Times New Roman"/>
                <w:b/>
              </w:rPr>
              <w:t>95% CI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2F4AB0DF" w14:textId="77777777" w:rsidR="0088477C" w:rsidRPr="00443823" w:rsidRDefault="0088477C" w:rsidP="007C301F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443823">
              <w:rPr>
                <w:rFonts w:ascii="Times New Roman" w:hAnsi="Times New Roman" w:cs="Times New Roman"/>
                <w:b/>
              </w:rPr>
              <w:t>P-value</w:t>
            </w:r>
          </w:p>
        </w:tc>
        <w:tc>
          <w:tcPr>
            <w:tcW w:w="1858" w:type="dxa"/>
            <w:shd w:val="clear" w:color="auto" w:fill="D9D9D9" w:themeFill="background1" w:themeFillShade="D9"/>
            <w:vAlign w:val="center"/>
          </w:tcPr>
          <w:p w14:paraId="5F702F4E" w14:textId="77777777" w:rsidR="0088477C" w:rsidRPr="00443823" w:rsidRDefault="0088477C" w:rsidP="007C301F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443823">
              <w:rPr>
                <w:rFonts w:ascii="Times New Roman" w:hAnsi="Times New Roman" w:cs="Times New Roman"/>
                <w:b/>
              </w:rPr>
              <w:t>E-value for</w:t>
            </w:r>
          </w:p>
          <w:p w14:paraId="6DD3AA6F" w14:textId="77777777" w:rsidR="0088477C" w:rsidRPr="00443823" w:rsidRDefault="0088477C" w:rsidP="007C301F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443823">
              <w:rPr>
                <w:rFonts w:ascii="Times New Roman" w:hAnsi="Times New Roman" w:cs="Times New Roman"/>
                <w:b/>
              </w:rPr>
              <w:t xml:space="preserve"> point estimation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14:paraId="6C3E6220" w14:textId="77777777" w:rsidR="0088477C" w:rsidRPr="00443823" w:rsidRDefault="0088477C" w:rsidP="007C301F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443823">
              <w:rPr>
                <w:rFonts w:ascii="Times New Roman" w:hAnsi="Times New Roman" w:cs="Times New Roman"/>
                <w:b/>
              </w:rPr>
              <w:t>E-value for CI</w:t>
            </w:r>
          </w:p>
        </w:tc>
      </w:tr>
      <w:tr w:rsidR="0088477C" w14:paraId="308BFFFE" w14:textId="77777777" w:rsidTr="007C301F">
        <w:trPr>
          <w:jc w:val="center"/>
        </w:trPr>
        <w:tc>
          <w:tcPr>
            <w:tcW w:w="1298" w:type="dxa"/>
            <w:vAlign w:val="center"/>
          </w:tcPr>
          <w:p w14:paraId="3DF7C951" w14:textId="77777777" w:rsidR="0088477C" w:rsidRPr="00443823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443823">
              <w:rPr>
                <w:rFonts w:ascii="Times New Roman" w:hAnsi="Times New Roman" w:cs="Times New Roman"/>
                <w:bCs/>
              </w:rPr>
              <w:t>Low</w:t>
            </w:r>
          </w:p>
        </w:tc>
        <w:tc>
          <w:tcPr>
            <w:tcW w:w="1217" w:type="dxa"/>
            <w:vAlign w:val="center"/>
          </w:tcPr>
          <w:p w14:paraId="65F2ED82" w14:textId="77777777" w:rsidR="0088477C" w:rsidRPr="00443823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443823">
              <w:rPr>
                <w:rFonts w:ascii="Times New Roman" w:hAnsi="Times New Roman" w:cs="Times New Roman"/>
                <w:bCs/>
              </w:rPr>
              <w:t>--</w:t>
            </w:r>
          </w:p>
        </w:tc>
        <w:tc>
          <w:tcPr>
            <w:tcW w:w="1728" w:type="dxa"/>
            <w:vAlign w:val="center"/>
          </w:tcPr>
          <w:p w14:paraId="338E8033" w14:textId="77777777" w:rsidR="0088477C" w:rsidRPr="00443823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443823">
              <w:rPr>
                <w:rFonts w:ascii="Times New Roman" w:hAnsi="Times New Roman" w:cs="Times New Roman"/>
                <w:bCs/>
              </w:rPr>
              <w:t>1.008</w:t>
            </w:r>
          </w:p>
        </w:tc>
        <w:tc>
          <w:tcPr>
            <w:tcW w:w="1692" w:type="dxa"/>
            <w:vAlign w:val="center"/>
          </w:tcPr>
          <w:p w14:paraId="7CD8F48C" w14:textId="77777777" w:rsidR="0088477C" w:rsidRPr="00443823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443823">
              <w:rPr>
                <w:rFonts w:ascii="Times New Roman" w:hAnsi="Times New Roman" w:cs="Times New Roman"/>
                <w:bCs/>
              </w:rPr>
              <w:t>(1.004,1.011)</w:t>
            </w:r>
          </w:p>
        </w:tc>
        <w:tc>
          <w:tcPr>
            <w:tcW w:w="1022" w:type="dxa"/>
            <w:vAlign w:val="center"/>
          </w:tcPr>
          <w:p w14:paraId="2A2A9EC3" w14:textId="77777777" w:rsidR="0088477C" w:rsidRPr="00443823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1.1e-</w:t>
            </w:r>
            <w:r w:rsidRPr="00200AB8">
              <w:rPr>
                <w:rFonts w:ascii="Times New Roman" w:hAnsi="Times New Roman" w:cs="Times New Roman"/>
                <w:bCs/>
                <w:vertAlign w:val="superscript"/>
              </w:rPr>
              <w:t>2</w:t>
            </w:r>
          </w:p>
        </w:tc>
        <w:tc>
          <w:tcPr>
            <w:tcW w:w="1858" w:type="dxa"/>
            <w:vAlign w:val="center"/>
          </w:tcPr>
          <w:p w14:paraId="40197B14" w14:textId="77777777" w:rsidR="0088477C" w:rsidRPr="00443823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443823">
              <w:rPr>
                <w:rFonts w:ascii="Times New Roman" w:hAnsi="Times New Roman" w:cs="Times New Roman"/>
                <w:bCs/>
              </w:rPr>
              <w:t>1.1</w:t>
            </w:r>
          </w:p>
        </w:tc>
        <w:tc>
          <w:tcPr>
            <w:tcW w:w="1170" w:type="dxa"/>
          </w:tcPr>
          <w:p w14:paraId="2C9378BF" w14:textId="77777777" w:rsidR="0088477C" w:rsidRPr="00443823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443823">
              <w:rPr>
                <w:rFonts w:ascii="Times New Roman" w:hAnsi="Times New Roman" w:cs="Times New Roman"/>
                <w:bCs/>
              </w:rPr>
              <w:t>1.07</w:t>
            </w:r>
          </w:p>
        </w:tc>
      </w:tr>
      <w:tr w:rsidR="0088477C" w14:paraId="445E1466" w14:textId="77777777" w:rsidTr="007C301F">
        <w:trPr>
          <w:jc w:val="center"/>
        </w:trPr>
        <w:tc>
          <w:tcPr>
            <w:tcW w:w="1298" w:type="dxa"/>
            <w:vAlign w:val="center"/>
          </w:tcPr>
          <w:p w14:paraId="05E88D7E" w14:textId="77777777" w:rsidR="0088477C" w:rsidRPr="00443823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443823">
              <w:rPr>
                <w:rFonts w:ascii="Times New Roman" w:hAnsi="Times New Roman" w:cs="Times New Roman"/>
                <w:bCs/>
              </w:rPr>
              <w:t>Med-Low</w:t>
            </w:r>
          </w:p>
        </w:tc>
        <w:tc>
          <w:tcPr>
            <w:tcW w:w="1217" w:type="dxa"/>
            <w:vAlign w:val="center"/>
          </w:tcPr>
          <w:p w14:paraId="4588C28F" w14:textId="77777777" w:rsidR="0088477C" w:rsidRPr="00443823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443823">
              <w:rPr>
                <w:rFonts w:ascii="Times New Roman" w:hAnsi="Times New Roman" w:cs="Times New Roman"/>
                <w:bCs/>
              </w:rPr>
              <w:t>--</w:t>
            </w:r>
          </w:p>
        </w:tc>
        <w:tc>
          <w:tcPr>
            <w:tcW w:w="1728" w:type="dxa"/>
            <w:vAlign w:val="center"/>
          </w:tcPr>
          <w:p w14:paraId="2A9CD319" w14:textId="77777777" w:rsidR="0088477C" w:rsidRPr="00443823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443823">
              <w:rPr>
                <w:rFonts w:ascii="Times New Roman" w:hAnsi="Times New Roman" w:cs="Times New Roman"/>
                <w:bCs/>
              </w:rPr>
              <w:t>1.013</w:t>
            </w:r>
          </w:p>
        </w:tc>
        <w:tc>
          <w:tcPr>
            <w:tcW w:w="1692" w:type="dxa"/>
            <w:vAlign w:val="center"/>
          </w:tcPr>
          <w:p w14:paraId="5D5B362E" w14:textId="77777777" w:rsidR="0088477C" w:rsidRPr="00443823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443823">
              <w:rPr>
                <w:rFonts w:ascii="Times New Roman" w:hAnsi="Times New Roman" w:cs="Times New Roman"/>
                <w:bCs/>
              </w:rPr>
              <w:t>(1.009,1.017)</w:t>
            </w:r>
          </w:p>
        </w:tc>
        <w:tc>
          <w:tcPr>
            <w:tcW w:w="1022" w:type="dxa"/>
            <w:vAlign w:val="center"/>
          </w:tcPr>
          <w:p w14:paraId="0F3A6339" w14:textId="77777777" w:rsidR="0088477C" w:rsidRPr="00443823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5.8e-</w:t>
            </w:r>
            <w:r w:rsidRPr="00200AB8">
              <w:rPr>
                <w:rFonts w:ascii="Times New Roman" w:hAnsi="Times New Roman" w:cs="Times New Roman"/>
                <w:bCs/>
                <w:vertAlign w:val="superscript"/>
              </w:rPr>
              <w:t>4</w:t>
            </w:r>
          </w:p>
        </w:tc>
        <w:tc>
          <w:tcPr>
            <w:tcW w:w="1858" w:type="dxa"/>
            <w:vAlign w:val="center"/>
          </w:tcPr>
          <w:p w14:paraId="4DFD3362" w14:textId="77777777" w:rsidR="0088477C" w:rsidRPr="00443823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443823">
              <w:rPr>
                <w:rFonts w:ascii="Times New Roman" w:hAnsi="Times New Roman" w:cs="Times New Roman"/>
                <w:bCs/>
              </w:rPr>
              <w:t>1.13</w:t>
            </w:r>
          </w:p>
        </w:tc>
        <w:tc>
          <w:tcPr>
            <w:tcW w:w="1170" w:type="dxa"/>
          </w:tcPr>
          <w:p w14:paraId="05A920DB" w14:textId="77777777" w:rsidR="0088477C" w:rsidRPr="00443823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443823">
              <w:rPr>
                <w:rFonts w:ascii="Times New Roman" w:hAnsi="Times New Roman" w:cs="Times New Roman"/>
                <w:bCs/>
              </w:rPr>
              <w:t>1.1</w:t>
            </w:r>
          </w:p>
        </w:tc>
      </w:tr>
      <w:tr w:rsidR="0088477C" w14:paraId="33143FD7" w14:textId="77777777" w:rsidTr="007C301F">
        <w:trPr>
          <w:jc w:val="center"/>
        </w:trPr>
        <w:tc>
          <w:tcPr>
            <w:tcW w:w="1298" w:type="dxa"/>
            <w:vAlign w:val="center"/>
          </w:tcPr>
          <w:p w14:paraId="684178A6" w14:textId="77777777" w:rsidR="0088477C" w:rsidRPr="00443823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443823">
              <w:rPr>
                <w:rFonts w:ascii="Times New Roman" w:hAnsi="Times New Roman" w:cs="Times New Roman"/>
                <w:bCs/>
              </w:rPr>
              <w:t>Med-High</w:t>
            </w:r>
          </w:p>
        </w:tc>
        <w:tc>
          <w:tcPr>
            <w:tcW w:w="1217" w:type="dxa"/>
            <w:vAlign w:val="center"/>
          </w:tcPr>
          <w:p w14:paraId="32BE7237" w14:textId="77777777" w:rsidR="0088477C" w:rsidRPr="00443823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443823">
              <w:rPr>
                <w:rFonts w:ascii="Times New Roman" w:hAnsi="Times New Roman" w:cs="Times New Roman"/>
                <w:bCs/>
              </w:rPr>
              <w:t>--</w:t>
            </w:r>
          </w:p>
        </w:tc>
        <w:tc>
          <w:tcPr>
            <w:tcW w:w="1728" w:type="dxa"/>
            <w:vAlign w:val="center"/>
          </w:tcPr>
          <w:p w14:paraId="4F306FC3" w14:textId="77777777" w:rsidR="0088477C" w:rsidRPr="00443823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443823">
              <w:rPr>
                <w:rFonts w:ascii="Times New Roman" w:hAnsi="Times New Roman" w:cs="Times New Roman"/>
                <w:bCs/>
              </w:rPr>
              <w:t>1.018</w:t>
            </w:r>
          </w:p>
        </w:tc>
        <w:tc>
          <w:tcPr>
            <w:tcW w:w="1692" w:type="dxa"/>
            <w:vAlign w:val="center"/>
          </w:tcPr>
          <w:p w14:paraId="103C6622" w14:textId="77777777" w:rsidR="0088477C" w:rsidRPr="00443823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443823">
              <w:rPr>
                <w:rFonts w:ascii="Times New Roman" w:hAnsi="Times New Roman" w:cs="Times New Roman"/>
                <w:bCs/>
              </w:rPr>
              <w:t>(1.014,1.022)</w:t>
            </w:r>
          </w:p>
        </w:tc>
        <w:tc>
          <w:tcPr>
            <w:tcW w:w="1022" w:type="dxa"/>
            <w:vAlign w:val="center"/>
          </w:tcPr>
          <w:p w14:paraId="7826D51B" w14:textId="77777777" w:rsidR="0088477C" w:rsidRPr="00443823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3.4e</w:t>
            </w:r>
            <w:r w:rsidRPr="00200AB8">
              <w:rPr>
                <w:rFonts w:ascii="Times New Roman" w:hAnsi="Times New Roman" w:cs="Times New Roman"/>
                <w:bCs/>
                <w:vertAlign w:val="superscript"/>
              </w:rPr>
              <w:t>-6</w:t>
            </w:r>
          </w:p>
        </w:tc>
        <w:tc>
          <w:tcPr>
            <w:tcW w:w="1858" w:type="dxa"/>
            <w:vAlign w:val="center"/>
          </w:tcPr>
          <w:p w14:paraId="04CA53D7" w14:textId="77777777" w:rsidR="0088477C" w:rsidRPr="00443823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443823">
              <w:rPr>
                <w:rFonts w:ascii="Times New Roman" w:hAnsi="Times New Roman" w:cs="Times New Roman"/>
                <w:bCs/>
              </w:rPr>
              <w:t>1.15</w:t>
            </w:r>
          </w:p>
        </w:tc>
        <w:tc>
          <w:tcPr>
            <w:tcW w:w="1170" w:type="dxa"/>
          </w:tcPr>
          <w:p w14:paraId="60FF094A" w14:textId="77777777" w:rsidR="0088477C" w:rsidRPr="00443823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443823">
              <w:rPr>
                <w:rFonts w:ascii="Times New Roman" w:hAnsi="Times New Roman" w:cs="Times New Roman"/>
                <w:bCs/>
              </w:rPr>
              <w:t>1.13</w:t>
            </w:r>
          </w:p>
        </w:tc>
      </w:tr>
      <w:tr w:rsidR="0088477C" w14:paraId="0862D47C" w14:textId="77777777" w:rsidTr="007C301F">
        <w:trPr>
          <w:jc w:val="center"/>
        </w:trPr>
        <w:tc>
          <w:tcPr>
            <w:tcW w:w="1298" w:type="dxa"/>
            <w:vAlign w:val="center"/>
          </w:tcPr>
          <w:p w14:paraId="2AE1DA6C" w14:textId="77777777" w:rsidR="0088477C" w:rsidRPr="00443823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443823">
              <w:rPr>
                <w:rFonts w:ascii="Times New Roman" w:hAnsi="Times New Roman" w:cs="Times New Roman"/>
                <w:bCs/>
              </w:rPr>
              <w:t>High</w:t>
            </w:r>
          </w:p>
        </w:tc>
        <w:tc>
          <w:tcPr>
            <w:tcW w:w="1217" w:type="dxa"/>
            <w:vAlign w:val="center"/>
          </w:tcPr>
          <w:p w14:paraId="3585275E" w14:textId="77777777" w:rsidR="0088477C" w:rsidRPr="00443823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443823">
              <w:rPr>
                <w:rFonts w:ascii="Times New Roman" w:hAnsi="Times New Roman" w:cs="Times New Roman"/>
                <w:bCs/>
              </w:rPr>
              <w:t>--</w:t>
            </w:r>
          </w:p>
        </w:tc>
        <w:tc>
          <w:tcPr>
            <w:tcW w:w="1728" w:type="dxa"/>
            <w:vAlign w:val="center"/>
          </w:tcPr>
          <w:p w14:paraId="50441B96" w14:textId="77777777" w:rsidR="0088477C" w:rsidRPr="00443823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443823">
              <w:rPr>
                <w:rFonts w:ascii="Times New Roman" w:hAnsi="Times New Roman" w:cs="Times New Roman"/>
                <w:bCs/>
              </w:rPr>
              <w:t>1.025</w:t>
            </w:r>
          </w:p>
        </w:tc>
        <w:tc>
          <w:tcPr>
            <w:tcW w:w="1692" w:type="dxa"/>
            <w:vAlign w:val="center"/>
          </w:tcPr>
          <w:p w14:paraId="5FE32C8C" w14:textId="77777777" w:rsidR="0088477C" w:rsidRPr="00443823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443823">
              <w:rPr>
                <w:rFonts w:ascii="Times New Roman" w:hAnsi="Times New Roman" w:cs="Times New Roman"/>
                <w:bCs/>
              </w:rPr>
              <w:t>(1.021,1.029)</w:t>
            </w:r>
          </w:p>
        </w:tc>
        <w:tc>
          <w:tcPr>
            <w:tcW w:w="1022" w:type="dxa"/>
            <w:vAlign w:val="center"/>
          </w:tcPr>
          <w:p w14:paraId="2930D5A5" w14:textId="77777777" w:rsidR="0088477C" w:rsidRPr="00443823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2.1e</w:t>
            </w:r>
            <w:r w:rsidRPr="00200AB8">
              <w:rPr>
                <w:rFonts w:ascii="Times New Roman" w:hAnsi="Times New Roman" w:cs="Times New Roman"/>
                <w:bCs/>
                <w:vertAlign w:val="superscript"/>
              </w:rPr>
              <w:t>-10</w:t>
            </w:r>
          </w:p>
        </w:tc>
        <w:tc>
          <w:tcPr>
            <w:tcW w:w="1858" w:type="dxa"/>
            <w:vAlign w:val="center"/>
          </w:tcPr>
          <w:p w14:paraId="5180EC2A" w14:textId="77777777" w:rsidR="0088477C" w:rsidRPr="00443823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443823">
              <w:rPr>
                <w:rFonts w:ascii="Times New Roman" w:hAnsi="Times New Roman" w:cs="Times New Roman"/>
                <w:bCs/>
              </w:rPr>
              <w:t>1.19</w:t>
            </w:r>
          </w:p>
        </w:tc>
        <w:tc>
          <w:tcPr>
            <w:tcW w:w="1170" w:type="dxa"/>
          </w:tcPr>
          <w:p w14:paraId="59F0DD33" w14:textId="77777777" w:rsidR="0088477C" w:rsidRPr="00443823" w:rsidRDefault="0088477C" w:rsidP="007C301F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443823">
              <w:rPr>
                <w:rFonts w:ascii="Times New Roman" w:hAnsi="Times New Roman" w:cs="Times New Roman"/>
                <w:bCs/>
              </w:rPr>
              <w:t>1.17</w:t>
            </w:r>
          </w:p>
        </w:tc>
      </w:tr>
    </w:tbl>
    <w:p w14:paraId="306CA8E7" w14:textId="20B456B2" w:rsidR="004E1651" w:rsidRDefault="0088477C" w:rsidP="00FC0FF3">
      <w:pPr>
        <w:rPr>
          <w:noProof/>
        </w:rPr>
      </w:pPr>
      <w:r w:rsidRPr="007C7C6C">
        <w:rPr>
          <w:b/>
          <w:bCs/>
          <w:noProof/>
        </w:rPr>
        <w:t xml:space="preserve">Table </w:t>
      </w:r>
      <w:r>
        <w:rPr>
          <w:b/>
          <w:bCs/>
          <w:noProof/>
        </w:rPr>
        <w:t>5</w:t>
      </w:r>
      <w:r w:rsidRPr="000551BE">
        <w:rPr>
          <w:b/>
          <w:bCs/>
          <w:noProof/>
        </w:rPr>
        <w:t>.</w:t>
      </w:r>
      <w:r>
        <w:rPr>
          <w:noProof/>
        </w:rPr>
        <w:t xml:space="preserve"> </w:t>
      </w:r>
      <w:r w:rsidRPr="005B5F0B">
        <w:rPr>
          <w:noProof/>
        </w:rPr>
        <w:t xml:space="preserve">The </w:t>
      </w:r>
      <w:r>
        <w:rPr>
          <w:noProof/>
        </w:rPr>
        <w:t>evidence-value of the associations estimated by Model I.</w:t>
      </w:r>
      <w:r w:rsidR="00FC0FF3" w:rsidRPr="00FC0FF3">
        <w:rPr>
          <w:noProof/>
        </w:rPr>
        <w:t xml:space="preserve"> </w:t>
      </w:r>
      <w:r w:rsidR="00FC0FF3">
        <w:rPr>
          <w:noProof/>
        </w:rPr>
        <w:br w:type="page"/>
      </w:r>
    </w:p>
    <w:tbl>
      <w:tblPr>
        <w:tblW w:w="10170" w:type="dxa"/>
        <w:jc w:val="center"/>
        <w:tblLook w:val="04A0" w:firstRow="1" w:lastRow="0" w:firstColumn="1" w:lastColumn="0" w:noHBand="0" w:noVBand="1"/>
      </w:tblPr>
      <w:tblGrid>
        <w:gridCol w:w="1943"/>
        <w:gridCol w:w="1681"/>
        <w:gridCol w:w="1680"/>
        <w:gridCol w:w="1622"/>
        <w:gridCol w:w="1622"/>
        <w:gridCol w:w="1622"/>
      </w:tblGrid>
      <w:tr w:rsidR="004E1651" w:rsidRPr="00B20287" w14:paraId="78A0CE3A" w14:textId="77777777" w:rsidTr="007C301F">
        <w:trPr>
          <w:trHeight w:val="293"/>
          <w:jc w:val="center"/>
        </w:trPr>
        <w:tc>
          <w:tcPr>
            <w:tcW w:w="19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9877AA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336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B33951E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Pre-Drilling Treatment Group</w:t>
            </w:r>
          </w:p>
        </w:tc>
        <w:tc>
          <w:tcPr>
            <w:tcW w:w="324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4EC6A01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2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Pre-Drilling Comparison Group</w:t>
            </w:r>
          </w:p>
        </w:tc>
        <w:tc>
          <w:tcPr>
            <w:tcW w:w="162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CAB747E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</w:p>
        </w:tc>
      </w:tr>
      <w:tr w:rsidR="004E1651" w:rsidRPr="00B20287" w14:paraId="623BC803" w14:textId="77777777" w:rsidTr="007C301F">
        <w:trPr>
          <w:trHeight w:val="293"/>
          <w:jc w:val="center"/>
        </w:trPr>
        <w:tc>
          <w:tcPr>
            <w:tcW w:w="19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1479B6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16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88E11A9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Mean</w:t>
            </w:r>
          </w:p>
        </w:tc>
        <w:tc>
          <w:tcPr>
            <w:tcW w:w="16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D48525F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Standard Deviation</w:t>
            </w:r>
          </w:p>
        </w:tc>
        <w:tc>
          <w:tcPr>
            <w:tcW w:w="162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A8CAF0D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Mean</w:t>
            </w:r>
          </w:p>
        </w:tc>
        <w:tc>
          <w:tcPr>
            <w:tcW w:w="162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2244376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Standard Deviation</w:t>
            </w:r>
          </w:p>
        </w:tc>
        <w:tc>
          <w:tcPr>
            <w:tcW w:w="162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43CF97B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P-Value</w:t>
            </w:r>
          </w:p>
        </w:tc>
      </w:tr>
      <w:tr w:rsidR="004E1651" w:rsidRPr="00B20287" w14:paraId="18FA64CA" w14:textId="77777777" w:rsidTr="007C301F">
        <w:trPr>
          <w:trHeight w:val="293"/>
          <w:jc w:val="center"/>
        </w:trPr>
        <w:tc>
          <w:tcPr>
            <w:tcW w:w="19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A74FD53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Sample size</w:t>
            </w:r>
          </w:p>
        </w:tc>
        <w:tc>
          <w:tcPr>
            <w:tcW w:w="16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2711A5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2,532,350</w:t>
            </w:r>
          </w:p>
        </w:tc>
        <w:tc>
          <w:tcPr>
            <w:tcW w:w="16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DCE57F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 </w:t>
            </w:r>
          </w:p>
        </w:tc>
        <w:tc>
          <w:tcPr>
            <w:tcW w:w="162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5D0AF6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2,471,333</w:t>
            </w:r>
            <w:r w:rsidRPr="00D95208">
              <w:rPr>
                <w:rFonts w:ascii="Calibri" w:eastAsia="Times New Roman" w:hAnsi="Calibri" w:cs="Calibri"/>
                <w:sz w:val="22"/>
              </w:rPr>
              <w:t xml:space="preserve"> </w:t>
            </w:r>
          </w:p>
        </w:tc>
        <w:tc>
          <w:tcPr>
            <w:tcW w:w="162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7A4055" w14:textId="77777777" w:rsidR="004E1651" w:rsidRPr="00D95208" w:rsidRDefault="004E1651" w:rsidP="007C301F">
            <w:pPr>
              <w:spacing w:after="0" w:line="240" w:lineRule="auto"/>
              <w:rPr>
                <w:rFonts w:eastAsia="Times New Roman"/>
                <w:sz w:val="18"/>
                <w:szCs w:val="18"/>
              </w:rPr>
            </w:pPr>
          </w:p>
        </w:tc>
        <w:tc>
          <w:tcPr>
            <w:tcW w:w="162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02C2DD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 </w:t>
            </w:r>
          </w:p>
        </w:tc>
      </w:tr>
      <w:tr w:rsidR="004E1651" w:rsidRPr="00B20287" w14:paraId="3565D997" w14:textId="77777777" w:rsidTr="007C301F">
        <w:trPr>
          <w:trHeight w:val="293"/>
          <w:jc w:val="center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8F95E51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Mortality rate</w:t>
            </w:r>
          </w:p>
        </w:tc>
        <w:tc>
          <w:tcPr>
            <w:tcW w:w="168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A42775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5.18%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8AB222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0.222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E09B4C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5.17%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B25706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0.221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C165A9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0.307</w:t>
            </w:r>
          </w:p>
        </w:tc>
      </w:tr>
      <w:tr w:rsidR="004E1651" w:rsidRPr="00B20287" w14:paraId="37140B19" w14:textId="77777777" w:rsidTr="007C301F">
        <w:trPr>
          <w:trHeight w:val="293"/>
          <w:jc w:val="center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F593D7D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% Female</w:t>
            </w:r>
          </w:p>
        </w:tc>
        <w:tc>
          <w:tcPr>
            <w:tcW w:w="168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98B0C3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58.30%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C20634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0.493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74B8CF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58.20%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E28E5A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0.493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7BF288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0.012</w:t>
            </w:r>
          </w:p>
        </w:tc>
      </w:tr>
      <w:tr w:rsidR="004E1651" w:rsidRPr="00B20287" w14:paraId="7836EE68" w14:textId="77777777" w:rsidTr="007C301F">
        <w:trPr>
          <w:trHeight w:val="293"/>
          <w:jc w:val="center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6FA80B2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% Dual Eligibility</w:t>
            </w:r>
          </w:p>
        </w:tc>
        <w:tc>
          <w:tcPr>
            <w:tcW w:w="168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27F280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9.10%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8ED711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0.287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DD745A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10.50%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C57DFB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0.307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7EE57E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&lt;1e</w:t>
            </w:r>
            <w:r w:rsidRPr="00D95208">
              <w:rPr>
                <w:rFonts w:eastAsia="Times New Roman"/>
                <w:sz w:val="18"/>
                <w:szCs w:val="18"/>
                <w:vertAlign w:val="superscript"/>
              </w:rPr>
              <w:t>-10</w:t>
            </w:r>
          </w:p>
        </w:tc>
      </w:tr>
      <w:tr w:rsidR="004E1651" w:rsidRPr="00B20287" w14:paraId="3DDE7C91" w14:textId="77777777" w:rsidTr="007C301F">
        <w:trPr>
          <w:trHeight w:val="293"/>
          <w:jc w:val="center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E65119A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Age (years)</w:t>
            </w:r>
          </w:p>
        </w:tc>
        <w:tc>
          <w:tcPr>
            <w:tcW w:w="168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612AAC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75.3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AEC759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7.430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228A61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75.4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239E67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7.580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80B64D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&lt;1e</w:t>
            </w:r>
            <w:r w:rsidRPr="00D95208">
              <w:rPr>
                <w:rFonts w:eastAsia="Times New Roman"/>
                <w:sz w:val="18"/>
                <w:szCs w:val="18"/>
                <w:vertAlign w:val="superscript"/>
              </w:rPr>
              <w:t>-10</w:t>
            </w:r>
          </w:p>
        </w:tc>
      </w:tr>
      <w:tr w:rsidR="004E1651" w:rsidRPr="00B20287" w14:paraId="4F951AFF" w14:textId="77777777" w:rsidTr="007C301F">
        <w:trPr>
          <w:trHeight w:val="293"/>
          <w:jc w:val="center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B5DA34A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Calendar year</w:t>
            </w:r>
          </w:p>
        </w:tc>
        <w:tc>
          <w:tcPr>
            <w:tcW w:w="168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4E14D6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2005.28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825678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3.280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3C15D4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2005.77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1E56DB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2.940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F6FEAD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&lt;1e</w:t>
            </w:r>
            <w:r w:rsidRPr="00D95208">
              <w:rPr>
                <w:rFonts w:eastAsia="Times New Roman"/>
                <w:sz w:val="18"/>
                <w:szCs w:val="18"/>
                <w:vertAlign w:val="superscript"/>
              </w:rPr>
              <w:t>-10</w:t>
            </w:r>
          </w:p>
        </w:tc>
      </w:tr>
      <w:tr w:rsidR="004E1651" w:rsidRPr="00B20287" w14:paraId="6A84181C" w14:textId="77777777" w:rsidTr="007C301F">
        <w:trPr>
          <w:trHeight w:val="293"/>
          <w:jc w:val="center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3994E9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PM</w:t>
            </w:r>
            <w:r w:rsidRPr="000551BE">
              <w:rPr>
                <w:rFonts w:eastAsia="Times New Roman"/>
                <w:sz w:val="18"/>
                <w:szCs w:val="18"/>
                <w:vertAlign w:val="subscript"/>
              </w:rPr>
              <w:t>2.5</w:t>
            </w:r>
            <w:r w:rsidRPr="00D95208">
              <w:rPr>
                <w:rFonts w:eastAsia="Times New Roman"/>
                <w:sz w:val="18"/>
                <w:szCs w:val="18"/>
              </w:rPr>
              <w:t xml:space="preserve"> (µg/m</w:t>
            </w:r>
            <w:r w:rsidRPr="00D95208">
              <w:rPr>
                <w:rFonts w:eastAsia="Times New Roman"/>
                <w:sz w:val="18"/>
                <w:szCs w:val="18"/>
                <w:vertAlign w:val="superscript"/>
              </w:rPr>
              <w:t>3</w:t>
            </w:r>
            <w:r w:rsidRPr="00D95208">
              <w:rPr>
                <w:rFonts w:eastAsia="Times New Roman"/>
                <w:sz w:val="18"/>
                <w:szCs w:val="18"/>
              </w:rPr>
              <w:t>)</w:t>
            </w:r>
          </w:p>
        </w:tc>
        <w:tc>
          <w:tcPr>
            <w:tcW w:w="168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12742E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12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FFD1C5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3.08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1F29DC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10.9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95DF13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3.27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9BAE8D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&lt;1e</w:t>
            </w:r>
            <w:r w:rsidRPr="00D95208">
              <w:rPr>
                <w:rFonts w:eastAsia="Times New Roman"/>
                <w:sz w:val="18"/>
                <w:szCs w:val="18"/>
                <w:vertAlign w:val="superscript"/>
              </w:rPr>
              <w:t>-10</w:t>
            </w:r>
          </w:p>
        </w:tc>
      </w:tr>
      <w:tr w:rsidR="004E1651" w:rsidRPr="00B20287" w14:paraId="56883453" w14:textId="77777777" w:rsidTr="007C301F">
        <w:trPr>
          <w:trHeight w:val="293"/>
          <w:jc w:val="center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9DCF8C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Highest monthly temperature (</w:t>
            </w:r>
            <w:r>
              <w:rPr>
                <w:rFonts w:eastAsia="Times New Roman" w:cs="Times New Roman"/>
                <w:sz w:val="18"/>
                <w:szCs w:val="18"/>
              </w:rPr>
              <w:t>°</w:t>
            </w:r>
            <w:r w:rsidRPr="00D95208">
              <w:rPr>
                <w:rFonts w:eastAsia="Times New Roman"/>
                <w:sz w:val="18"/>
                <w:szCs w:val="18"/>
              </w:rPr>
              <w:t xml:space="preserve">C) </w:t>
            </w:r>
          </w:p>
        </w:tc>
        <w:tc>
          <w:tcPr>
            <w:tcW w:w="168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3024D9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17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025D65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2.81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C5A6E2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18.7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A018F9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4.48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EADF60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&lt;1e</w:t>
            </w:r>
            <w:r w:rsidRPr="00D95208">
              <w:rPr>
                <w:rFonts w:eastAsia="Times New Roman"/>
                <w:sz w:val="18"/>
                <w:szCs w:val="18"/>
                <w:vertAlign w:val="superscript"/>
              </w:rPr>
              <w:t>-10</w:t>
            </w:r>
          </w:p>
        </w:tc>
      </w:tr>
      <w:tr w:rsidR="004E1651" w:rsidRPr="00B20287" w14:paraId="3730B25C" w14:textId="77777777" w:rsidTr="007C301F">
        <w:trPr>
          <w:trHeight w:val="293"/>
          <w:jc w:val="center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24C34CF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Poverty (%)</w:t>
            </w:r>
          </w:p>
        </w:tc>
        <w:tc>
          <w:tcPr>
            <w:tcW w:w="168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92CF2E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8.23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22D35B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5.68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131404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8.78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F3A725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5.33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6015CA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&lt;1e</w:t>
            </w:r>
            <w:r w:rsidRPr="00D95208">
              <w:rPr>
                <w:rFonts w:eastAsia="Times New Roman"/>
                <w:sz w:val="18"/>
                <w:szCs w:val="18"/>
                <w:vertAlign w:val="superscript"/>
              </w:rPr>
              <w:t>-10</w:t>
            </w:r>
          </w:p>
        </w:tc>
      </w:tr>
      <w:tr w:rsidR="004E1651" w:rsidRPr="00B20287" w14:paraId="6EBFA240" w14:textId="77777777" w:rsidTr="007C301F">
        <w:trPr>
          <w:trHeight w:val="293"/>
          <w:jc w:val="center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37544D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 xml:space="preserve">Population Density </w:t>
            </w:r>
            <w:r>
              <w:rPr>
                <w:rFonts w:eastAsia="Times New Roman"/>
                <w:sz w:val="18"/>
                <w:szCs w:val="18"/>
              </w:rPr>
              <w:br/>
            </w:r>
            <w:r w:rsidRPr="00D95208">
              <w:rPr>
                <w:rFonts w:eastAsia="Times New Roman"/>
                <w:sz w:val="18"/>
                <w:szCs w:val="18"/>
              </w:rPr>
              <w:t>(K person per km</w:t>
            </w:r>
            <w:r w:rsidRPr="00D95208">
              <w:rPr>
                <w:rFonts w:eastAsia="Times New Roman"/>
                <w:sz w:val="18"/>
                <w:szCs w:val="18"/>
                <w:vertAlign w:val="superscript"/>
              </w:rPr>
              <w:t>2</w:t>
            </w:r>
            <w:r w:rsidRPr="00D95208">
              <w:rPr>
                <w:rFonts w:eastAsia="Times New Roman"/>
                <w:sz w:val="18"/>
                <w:szCs w:val="18"/>
              </w:rPr>
              <w:t>)</w:t>
            </w:r>
          </w:p>
        </w:tc>
        <w:tc>
          <w:tcPr>
            <w:tcW w:w="168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AA08DA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0.9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228F34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1.18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DC890A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0.78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824BF5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1.57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A8AB46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&lt;1e</w:t>
            </w:r>
            <w:r w:rsidRPr="00D95208">
              <w:rPr>
                <w:rFonts w:eastAsia="Times New Roman"/>
                <w:sz w:val="18"/>
                <w:szCs w:val="18"/>
                <w:vertAlign w:val="superscript"/>
              </w:rPr>
              <w:t>-10</w:t>
            </w:r>
          </w:p>
        </w:tc>
      </w:tr>
      <w:tr w:rsidR="004E1651" w:rsidRPr="00B20287" w14:paraId="10257139" w14:textId="77777777" w:rsidTr="007C301F">
        <w:trPr>
          <w:trHeight w:val="293"/>
          <w:jc w:val="center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8C05AF9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BMI</w:t>
            </w:r>
          </w:p>
        </w:tc>
        <w:tc>
          <w:tcPr>
            <w:tcW w:w="168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6EE7B0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26.8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BB0DA0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1.08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067FEE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26.9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6687E7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1.15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789CD5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&lt;1e</w:t>
            </w:r>
            <w:r w:rsidRPr="00D95208">
              <w:rPr>
                <w:rFonts w:eastAsia="Times New Roman"/>
                <w:sz w:val="18"/>
                <w:szCs w:val="18"/>
                <w:vertAlign w:val="superscript"/>
              </w:rPr>
              <w:t>-10</w:t>
            </w:r>
          </w:p>
        </w:tc>
      </w:tr>
      <w:tr w:rsidR="004E1651" w:rsidRPr="00B20287" w14:paraId="4EF2BF13" w14:textId="77777777" w:rsidTr="007C301F">
        <w:trPr>
          <w:trHeight w:val="259"/>
          <w:jc w:val="center"/>
        </w:trPr>
        <w:tc>
          <w:tcPr>
            <w:tcW w:w="194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754305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Smoking rate</w:t>
            </w:r>
          </w:p>
        </w:tc>
        <w:tc>
          <w:tcPr>
            <w:tcW w:w="168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98C9D8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48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8431B1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5.35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73456A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47.3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3AE5D8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6.93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9096B7" w14:textId="77777777" w:rsidR="004E1651" w:rsidRPr="00D95208" w:rsidRDefault="004E1651" w:rsidP="007C301F">
            <w:pPr>
              <w:spacing w:after="0" w:line="240" w:lineRule="auto"/>
              <w:jc w:val="center"/>
              <w:rPr>
                <w:rFonts w:eastAsia="Times New Roman"/>
                <w:sz w:val="18"/>
                <w:szCs w:val="18"/>
              </w:rPr>
            </w:pPr>
            <w:r w:rsidRPr="00D95208">
              <w:rPr>
                <w:rFonts w:eastAsia="Times New Roman"/>
                <w:sz w:val="18"/>
                <w:szCs w:val="18"/>
              </w:rPr>
              <w:t>&lt;1e</w:t>
            </w:r>
            <w:r w:rsidRPr="00D95208">
              <w:rPr>
                <w:rFonts w:eastAsia="Times New Roman"/>
                <w:sz w:val="18"/>
                <w:szCs w:val="18"/>
                <w:vertAlign w:val="superscript"/>
              </w:rPr>
              <w:t>-10</w:t>
            </w:r>
          </w:p>
        </w:tc>
      </w:tr>
    </w:tbl>
    <w:p w14:paraId="22650043" w14:textId="26DB3D32" w:rsidR="004669E4" w:rsidRPr="004669E4" w:rsidRDefault="004E1651" w:rsidP="004669E4">
      <w:pPr>
        <w:spacing w:line="259" w:lineRule="auto"/>
      </w:pPr>
      <w:r w:rsidRPr="00160F1B">
        <w:rPr>
          <w:b/>
          <w:bCs/>
          <w:noProof/>
        </w:rPr>
        <w:t xml:space="preserve">Table </w:t>
      </w:r>
      <w:r>
        <w:rPr>
          <w:b/>
          <w:bCs/>
          <w:noProof/>
        </w:rPr>
        <w:t>6</w:t>
      </w:r>
      <w:r w:rsidRPr="00160F1B">
        <w:rPr>
          <w:b/>
          <w:bCs/>
          <w:noProof/>
        </w:rPr>
        <w:t>.</w:t>
      </w:r>
      <w:r>
        <w:rPr>
          <w:noProof/>
        </w:rPr>
        <w:t xml:space="preserve"> Pre-drilling balance test between the treatment and comparison groups for mortality rate and other covariates.</w:t>
      </w:r>
      <w:r w:rsidR="004669E4">
        <w:br w:type="page"/>
      </w:r>
    </w:p>
    <w:p w14:paraId="62B4CF3E" w14:textId="77777777" w:rsidR="00AE6F77" w:rsidRDefault="006D7FD4" w:rsidP="0060626A">
      <w:pPr>
        <w:pStyle w:val="Heading1"/>
      </w:pPr>
      <w:r>
        <w:lastRenderedPageBreak/>
        <w:t>Supplementary Notes</w:t>
      </w:r>
    </w:p>
    <w:p w14:paraId="04148D7F" w14:textId="49139576" w:rsidR="00404A28" w:rsidRPr="00B226AD" w:rsidRDefault="00AE6F77" w:rsidP="00404A28">
      <w:pPr>
        <w:pStyle w:val="Heading2"/>
      </w:pPr>
      <w:r>
        <w:t>Supplementary Note 1</w:t>
      </w:r>
      <w:r w:rsidR="00404A28" w:rsidRPr="00B226AD">
        <w:t xml:space="preserve">. </w:t>
      </w:r>
      <w:r w:rsidR="00404A28">
        <w:t xml:space="preserve">Details of </w:t>
      </w:r>
      <w:r w:rsidR="00AF2D60">
        <w:t xml:space="preserve">the </w:t>
      </w:r>
      <w:r w:rsidR="00404A28">
        <w:t>s</w:t>
      </w:r>
      <w:r w:rsidR="00404A28" w:rsidRPr="00B226AD">
        <w:t xml:space="preserve">tudy </w:t>
      </w:r>
      <w:r w:rsidR="00AF2D60">
        <w:t>area</w:t>
      </w:r>
    </w:p>
    <w:p w14:paraId="2CBE60A0" w14:textId="1C1A6433" w:rsidR="00404A28" w:rsidRPr="002277A4" w:rsidRDefault="00AF2D60" w:rsidP="002277A4">
      <w:pPr>
        <w:rPr>
          <w:rFonts w:cs="Times New Roman"/>
          <w:szCs w:val="24"/>
        </w:rPr>
      </w:pPr>
      <w:r>
        <w:rPr>
          <w:rFonts w:cs="Times New Roman"/>
          <w:szCs w:val="24"/>
        </w:rPr>
        <w:t>O</w:t>
      </w:r>
      <w:r w:rsidR="00404A28">
        <w:rPr>
          <w:rFonts w:cs="Times New Roman"/>
          <w:szCs w:val="24"/>
        </w:rPr>
        <w:t xml:space="preserve">ur study </w:t>
      </w:r>
      <w:r>
        <w:rPr>
          <w:rFonts w:cs="Times New Roman"/>
          <w:szCs w:val="24"/>
        </w:rPr>
        <w:t>area</w:t>
      </w:r>
      <w:r w:rsidR="00404A28">
        <w:rPr>
          <w:rFonts w:cs="Times New Roman"/>
          <w:szCs w:val="24"/>
        </w:rPr>
        <w:t xml:space="preserve"> (shown in Figure </w:t>
      </w:r>
      <w:r w:rsidR="00043700">
        <w:rPr>
          <w:rFonts w:cs="Times New Roman"/>
          <w:szCs w:val="24"/>
        </w:rPr>
        <w:t>2</w:t>
      </w:r>
      <w:r w:rsidR="00404A28">
        <w:rPr>
          <w:rFonts w:cs="Times New Roman"/>
          <w:szCs w:val="24"/>
        </w:rPr>
        <w:t xml:space="preserve">) </w:t>
      </w:r>
      <w:r>
        <w:rPr>
          <w:rFonts w:cs="Times New Roman"/>
          <w:szCs w:val="24"/>
        </w:rPr>
        <w:t xml:space="preserve">included </w:t>
      </w:r>
      <w:r w:rsidR="00404A28">
        <w:rPr>
          <w:rFonts w:cs="Times New Roman"/>
          <w:szCs w:val="24"/>
        </w:rPr>
        <w:t xml:space="preserve">all counties around or within major UOGD production regions. A total of 9244 ZIP </w:t>
      </w:r>
      <w:r>
        <w:rPr>
          <w:rFonts w:cs="Times New Roman"/>
          <w:szCs w:val="24"/>
        </w:rPr>
        <w:t>c</w:t>
      </w:r>
      <w:r w:rsidR="00404A28">
        <w:rPr>
          <w:rFonts w:cs="Times New Roman"/>
          <w:szCs w:val="24"/>
        </w:rPr>
        <w:t xml:space="preserve">odes within these counties were included. The target formations (shales) underground </w:t>
      </w:r>
      <w:r>
        <w:rPr>
          <w:rFonts w:cs="Times New Roman"/>
          <w:szCs w:val="24"/>
        </w:rPr>
        <w:t xml:space="preserve">in </w:t>
      </w:r>
      <w:r w:rsidR="00404A28">
        <w:rPr>
          <w:rFonts w:cs="Times New Roman"/>
          <w:szCs w:val="24"/>
        </w:rPr>
        <w:t xml:space="preserve">these regions include </w:t>
      </w:r>
      <w:r>
        <w:rPr>
          <w:rFonts w:cs="Times New Roman"/>
          <w:szCs w:val="24"/>
        </w:rPr>
        <w:t xml:space="preserve">the </w:t>
      </w:r>
      <w:r w:rsidR="00404A28">
        <w:rPr>
          <w:rFonts w:cs="Times New Roman"/>
          <w:szCs w:val="24"/>
        </w:rPr>
        <w:t>Bakken formation</w:t>
      </w:r>
      <w:r>
        <w:rPr>
          <w:rFonts w:cs="Times New Roman"/>
          <w:szCs w:val="24"/>
        </w:rPr>
        <w:t>,</w:t>
      </w:r>
      <w:r w:rsidR="00404A28">
        <w:rPr>
          <w:rFonts w:cs="Times New Roman"/>
          <w:szCs w:val="24"/>
        </w:rPr>
        <w:t xml:space="preserve"> primarily underneath western North Dakota; Niobrara formation</w:t>
      </w:r>
      <w:r>
        <w:rPr>
          <w:rFonts w:cs="Times New Roman"/>
          <w:szCs w:val="24"/>
        </w:rPr>
        <w:t>,</w:t>
      </w:r>
      <w:r w:rsidR="00404A28">
        <w:rPr>
          <w:rFonts w:cs="Times New Roman"/>
          <w:szCs w:val="24"/>
        </w:rPr>
        <w:t xml:space="preserve"> primarily underneath eastern Colorado and northern Utah; Marcellus and Utica formation</w:t>
      </w:r>
      <w:r>
        <w:rPr>
          <w:rFonts w:cs="Times New Roman"/>
          <w:szCs w:val="24"/>
        </w:rPr>
        <w:t>s</w:t>
      </w:r>
      <w:r w:rsidR="00404A28">
        <w:rPr>
          <w:rFonts w:cs="Times New Roman"/>
          <w:szCs w:val="24"/>
        </w:rPr>
        <w:t xml:space="preserve"> underneath Pennsylvania, West Virginia, eastern Ohio</w:t>
      </w:r>
      <w:r>
        <w:rPr>
          <w:rFonts w:cs="Times New Roman"/>
          <w:szCs w:val="24"/>
        </w:rPr>
        <w:t>,</w:t>
      </w:r>
      <w:r w:rsidR="00404A28">
        <w:rPr>
          <w:rFonts w:cs="Times New Roman"/>
          <w:szCs w:val="24"/>
        </w:rPr>
        <w:t xml:space="preserve"> and southern New York; Woodford formation underneath Oklahoma; Fayetteville formation underneath central Arkansas; Permian formation underneath southeastern New Mexico and western Texas; Barnett formation underneath central and northern Texas; Eagle Ford formation underneath southern Texas</w:t>
      </w:r>
      <w:r>
        <w:rPr>
          <w:rFonts w:cs="Times New Roman"/>
          <w:szCs w:val="24"/>
        </w:rPr>
        <w:t>;</w:t>
      </w:r>
      <w:r w:rsidR="00404A28">
        <w:rPr>
          <w:rFonts w:cs="Times New Roman"/>
          <w:szCs w:val="24"/>
        </w:rPr>
        <w:t xml:space="preserve"> and Haynesville formation underneath eastern Texas and western Louisiana. The boundaries of these formation</w:t>
      </w:r>
      <w:r w:rsidR="002E7CF7">
        <w:rPr>
          <w:rFonts w:cs="Times New Roman"/>
          <w:szCs w:val="24"/>
        </w:rPr>
        <w:t>s</w:t>
      </w:r>
      <w:r w:rsidR="00404A28">
        <w:rPr>
          <w:rFonts w:cs="Times New Roman"/>
          <w:szCs w:val="24"/>
        </w:rPr>
        <w:t xml:space="preserve"> are determined by </w:t>
      </w:r>
      <w:r>
        <w:rPr>
          <w:rFonts w:cs="Times New Roman"/>
          <w:szCs w:val="24"/>
        </w:rPr>
        <w:t>the U.S. Energy Information Administration (</w:t>
      </w:r>
      <w:r w:rsidR="00404A28">
        <w:rPr>
          <w:rFonts w:cs="Times New Roman"/>
          <w:szCs w:val="24"/>
        </w:rPr>
        <w:t>EIA</w:t>
      </w:r>
      <w:r>
        <w:rPr>
          <w:rFonts w:cs="Times New Roman"/>
          <w:szCs w:val="24"/>
        </w:rPr>
        <w:t>)</w:t>
      </w:r>
      <w:r w:rsidR="002277A4">
        <w:rPr>
          <w:rFonts w:cs="Times New Roman"/>
          <w:szCs w:val="24"/>
        </w:rPr>
        <w:t xml:space="preserve">. </w:t>
      </w:r>
      <w:r w:rsidR="00404A28">
        <w:rPr>
          <w:rFonts w:cs="Times New Roman"/>
          <w:szCs w:val="24"/>
        </w:rPr>
        <w:t xml:space="preserve">Counties around </w:t>
      </w:r>
      <w:r>
        <w:rPr>
          <w:rFonts w:cs="Times New Roman"/>
          <w:szCs w:val="24"/>
        </w:rPr>
        <w:t xml:space="preserve">the </w:t>
      </w:r>
      <w:r w:rsidR="00404A28">
        <w:rPr>
          <w:rFonts w:cs="Times New Roman"/>
          <w:szCs w:val="24"/>
        </w:rPr>
        <w:t xml:space="preserve">Bakken shale and Niobrara shale </w:t>
      </w:r>
      <w:r>
        <w:rPr>
          <w:rFonts w:cs="Times New Roman"/>
          <w:szCs w:val="24"/>
        </w:rPr>
        <w:t>we</w:t>
      </w:r>
      <w:r w:rsidR="00404A28">
        <w:rPr>
          <w:rFonts w:cs="Times New Roman"/>
          <w:szCs w:val="24"/>
        </w:rPr>
        <w:t xml:space="preserve">re clustered as </w:t>
      </w:r>
      <w:r>
        <w:rPr>
          <w:rFonts w:cs="Times New Roman"/>
          <w:szCs w:val="24"/>
        </w:rPr>
        <w:t xml:space="preserve">the </w:t>
      </w:r>
      <w:r w:rsidR="00404A28">
        <w:rPr>
          <w:rFonts w:cs="Times New Roman"/>
          <w:szCs w:val="24"/>
        </w:rPr>
        <w:t xml:space="preserve">northern subregion. Counties around </w:t>
      </w:r>
      <w:r>
        <w:rPr>
          <w:rFonts w:cs="Times New Roman"/>
          <w:szCs w:val="24"/>
        </w:rPr>
        <w:t xml:space="preserve">the </w:t>
      </w:r>
      <w:r w:rsidR="00404A28">
        <w:rPr>
          <w:rFonts w:cs="Times New Roman"/>
          <w:szCs w:val="24"/>
        </w:rPr>
        <w:t xml:space="preserve">Marcellus shale and Utica shale </w:t>
      </w:r>
      <w:r>
        <w:rPr>
          <w:rFonts w:cs="Times New Roman"/>
          <w:szCs w:val="24"/>
        </w:rPr>
        <w:t>we</w:t>
      </w:r>
      <w:r w:rsidR="00404A28">
        <w:rPr>
          <w:rFonts w:cs="Times New Roman"/>
          <w:szCs w:val="24"/>
        </w:rPr>
        <w:t xml:space="preserve">re clustered as </w:t>
      </w:r>
      <w:r>
        <w:rPr>
          <w:rFonts w:cs="Times New Roman"/>
          <w:szCs w:val="24"/>
        </w:rPr>
        <w:t xml:space="preserve">the </w:t>
      </w:r>
      <w:r w:rsidR="00404A28">
        <w:rPr>
          <w:rFonts w:cs="Times New Roman"/>
          <w:szCs w:val="24"/>
        </w:rPr>
        <w:t xml:space="preserve">eastern subregion. All other counties were grouped as </w:t>
      </w:r>
      <w:r>
        <w:rPr>
          <w:rFonts w:cs="Times New Roman"/>
          <w:szCs w:val="24"/>
        </w:rPr>
        <w:t xml:space="preserve">the </w:t>
      </w:r>
      <w:r w:rsidR="00404A28">
        <w:rPr>
          <w:rFonts w:cs="Times New Roman"/>
          <w:szCs w:val="24"/>
        </w:rPr>
        <w:t>southern subregion.</w:t>
      </w:r>
      <w:r w:rsidR="00404A28">
        <w:br w:type="page"/>
      </w:r>
    </w:p>
    <w:p w14:paraId="70751B1D" w14:textId="3BE96DE7" w:rsidR="00404A28" w:rsidRDefault="00A27267" w:rsidP="00404A28">
      <w:pPr>
        <w:pStyle w:val="Heading2"/>
      </w:pPr>
      <w:r>
        <w:lastRenderedPageBreak/>
        <w:t>Supple</w:t>
      </w:r>
      <w:r w:rsidR="00C854D7">
        <w:t>mentary Note</w:t>
      </w:r>
      <w:r w:rsidR="00404A28" w:rsidRPr="002E2184">
        <w:t xml:space="preserve"> </w:t>
      </w:r>
      <w:r w:rsidR="00404A28">
        <w:t>2.</w:t>
      </w:r>
      <w:r w:rsidR="00404A28" w:rsidRPr="002E2184">
        <w:t xml:space="preserve"> Spatiotemporal pattern</w:t>
      </w:r>
      <w:r w:rsidR="00404A28">
        <w:t>s</w:t>
      </w:r>
      <w:r w:rsidR="00404A28" w:rsidRPr="002E2184">
        <w:t xml:space="preserve"> of UOGD </w:t>
      </w:r>
      <w:r w:rsidR="00404A28">
        <w:t>&amp;</w:t>
      </w:r>
      <w:r w:rsidR="00404A28" w:rsidRPr="002E2184">
        <w:t xml:space="preserve"> COGD exposure</w:t>
      </w:r>
      <w:r w:rsidR="00404A28">
        <w:t xml:space="preserve"> and mortality</w:t>
      </w:r>
    </w:p>
    <w:p w14:paraId="579E293C" w14:textId="2FBE566B" w:rsidR="00404A28" w:rsidRDefault="00404A28" w:rsidP="00404A28">
      <w:r>
        <w:t xml:space="preserve">During our study period, UOGD expanded rapidly across major shale regions (Figure </w:t>
      </w:r>
      <w:r w:rsidR="00892B26">
        <w:t>2</w:t>
      </w:r>
      <w:r>
        <w:t>). We calculated the average PE levels for both UOGD and COGD in each subregion during our study period (</w:t>
      </w:r>
      <w:r w:rsidR="00CD62C9">
        <w:t>Supplementary Table</w:t>
      </w:r>
      <w:r>
        <w:t xml:space="preserve"> 1). Due to the rapid expansion of UOGD, the mean of PE to UOGD increased, especially after 2007 in </w:t>
      </w:r>
      <w:r w:rsidR="00AF2D60">
        <w:t xml:space="preserve">the </w:t>
      </w:r>
      <w:r>
        <w:t xml:space="preserve">southern subregion and after 2011 in </w:t>
      </w:r>
      <w:r w:rsidR="00AF2D60">
        <w:t xml:space="preserve">the </w:t>
      </w:r>
      <w:r>
        <w:t xml:space="preserve">northern and eastern subregions. </w:t>
      </w:r>
      <w:r w:rsidR="00AF2D60">
        <w:t>T</w:t>
      </w:r>
      <w:r>
        <w:t xml:space="preserve">he expansion of COGD </w:t>
      </w:r>
      <w:r w:rsidR="00AF2D60">
        <w:t xml:space="preserve">during the same period </w:t>
      </w:r>
      <w:r>
        <w:t>was not as rapid</w:t>
      </w:r>
      <w:r w:rsidR="00AF2D60">
        <w:t xml:space="preserve">, and </w:t>
      </w:r>
      <w:r>
        <w:t>COGD exposure even declined slightly in southern subregion.</w:t>
      </w:r>
    </w:p>
    <w:p w14:paraId="284F7764" w14:textId="758C634C" w:rsidR="00FD4B16" w:rsidRDefault="00404A28" w:rsidP="00FD4B16">
      <w:r>
        <w:t>At the beginning of our study period (</w:t>
      </w:r>
      <w:r w:rsidR="00CD62C9">
        <w:t>Supplementary Figure</w:t>
      </w:r>
      <w:r w:rsidR="00173D57">
        <w:t xml:space="preserve"> 1A</w:t>
      </w:r>
      <w:r>
        <w:t xml:space="preserve">), UOGD was not widely adopted for economic reasons. Only two small areas, one above Eagle Ford shale and one above Bakken shale, were </w:t>
      </w:r>
      <w:r w:rsidR="00AF2D60">
        <w:t xml:space="preserve">assigned to the </w:t>
      </w:r>
      <w:r>
        <w:t>high PE level. Approximately 40,000 residents lived in these regions. At the end of our study period (</w:t>
      </w:r>
      <w:r w:rsidR="00CD62C9">
        <w:t>Supplementary Figure</w:t>
      </w:r>
      <w:r w:rsidR="0071597B">
        <w:t xml:space="preserve"> 1B</w:t>
      </w:r>
      <w:r>
        <w:t xml:space="preserve">), </w:t>
      </w:r>
      <w:r w:rsidR="00AF2D60">
        <w:t xml:space="preserve">more than </w:t>
      </w:r>
      <w:r>
        <w:t xml:space="preserve">18 million U.S residents were living within high PE level regions across </w:t>
      </w:r>
      <w:r w:rsidR="00AF2D60">
        <w:t xml:space="preserve">the </w:t>
      </w:r>
      <w:r>
        <w:t>cont</w:t>
      </w:r>
      <w:r w:rsidR="00AF2D60">
        <w:t>igu</w:t>
      </w:r>
      <w:r>
        <w:t>ous U.S.</w:t>
      </w:r>
      <w:r w:rsidR="00FD4B16">
        <w:rPr>
          <w:noProof/>
        </w:rPr>
        <w:br w:type="page"/>
      </w:r>
    </w:p>
    <w:p w14:paraId="03DCD0F9" w14:textId="77777777" w:rsidR="00404A28" w:rsidRPr="003D0084" w:rsidRDefault="00404A28" w:rsidP="00FD4B16">
      <w:pPr>
        <w:rPr>
          <w:noProof/>
        </w:rPr>
        <w:sectPr w:rsidR="00404A28" w:rsidRPr="003D0084" w:rsidSect="0068547D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14:paraId="5CB2A23F" w14:textId="7E9E92DF" w:rsidR="00FD4B16" w:rsidRDefault="00FD4B16" w:rsidP="00FD4B16">
      <w:pPr>
        <w:pStyle w:val="Heading2"/>
        <w:rPr>
          <w:noProof/>
        </w:rPr>
      </w:pPr>
      <w:r w:rsidRPr="009C5DB2">
        <w:rPr>
          <w:noProof/>
        </w:rPr>
        <w:lastRenderedPageBreak/>
        <w:t>S</w:t>
      </w:r>
      <w:r w:rsidR="005F3147">
        <w:rPr>
          <w:noProof/>
        </w:rPr>
        <w:t>upplementary Note 3</w:t>
      </w:r>
      <w:r>
        <w:rPr>
          <w:noProof/>
        </w:rPr>
        <w:t>.</w:t>
      </w:r>
      <w:r w:rsidRPr="009C5DB2">
        <w:rPr>
          <w:noProof/>
        </w:rPr>
        <w:t xml:space="preserve"> </w:t>
      </w:r>
      <w:r>
        <w:rPr>
          <w:noProof/>
        </w:rPr>
        <w:t>Subgroup analysis</w:t>
      </w:r>
    </w:p>
    <w:p w14:paraId="4D069A33" w14:textId="1BF1A3B9" w:rsidR="0059759B" w:rsidRDefault="00FD4B16" w:rsidP="00A14056">
      <w:pPr>
        <w:rPr>
          <w:noProof/>
        </w:rPr>
      </w:pPr>
      <w:r>
        <w:rPr>
          <w:noProof/>
        </w:rPr>
        <w:t>We performed subgroup analys</w:t>
      </w:r>
      <w:r w:rsidR="00437F86">
        <w:rPr>
          <w:noProof/>
        </w:rPr>
        <w:t>e</w:t>
      </w:r>
      <w:r>
        <w:rPr>
          <w:noProof/>
        </w:rPr>
        <w:t xml:space="preserve">s by restricting person-years to a specific subgroup of </w:t>
      </w:r>
      <w:r w:rsidR="00437F86">
        <w:rPr>
          <w:noProof/>
        </w:rPr>
        <w:t xml:space="preserve">the study </w:t>
      </w:r>
      <w:r>
        <w:rPr>
          <w:noProof/>
        </w:rPr>
        <w:t>population and refitting both Model I and Model II. As shown in</w:t>
      </w:r>
      <w:r w:rsidR="00BF2E93">
        <w:rPr>
          <w:noProof/>
        </w:rPr>
        <w:t xml:space="preserve"> </w:t>
      </w:r>
      <w:r w:rsidR="00CD62C9">
        <w:rPr>
          <w:noProof/>
        </w:rPr>
        <w:t>Supplementary Figure</w:t>
      </w:r>
      <w:r>
        <w:rPr>
          <w:noProof/>
        </w:rPr>
        <w:t xml:space="preserve"> </w:t>
      </w:r>
      <w:r w:rsidR="00BF2E93">
        <w:rPr>
          <w:noProof/>
        </w:rPr>
        <w:t>2</w:t>
      </w:r>
      <w:r>
        <w:rPr>
          <w:noProof/>
        </w:rPr>
        <w:t xml:space="preserve">A, relative risks associated with PE levels in female </w:t>
      </w:r>
      <w:r w:rsidR="00437F86">
        <w:rPr>
          <w:noProof/>
        </w:rPr>
        <w:t>beneficiaries</w:t>
      </w:r>
      <w:r>
        <w:rPr>
          <w:noProof/>
        </w:rPr>
        <w:t xml:space="preserve"> </w:t>
      </w:r>
      <w:r w:rsidR="00437F86">
        <w:rPr>
          <w:noProof/>
        </w:rPr>
        <w:t>we</w:t>
      </w:r>
      <w:r>
        <w:rPr>
          <w:noProof/>
        </w:rPr>
        <w:t xml:space="preserve">re uniformly higher than those of male </w:t>
      </w:r>
      <w:r w:rsidR="00437F86">
        <w:rPr>
          <w:noProof/>
        </w:rPr>
        <w:t>beneficiaries</w:t>
      </w:r>
      <w:r>
        <w:rPr>
          <w:noProof/>
        </w:rPr>
        <w:t xml:space="preserve">. As shown in </w:t>
      </w:r>
      <w:r w:rsidR="00CD62C9">
        <w:rPr>
          <w:noProof/>
        </w:rPr>
        <w:t>Supplementary Figure</w:t>
      </w:r>
      <w:r>
        <w:rPr>
          <w:noProof/>
        </w:rPr>
        <w:t xml:space="preserve"> </w:t>
      </w:r>
      <w:r w:rsidR="00CF2478">
        <w:rPr>
          <w:noProof/>
        </w:rPr>
        <w:t>2</w:t>
      </w:r>
      <w:r>
        <w:rPr>
          <w:noProof/>
        </w:rPr>
        <w:t xml:space="preserve">B, the relative risks associated with </w:t>
      </w:r>
      <w:r w:rsidR="00437F86">
        <w:rPr>
          <w:noProof/>
        </w:rPr>
        <w:t xml:space="preserve">the </w:t>
      </w:r>
      <w:r>
        <w:rPr>
          <w:noProof/>
        </w:rPr>
        <w:t>DE</w:t>
      </w:r>
      <w:r w:rsidRPr="000551BE">
        <w:rPr>
          <w:noProof/>
          <w:vertAlign w:val="superscript"/>
        </w:rPr>
        <w:t>+</w:t>
      </w:r>
      <w:r>
        <w:rPr>
          <w:noProof/>
        </w:rPr>
        <w:t xml:space="preserve"> subgroups are higher than those associated with the corresponding DE</w:t>
      </w:r>
      <w:r w:rsidRPr="000551BE">
        <w:rPr>
          <w:noProof/>
          <w:vertAlign w:val="superscript"/>
        </w:rPr>
        <w:t>-</w:t>
      </w:r>
      <w:r>
        <w:rPr>
          <w:noProof/>
        </w:rPr>
        <w:t xml:space="preserve"> subgroups, </w:t>
      </w:r>
      <w:r w:rsidR="00437F86">
        <w:rPr>
          <w:noProof/>
        </w:rPr>
        <w:t>exluding at</w:t>
      </w:r>
      <w:r>
        <w:rPr>
          <w:noProof/>
        </w:rPr>
        <w:t xml:space="preserve"> the low PE level, regardless of the gender of the beneficiaries. However, the downwind-upwind difference </w:t>
      </w:r>
      <w:r w:rsidR="00437F86">
        <w:rPr>
          <w:noProof/>
        </w:rPr>
        <w:t>wa</w:t>
      </w:r>
      <w:r>
        <w:rPr>
          <w:noProof/>
        </w:rPr>
        <w:t xml:space="preserve">s more pronounced in male </w:t>
      </w:r>
      <w:r w:rsidR="00C12B10">
        <w:rPr>
          <w:noProof/>
        </w:rPr>
        <w:t>beneficiaries</w:t>
      </w:r>
      <w:r>
        <w:rPr>
          <w:noProof/>
        </w:rPr>
        <w:t xml:space="preserve"> compared to female beneficiaries. This difference could be explained by gender-based </w:t>
      </w:r>
      <w:r w:rsidR="00437F86">
        <w:rPr>
          <w:noProof/>
        </w:rPr>
        <w:t xml:space="preserve">differences in </w:t>
      </w:r>
      <w:r>
        <w:rPr>
          <w:noProof/>
        </w:rPr>
        <w:t xml:space="preserve">behavior. As shown in </w:t>
      </w:r>
      <w:r w:rsidR="00CD62C9">
        <w:rPr>
          <w:noProof/>
        </w:rPr>
        <w:t>Supplementary Figure</w:t>
      </w:r>
      <w:r>
        <w:rPr>
          <w:noProof/>
        </w:rPr>
        <w:t xml:space="preserve"> </w:t>
      </w:r>
      <w:r w:rsidR="00BF2E93">
        <w:rPr>
          <w:noProof/>
        </w:rPr>
        <w:t>2</w:t>
      </w:r>
      <w:r>
        <w:rPr>
          <w:noProof/>
        </w:rPr>
        <w:t xml:space="preserve">C and Figure </w:t>
      </w:r>
      <w:r w:rsidR="00BF2E93">
        <w:rPr>
          <w:noProof/>
        </w:rPr>
        <w:t>2</w:t>
      </w:r>
      <w:r>
        <w:rPr>
          <w:noProof/>
        </w:rPr>
        <w:t>D, the estimated risks associated with each PE level in African American subgroups have wider CI</w:t>
      </w:r>
      <w:r w:rsidR="00437F86">
        <w:rPr>
          <w:noProof/>
        </w:rPr>
        <w:t>s</w:t>
      </w:r>
      <w:r>
        <w:rPr>
          <w:noProof/>
        </w:rPr>
        <w:t xml:space="preserve"> than those for white beneficiaries, due to a smaller sample size. For this reason, most of the exposure levels are not significantly associated with elevated risk, thus making it difficult to investigate ethnic</w:t>
      </w:r>
      <w:r w:rsidR="00437F86">
        <w:rPr>
          <w:noProof/>
        </w:rPr>
        <w:t>ity</w:t>
      </w:r>
      <w:r>
        <w:rPr>
          <w:noProof/>
        </w:rPr>
        <w:t>-based difference</w:t>
      </w:r>
      <w:r w:rsidR="00437F86">
        <w:rPr>
          <w:noProof/>
        </w:rPr>
        <w:t>s</w:t>
      </w:r>
      <w:r>
        <w:rPr>
          <w:noProof/>
        </w:rPr>
        <w:t xml:space="preserve"> in the association. As shown in </w:t>
      </w:r>
      <w:r w:rsidR="00CD62C9">
        <w:rPr>
          <w:noProof/>
        </w:rPr>
        <w:t>Supplementary Figure</w:t>
      </w:r>
      <w:r>
        <w:rPr>
          <w:noProof/>
        </w:rPr>
        <w:t xml:space="preserve"> </w:t>
      </w:r>
      <w:r w:rsidR="00B17DD6">
        <w:rPr>
          <w:noProof/>
        </w:rPr>
        <w:t>2</w:t>
      </w:r>
      <w:r>
        <w:rPr>
          <w:noProof/>
        </w:rPr>
        <w:t xml:space="preserve">E and </w:t>
      </w:r>
      <w:r w:rsidR="00B17DD6">
        <w:rPr>
          <w:noProof/>
        </w:rPr>
        <w:t>2</w:t>
      </w:r>
      <w:r>
        <w:rPr>
          <w:noProof/>
        </w:rPr>
        <w:t xml:space="preserve">G, there </w:t>
      </w:r>
      <w:r w:rsidR="00437F86">
        <w:rPr>
          <w:noProof/>
        </w:rPr>
        <w:t xml:space="preserve">were </w:t>
      </w:r>
      <w:r>
        <w:rPr>
          <w:noProof/>
        </w:rPr>
        <w:t>no remarkable difference</w:t>
      </w:r>
      <w:r w:rsidR="00437F86">
        <w:rPr>
          <w:noProof/>
        </w:rPr>
        <w:t>s</w:t>
      </w:r>
      <w:r>
        <w:rPr>
          <w:noProof/>
        </w:rPr>
        <w:t xml:space="preserve"> in the PE-associated risks of mortality among </w:t>
      </w:r>
      <w:r w:rsidR="00437F86">
        <w:rPr>
          <w:noProof/>
        </w:rPr>
        <w:t xml:space="preserve">the </w:t>
      </w:r>
      <w:r>
        <w:rPr>
          <w:noProof/>
        </w:rPr>
        <w:t xml:space="preserve">four age groups. However, the downwind vs upwind difference in the associated risk </w:t>
      </w:r>
      <w:r w:rsidR="00437F86">
        <w:rPr>
          <w:noProof/>
        </w:rPr>
        <w:t xml:space="preserve">was </w:t>
      </w:r>
      <w:r>
        <w:rPr>
          <w:noProof/>
        </w:rPr>
        <w:t xml:space="preserve">more pronounced in the two </w:t>
      </w:r>
      <w:r w:rsidR="00437F86">
        <w:rPr>
          <w:noProof/>
        </w:rPr>
        <w:t xml:space="preserve">younger </w:t>
      </w:r>
      <w:r>
        <w:rPr>
          <w:noProof/>
        </w:rPr>
        <w:t xml:space="preserve">age subgroups (65 to 75 </w:t>
      </w:r>
      <w:r w:rsidR="00437F86">
        <w:rPr>
          <w:noProof/>
        </w:rPr>
        <w:t xml:space="preserve">years of age </w:t>
      </w:r>
      <w:r>
        <w:rPr>
          <w:noProof/>
        </w:rPr>
        <w:t>and 76 to 85</w:t>
      </w:r>
      <w:r w:rsidR="00437F86">
        <w:rPr>
          <w:noProof/>
        </w:rPr>
        <w:t xml:space="preserve"> years of age</w:t>
      </w:r>
      <w:r>
        <w:rPr>
          <w:noProof/>
        </w:rPr>
        <w:t xml:space="preserve">), compared to the two </w:t>
      </w:r>
      <w:r w:rsidR="00437F86">
        <w:rPr>
          <w:noProof/>
        </w:rPr>
        <w:t xml:space="preserve">older </w:t>
      </w:r>
      <w:r>
        <w:rPr>
          <w:noProof/>
        </w:rPr>
        <w:t xml:space="preserve">age subgroups (86 to 95 </w:t>
      </w:r>
      <w:r w:rsidR="00437F86">
        <w:rPr>
          <w:noProof/>
        </w:rPr>
        <w:t xml:space="preserve">years of age </w:t>
      </w:r>
      <w:r>
        <w:rPr>
          <w:noProof/>
        </w:rPr>
        <w:t>and 96 to 105</w:t>
      </w:r>
      <w:r w:rsidR="00437F86">
        <w:rPr>
          <w:noProof/>
        </w:rPr>
        <w:t xml:space="preserve"> years of age</w:t>
      </w:r>
      <w:r>
        <w:rPr>
          <w:noProof/>
        </w:rPr>
        <w:t>). These age-dependent difference</w:t>
      </w:r>
      <w:r w:rsidR="008E59A3">
        <w:rPr>
          <w:noProof/>
        </w:rPr>
        <w:t>s</w:t>
      </w:r>
      <w:r>
        <w:rPr>
          <w:noProof/>
        </w:rPr>
        <w:t xml:space="preserve"> in the associated risk could be explained by </w:t>
      </w:r>
      <w:r w:rsidR="00437F86">
        <w:rPr>
          <w:noProof/>
        </w:rPr>
        <w:t xml:space="preserve">differences in </w:t>
      </w:r>
      <w:r>
        <w:rPr>
          <w:noProof/>
        </w:rPr>
        <w:t>behavi</w:t>
      </w:r>
      <w:r w:rsidR="008E59A3">
        <w:rPr>
          <w:noProof/>
        </w:rPr>
        <w:t>or</w:t>
      </w:r>
      <w:r>
        <w:rPr>
          <w:noProof/>
        </w:rPr>
        <w:t xml:space="preserve">. For example, younger medicare beneficiaries </w:t>
      </w:r>
      <w:r w:rsidR="00437F86">
        <w:rPr>
          <w:noProof/>
        </w:rPr>
        <w:t>may be</w:t>
      </w:r>
      <w:r>
        <w:rPr>
          <w:noProof/>
        </w:rPr>
        <w:t xml:space="preserve"> more active and thus spend more time outdoors compared to their senior counterparts.</w:t>
      </w:r>
      <w:r w:rsidR="00D4092D">
        <w:rPr>
          <w:noProof/>
        </w:rPr>
        <w:br w:type="page"/>
      </w:r>
    </w:p>
    <w:p w14:paraId="4A999AF4" w14:textId="17E2B4AA" w:rsidR="0059759B" w:rsidRDefault="0059759B" w:rsidP="0059759B">
      <w:pPr>
        <w:pStyle w:val="Heading2"/>
        <w:rPr>
          <w:noProof/>
        </w:rPr>
      </w:pPr>
      <w:r>
        <w:rPr>
          <w:noProof/>
        </w:rPr>
        <w:lastRenderedPageBreak/>
        <w:t>S</w:t>
      </w:r>
      <w:r w:rsidR="007B4E0D">
        <w:rPr>
          <w:noProof/>
        </w:rPr>
        <w:t>upplementary Note 4</w:t>
      </w:r>
      <w:r>
        <w:rPr>
          <w:noProof/>
        </w:rPr>
        <w:t xml:space="preserve">. Robustness to </w:t>
      </w:r>
      <w:r w:rsidR="00437F86">
        <w:rPr>
          <w:noProof/>
        </w:rPr>
        <w:t xml:space="preserve">cut </w:t>
      </w:r>
      <w:r>
        <w:rPr>
          <w:noProof/>
        </w:rPr>
        <w:t>point selection</w:t>
      </w:r>
    </w:p>
    <w:p w14:paraId="2F0C1C73" w14:textId="2529CA2F" w:rsidR="0093670A" w:rsidRDefault="0059759B" w:rsidP="0059759B">
      <w:r>
        <w:t xml:space="preserve">In the original analysis, we categorized above-zero continuous PE to UOGD by quartiles to </w:t>
      </w:r>
      <w:r w:rsidR="00437F86">
        <w:t xml:space="preserve">define </w:t>
      </w:r>
      <w:r>
        <w:t xml:space="preserve">four </w:t>
      </w:r>
      <w:r w:rsidR="00437F86">
        <w:t xml:space="preserve">PE </w:t>
      </w:r>
      <w:r>
        <w:t>levels</w:t>
      </w:r>
      <w:r w:rsidR="00437F86">
        <w:t>:</w:t>
      </w:r>
      <w:r>
        <w:t xml:space="preserve"> low (0, 25</w:t>
      </w:r>
      <w:r w:rsidRPr="00A16B25">
        <w:rPr>
          <w:vertAlign w:val="superscript"/>
        </w:rPr>
        <w:t>th</w:t>
      </w:r>
      <w:r>
        <w:t xml:space="preserve"> percentile], medium-low (25</w:t>
      </w:r>
      <w:r w:rsidRPr="00A16B25">
        <w:rPr>
          <w:vertAlign w:val="superscript"/>
        </w:rPr>
        <w:t>th</w:t>
      </w:r>
      <w:r>
        <w:t xml:space="preserve"> ,50</w:t>
      </w:r>
      <w:r w:rsidRPr="00A16B25">
        <w:rPr>
          <w:vertAlign w:val="superscript"/>
        </w:rPr>
        <w:t>th</w:t>
      </w:r>
      <w:r>
        <w:t xml:space="preserve"> percentile], medium-high (50</w:t>
      </w:r>
      <w:r w:rsidRPr="00A16B25">
        <w:rPr>
          <w:vertAlign w:val="superscript"/>
        </w:rPr>
        <w:t>th</w:t>
      </w:r>
      <w:r>
        <w:t>, 75</w:t>
      </w:r>
      <w:r w:rsidRPr="00A16B25">
        <w:rPr>
          <w:vertAlign w:val="superscript"/>
        </w:rPr>
        <w:t>th</w:t>
      </w:r>
      <w:r>
        <w:t xml:space="preserve"> percentile]</w:t>
      </w:r>
      <w:r w:rsidR="00437F86">
        <w:t>,</w:t>
      </w:r>
      <w:r>
        <w:t xml:space="preserve"> and high (75</w:t>
      </w:r>
      <w:r w:rsidRPr="00A16B25">
        <w:rPr>
          <w:vertAlign w:val="superscript"/>
        </w:rPr>
        <w:t>th</w:t>
      </w:r>
      <w:r>
        <w:t xml:space="preserve"> ,100</w:t>
      </w:r>
      <w:r w:rsidRPr="00A16B25">
        <w:rPr>
          <w:vertAlign w:val="superscript"/>
        </w:rPr>
        <w:t>th</w:t>
      </w:r>
      <w:r>
        <w:t xml:space="preserve"> percentile]. The estimated relative risk</w:t>
      </w:r>
      <w:r w:rsidR="00437F86">
        <w:t>s</w:t>
      </w:r>
      <w:r>
        <w:t xml:space="preserve"> associated with each PE level are shown in </w:t>
      </w:r>
      <w:r w:rsidR="007562A4">
        <w:t xml:space="preserve">Supplementary </w:t>
      </w:r>
      <w:r>
        <w:t xml:space="preserve">Figure </w:t>
      </w:r>
      <w:r w:rsidR="007562A4">
        <w:t>3</w:t>
      </w:r>
      <w:r>
        <w:t xml:space="preserve"> as bold black cross</w:t>
      </w:r>
      <w:r w:rsidR="00437F86">
        <w:t>es</w:t>
      </w:r>
      <w:r>
        <w:t>. We designed another four sets of percentile-based cut points: Set 1 (15</w:t>
      </w:r>
      <w:r w:rsidRPr="00EE0948">
        <w:rPr>
          <w:vertAlign w:val="superscript"/>
        </w:rPr>
        <w:t>th</w:t>
      </w:r>
      <w:r>
        <w:t>, 50</w:t>
      </w:r>
      <w:r w:rsidRPr="00EE0948">
        <w:rPr>
          <w:vertAlign w:val="superscript"/>
        </w:rPr>
        <w:t>th</w:t>
      </w:r>
      <w:r>
        <w:t xml:space="preserve"> and 85</w:t>
      </w:r>
      <w:r w:rsidRPr="00EE0948">
        <w:rPr>
          <w:vertAlign w:val="superscript"/>
        </w:rPr>
        <w:t>th</w:t>
      </w:r>
      <w:r>
        <w:t xml:space="preserve"> percentiles),</w:t>
      </w:r>
      <w:r w:rsidRPr="00EE0948">
        <w:t xml:space="preserve"> </w:t>
      </w:r>
      <w:r>
        <w:t>Set 2 (20</w:t>
      </w:r>
      <w:r w:rsidRPr="00EE0948">
        <w:rPr>
          <w:vertAlign w:val="superscript"/>
        </w:rPr>
        <w:t>th</w:t>
      </w:r>
      <w:r>
        <w:t>, 50</w:t>
      </w:r>
      <w:r w:rsidRPr="00EE0948">
        <w:rPr>
          <w:vertAlign w:val="superscript"/>
        </w:rPr>
        <w:t>th</w:t>
      </w:r>
      <w:r>
        <w:t xml:space="preserve"> and 80</w:t>
      </w:r>
      <w:r w:rsidRPr="00EE0948">
        <w:rPr>
          <w:vertAlign w:val="superscript"/>
        </w:rPr>
        <w:t>th</w:t>
      </w:r>
      <w:r>
        <w:t xml:space="preserve"> percentiles), Set 3 (30</w:t>
      </w:r>
      <w:r w:rsidRPr="00A16B25">
        <w:rPr>
          <w:vertAlign w:val="superscript"/>
        </w:rPr>
        <w:t>th</w:t>
      </w:r>
      <w:r>
        <w:t>, 50</w:t>
      </w:r>
      <w:r w:rsidRPr="00A16B25">
        <w:rPr>
          <w:vertAlign w:val="superscript"/>
        </w:rPr>
        <w:t>th</w:t>
      </w:r>
      <w:r>
        <w:t>, and 70</w:t>
      </w:r>
      <w:r w:rsidRPr="00A16B25">
        <w:rPr>
          <w:vertAlign w:val="superscript"/>
        </w:rPr>
        <w:t>th</w:t>
      </w:r>
      <w:r>
        <w:t xml:space="preserve"> percentiles)</w:t>
      </w:r>
      <w:r w:rsidR="00437F86">
        <w:t>,</w:t>
      </w:r>
      <w:r>
        <w:t xml:space="preserve"> and Set 4 (35</w:t>
      </w:r>
      <w:r w:rsidRPr="00A16B25">
        <w:rPr>
          <w:vertAlign w:val="superscript"/>
        </w:rPr>
        <w:t>th</w:t>
      </w:r>
      <w:r>
        <w:t>, 50</w:t>
      </w:r>
      <w:r w:rsidRPr="00A16B25">
        <w:rPr>
          <w:vertAlign w:val="superscript"/>
        </w:rPr>
        <w:t>th</w:t>
      </w:r>
      <w:r>
        <w:t xml:space="preserve"> and 65</w:t>
      </w:r>
      <w:r w:rsidRPr="00A16B25">
        <w:rPr>
          <w:vertAlign w:val="superscript"/>
        </w:rPr>
        <w:t>th</w:t>
      </w:r>
      <w:r>
        <w:t xml:space="preserve"> percentiles). We re-categorized the PE based on these four cut points and re-fitted both models to test the robustness of the associations to the cut point selection.</w:t>
      </w:r>
    </w:p>
    <w:p w14:paraId="14EEB12D" w14:textId="77813263" w:rsidR="0093670A" w:rsidRDefault="0059759B" w:rsidP="0059759B">
      <w:pPr>
        <w:rPr>
          <w:noProof/>
        </w:rPr>
      </w:pPr>
      <w:r>
        <w:rPr>
          <w:noProof/>
        </w:rPr>
        <w:t xml:space="preserve">The relative risks of mortality estimated </w:t>
      </w:r>
      <w:r w:rsidR="0093670A">
        <w:rPr>
          <w:noProof/>
        </w:rPr>
        <w:t xml:space="preserve">using the model with the </w:t>
      </w:r>
      <w:r>
        <w:rPr>
          <w:noProof/>
        </w:rPr>
        <w:t xml:space="preserve">four </w:t>
      </w:r>
      <w:r w:rsidR="0093670A">
        <w:rPr>
          <w:noProof/>
        </w:rPr>
        <w:t>cutpoints</w:t>
      </w:r>
      <w:r>
        <w:rPr>
          <w:noProof/>
        </w:rPr>
        <w:t xml:space="preserve"> </w:t>
      </w:r>
      <w:r w:rsidR="0093670A">
        <w:rPr>
          <w:noProof/>
        </w:rPr>
        <w:t>we</w:t>
      </w:r>
      <w:r>
        <w:rPr>
          <w:noProof/>
        </w:rPr>
        <w:t xml:space="preserve">re comparable because they </w:t>
      </w:r>
      <w:r w:rsidR="0093670A">
        <w:rPr>
          <w:noProof/>
        </w:rPr>
        <w:t>use</w:t>
      </w:r>
      <w:r>
        <w:rPr>
          <w:noProof/>
        </w:rPr>
        <w:t xml:space="preserve"> the same reference group of no exposure. We plot</w:t>
      </w:r>
      <w:r w:rsidR="0093670A">
        <w:rPr>
          <w:noProof/>
        </w:rPr>
        <w:t>ted</w:t>
      </w:r>
      <w:r>
        <w:rPr>
          <w:noProof/>
        </w:rPr>
        <w:t xml:space="preserve"> them together in </w:t>
      </w:r>
      <w:r w:rsidR="00CD62C9">
        <w:rPr>
          <w:noProof/>
        </w:rPr>
        <w:t>Supplementary Figure</w:t>
      </w:r>
      <w:r>
        <w:rPr>
          <w:noProof/>
        </w:rPr>
        <w:t xml:space="preserve"> </w:t>
      </w:r>
      <w:r w:rsidR="0039759A">
        <w:rPr>
          <w:noProof/>
        </w:rPr>
        <w:t>3</w:t>
      </w:r>
      <w:r>
        <w:rPr>
          <w:noProof/>
        </w:rPr>
        <w:t>. Each estimated risk is visualized by a black cross</w:t>
      </w:r>
      <w:r w:rsidR="0093670A">
        <w:rPr>
          <w:noProof/>
        </w:rPr>
        <w:t>, with the</w:t>
      </w:r>
      <w:r>
        <w:rPr>
          <w:noProof/>
        </w:rPr>
        <w:t xml:space="preserve"> horizontal line represent</w:t>
      </w:r>
      <w:r w:rsidR="0093670A">
        <w:rPr>
          <w:noProof/>
        </w:rPr>
        <w:t>ing</w:t>
      </w:r>
      <w:r>
        <w:rPr>
          <w:noProof/>
        </w:rPr>
        <w:t xml:space="preserve"> the range determined by the cut point</w:t>
      </w:r>
      <w:r w:rsidR="0093670A">
        <w:rPr>
          <w:noProof/>
        </w:rPr>
        <w:t>, the</w:t>
      </w:r>
      <w:r>
        <w:rPr>
          <w:noProof/>
        </w:rPr>
        <w:t xml:space="preserve"> vertical line represent</w:t>
      </w:r>
      <w:r w:rsidR="0093670A">
        <w:rPr>
          <w:noProof/>
        </w:rPr>
        <w:t>ing</w:t>
      </w:r>
      <w:r>
        <w:rPr>
          <w:noProof/>
        </w:rPr>
        <w:t xml:space="preserve"> the 95% CI of the estimated risk, </w:t>
      </w:r>
      <w:r w:rsidR="0093670A">
        <w:rPr>
          <w:noProof/>
        </w:rPr>
        <w:t xml:space="preserve">and the </w:t>
      </w:r>
      <w:r>
        <w:rPr>
          <w:noProof/>
        </w:rPr>
        <w:t xml:space="preserve">center point located </w:t>
      </w:r>
      <w:r w:rsidR="0093670A">
        <w:rPr>
          <w:noProof/>
        </w:rPr>
        <w:t xml:space="preserve">at </w:t>
      </w:r>
      <w:r>
        <w:rPr>
          <w:noProof/>
        </w:rPr>
        <w:t xml:space="preserve">the mid-point of the percentile range. As shown in </w:t>
      </w:r>
      <w:r w:rsidR="00CD62C9">
        <w:rPr>
          <w:noProof/>
        </w:rPr>
        <w:t>Supplementary Figure</w:t>
      </w:r>
      <w:r w:rsidR="00BC7987">
        <w:rPr>
          <w:noProof/>
        </w:rPr>
        <w:t xml:space="preserve"> 3</w:t>
      </w:r>
      <w:r>
        <w:rPr>
          <w:noProof/>
        </w:rPr>
        <w:t xml:space="preserve">, the estimated mortality risk </w:t>
      </w:r>
      <w:r w:rsidR="0093670A">
        <w:rPr>
          <w:noProof/>
        </w:rPr>
        <w:t>wa</w:t>
      </w:r>
      <w:r>
        <w:rPr>
          <w:noProof/>
        </w:rPr>
        <w:t xml:space="preserve">s in general linearly associated with the mid-point of </w:t>
      </w:r>
      <w:r w:rsidR="0093670A">
        <w:rPr>
          <w:noProof/>
        </w:rPr>
        <w:t xml:space="preserve">the </w:t>
      </w:r>
      <w:r>
        <w:rPr>
          <w:noProof/>
        </w:rPr>
        <w:t xml:space="preserve">PE range, indicating that the results of Model I </w:t>
      </w:r>
      <w:r w:rsidR="000050B6">
        <w:rPr>
          <w:noProof/>
        </w:rPr>
        <w:t>are</w:t>
      </w:r>
      <w:r>
        <w:rPr>
          <w:noProof/>
        </w:rPr>
        <w:t xml:space="preserve"> robust to </w:t>
      </w:r>
      <w:r w:rsidR="0093670A">
        <w:rPr>
          <w:noProof/>
        </w:rPr>
        <w:t xml:space="preserve">our </w:t>
      </w:r>
      <w:r>
        <w:rPr>
          <w:noProof/>
        </w:rPr>
        <w:t xml:space="preserve">cut point selection. </w:t>
      </w:r>
    </w:p>
    <w:p w14:paraId="1AB21CBF" w14:textId="115AD722" w:rsidR="00FB1DFE" w:rsidRDefault="0059759B" w:rsidP="00E4011E">
      <w:pPr>
        <w:rPr>
          <w:noProof/>
        </w:rPr>
      </w:pPr>
      <w:r>
        <w:rPr>
          <w:noProof/>
        </w:rPr>
        <w:t xml:space="preserve">After re-categorizing populations based on </w:t>
      </w:r>
      <w:r w:rsidR="0093670A">
        <w:rPr>
          <w:noProof/>
        </w:rPr>
        <w:t xml:space="preserve">the </w:t>
      </w:r>
      <w:r>
        <w:rPr>
          <w:noProof/>
        </w:rPr>
        <w:t xml:space="preserve">four sets of cut points, we further </w:t>
      </w:r>
      <w:r w:rsidR="00FA3E12">
        <w:rPr>
          <w:noProof/>
        </w:rPr>
        <w:t>dichotomized</w:t>
      </w:r>
      <w:r>
        <w:rPr>
          <w:noProof/>
        </w:rPr>
        <w:t xml:space="preserve"> the </w:t>
      </w:r>
      <w:r w:rsidR="0093670A">
        <w:rPr>
          <w:noProof/>
        </w:rPr>
        <w:t xml:space="preserve">four </w:t>
      </w:r>
      <w:r>
        <w:rPr>
          <w:noProof/>
        </w:rPr>
        <w:t xml:space="preserve">PE </w:t>
      </w:r>
      <w:r w:rsidR="0093670A">
        <w:rPr>
          <w:noProof/>
        </w:rPr>
        <w:t xml:space="preserve">levels </w:t>
      </w:r>
      <w:r>
        <w:rPr>
          <w:noProof/>
        </w:rPr>
        <w:t xml:space="preserve">into downwind </w:t>
      </w:r>
      <w:r w:rsidR="0093670A">
        <w:rPr>
          <w:noProof/>
        </w:rPr>
        <w:t>(DE</w:t>
      </w:r>
      <w:r w:rsidR="00324146">
        <w:rPr>
          <w:noProof/>
          <w:vertAlign w:val="superscript"/>
        </w:rPr>
        <w:t>+</w:t>
      </w:r>
      <w:r w:rsidR="0093670A">
        <w:rPr>
          <w:noProof/>
        </w:rPr>
        <w:t xml:space="preserve">) </w:t>
      </w:r>
      <w:r>
        <w:rPr>
          <w:noProof/>
        </w:rPr>
        <w:t xml:space="preserve">and upwind </w:t>
      </w:r>
      <w:r w:rsidR="0093670A">
        <w:rPr>
          <w:noProof/>
        </w:rPr>
        <w:t>(DE</w:t>
      </w:r>
      <w:r w:rsidR="00324146">
        <w:rPr>
          <w:noProof/>
          <w:vertAlign w:val="superscript"/>
        </w:rPr>
        <w:t>-</w:t>
      </w:r>
      <w:r w:rsidR="0093670A">
        <w:rPr>
          <w:noProof/>
        </w:rPr>
        <w:t xml:space="preserve">) </w:t>
      </w:r>
      <w:r>
        <w:rPr>
          <w:noProof/>
        </w:rPr>
        <w:t xml:space="preserve">subgroups </w:t>
      </w:r>
      <w:r w:rsidR="0093670A">
        <w:rPr>
          <w:noProof/>
        </w:rPr>
        <w:t xml:space="preserve">using </w:t>
      </w:r>
      <w:r>
        <w:rPr>
          <w:noProof/>
        </w:rPr>
        <w:t xml:space="preserve">the same method </w:t>
      </w:r>
      <w:r w:rsidR="0093670A">
        <w:rPr>
          <w:noProof/>
        </w:rPr>
        <w:t xml:space="preserve">as </w:t>
      </w:r>
      <w:r>
        <w:rPr>
          <w:noProof/>
        </w:rPr>
        <w:t>the original analysis. According to the results of the re-fitt</w:t>
      </w:r>
      <w:r w:rsidR="0093670A">
        <w:rPr>
          <w:noProof/>
        </w:rPr>
        <w:t>ing of</w:t>
      </w:r>
      <w:r>
        <w:rPr>
          <w:noProof/>
        </w:rPr>
        <w:t xml:space="preserve"> Model II (</w:t>
      </w:r>
      <w:r w:rsidR="00CD62C9">
        <w:rPr>
          <w:noProof/>
        </w:rPr>
        <w:t>Supplementary Figure</w:t>
      </w:r>
      <w:r w:rsidR="00221531">
        <w:rPr>
          <w:noProof/>
        </w:rPr>
        <w:t xml:space="preserve"> 4</w:t>
      </w:r>
      <w:r>
        <w:rPr>
          <w:noProof/>
        </w:rPr>
        <w:t xml:space="preserve">), the downwind-upwind difference in the estimated mortality risk </w:t>
      </w:r>
      <w:r w:rsidR="0093670A">
        <w:rPr>
          <w:noProof/>
        </w:rPr>
        <w:t>wa</w:t>
      </w:r>
      <w:r>
        <w:rPr>
          <w:noProof/>
        </w:rPr>
        <w:t xml:space="preserve">s pronounced </w:t>
      </w:r>
      <w:r w:rsidR="0093670A">
        <w:rPr>
          <w:noProof/>
        </w:rPr>
        <w:t>at the</w:t>
      </w:r>
      <w:r>
        <w:rPr>
          <w:noProof/>
        </w:rPr>
        <w:t xml:space="preserve"> medium-low and medium-high PE levels. When the high PE level </w:t>
      </w:r>
      <w:r w:rsidR="0093670A">
        <w:rPr>
          <w:noProof/>
        </w:rPr>
        <w:t xml:space="preserve">started </w:t>
      </w:r>
      <w:r>
        <w:rPr>
          <w:noProof/>
        </w:rPr>
        <w:t>higher than the 75</w:t>
      </w:r>
      <w:r w:rsidRPr="006633E0">
        <w:rPr>
          <w:noProof/>
          <w:vertAlign w:val="superscript"/>
        </w:rPr>
        <w:t>th</w:t>
      </w:r>
      <w:r>
        <w:rPr>
          <w:noProof/>
        </w:rPr>
        <w:t xml:space="preserve"> percentile ( &gt;80</w:t>
      </w:r>
      <w:r w:rsidRPr="006633E0">
        <w:rPr>
          <w:noProof/>
          <w:vertAlign w:val="superscript"/>
        </w:rPr>
        <w:t>th</w:t>
      </w:r>
      <w:r>
        <w:rPr>
          <w:noProof/>
        </w:rPr>
        <w:t xml:space="preserve"> percentile in Set 2 and &gt;85</w:t>
      </w:r>
      <w:r w:rsidRPr="006633E0">
        <w:rPr>
          <w:noProof/>
          <w:vertAlign w:val="superscript"/>
        </w:rPr>
        <w:t>th</w:t>
      </w:r>
      <w:r>
        <w:rPr>
          <w:noProof/>
        </w:rPr>
        <w:t xml:space="preserve"> percentile in Set 1), the downwind-upwind </w:t>
      </w:r>
      <w:r>
        <w:rPr>
          <w:noProof/>
        </w:rPr>
        <w:lastRenderedPageBreak/>
        <w:t xml:space="preserve">difference </w:t>
      </w:r>
      <w:r w:rsidR="0093670A">
        <w:rPr>
          <w:noProof/>
        </w:rPr>
        <w:t>wa</w:t>
      </w:r>
      <w:r>
        <w:rPr>
          <w:noProof/>
        </w:rPr>
        <w:t xml:space="preserve">s pronounced. When the high PE level </w:t>
      </w:r>
      <w:r w:rsidR="0093670A">
        <w:rPr>
          <w:noProof/>
        </w:rPr>
        <w:t xml:space="preserve">started </w:t>
      </w:r>
      <w:r>
        <w:rPr>
          <w:noProof/>
        </w:rPr>
        <w:t xml:space="preserve">lower than </w:t>
      </w:r>
      <w:r w:rsidR="0093670A">
        <w:rPr>
          <w:noProof/>
        </w:rPr>
        <w:t xml:space="preserve">the </w:t>
      </w:r>
      <w:r>
        <w:rPr>
          <w:noProof/>
        </w:rPr>
        <w:t>75</w:t>
      </w:r>
      <w:r w:rsidRPr="006633E0">
        <w:rPr>
          <w:noProof/>
          <w:vertAlign w:val="superscript"/>
        </w:rPr>
        <w:t>th</w:t>
      </w:r>
      <w:r>
        <w:rPr>
          <w:noProof/>
        </w:rPr>
        <w:t xml:space="preserve"> percentile (&gt;65</w:t>
      </w:r>
      <w:r w:rsidRPr="006633E0">
        <w:rPr>
          <w:noProof/>
          <w:vertAlign w:val="superscript"/>
        </w:rPr>
        <w:t>th</w:t>
      </w:r>
      <w:r>
        <w:rPr>
          <w:noProof/>
        </w:rPr>
        <w:t xml:space="preserve"> percentile in Set 3 and &gt;60</w:t>
      </w:r>
      <w:r w:rsidRPr="006633E0">
        <w:rPr>
          <w:noProof/>
          <w:vertAlign w:val="superscript"/>
        </w:rPr>
        <w:t>th</w:t>
      </w:r>
      <w:r>
        <w:rPr>
          <w:noProof/>
        </w:rPr>
        <w:t xml:space="preserve"> percentile in Set 2), this difference </w:t>
      </w:r>
      <w:r w:rsidR="0093670A">
        <w:rPr>
          <w:noProof/>
        </w:rPr>
        <w:t xml:space="preserve">was </w:t>
      </w:r>
      <w:r>
        <w:rPr>
          <w:noProof/>
        </w:rPr>
        <w:t>not as remarkable.</w:t>
      </w:r>
      <w:r w:rsidR="00FB1DFE">
        <w:rPr>
          <w:noProof/>
        </w:rPr>
        <w:br w:type="page"/>
      </w:r>
    </w:p>
    <w:p w14:paraId="7BFB3863" w14:textId="5823F208" w:rsidR="007409BB" w:rsidRPr="00955C37" w:rsidRDefault="007409BB" w:rsidP="007409BB">
      <w:pPr>
        <w:pStyle w:val="Heading2"/>
        <w:rPr>
          <w:noProof/>
        </w:rPr>
      </w:pPr>
      <w:r w:rsidRPr="00955C37">
        <w:rPr>
          <w:noProof/>
        </w:rPr>
        <w:lastRenderedPageBreak/>
        <w:t>S</w:t>
      </w:r>
      <w:r w:rsidR="004E7AA5">
        <w:rPr>
          <w:noProof/>
        </w:rPr>
        <w:t>upplementary Note 5</w:t>
      </w:r>
      <w:r>
        <w:rPr>
          <w:noProof/>
        </w:rPr>
        <w:t>. Robustness to the exclusion/inclusion of covariates</w:t>
      </w:r>
    </w:p>
    <w:p w14:paraId="2E9C3898" w14:textId="5068915E" w:rsidR="007409BB" w:rsidRPr="00EB5C39" w:rsidRDefault="002959D2" w:rsidP="00C46358">
      <w:pPr>
        <w:rPr>
          <w:i/>
          <w:iCs/>
          <w:noProof/>
        </w:rPr>
      </w:pPr>
      <w:r>
        <w:t>We analyzed the data with a b</w:t>
      </w:r>
      <w:r w:rsidR="007409BB">
        <w:t xml:space="preserve">asic </w:t>
      </w:r>
      <w:r>
        <w:t xml:space="preserve">version of </w:t>
      </w:r>
      <w:r w:rsidR="007409BB">
        <w:t>Model I and Model II</w:t>
      </w:r>
      <w:r>
        <w:t xml:space="preserve"> that</w:t>
      </w:r>
      <w:r w:rsidR="007409BB">
        <w:t xml:space="preserve"> do not account for any ZIP </w:t>
      </w:r>
      <w:r w:rsidR="0093670A">
        <w:t>c</w:t>
      </w:r>
      <w:r w:rsidR="007409BB">
        <w:t xml:space="preserve">ode- or county-level covariates. </w:t>
      </w:r>
      <w:r>
        <w:t xml:space="preserve">With </w:t>
      </w:r>
      <w:r w:rsidR="007409BB">
        <w:t>basic Model I (</w:t>
      </w:r>
      <w:r w:rsidR="00CD62C9">
        <w:t>Supplementary Figure</w:t>
      </w:r>
      <w:r w:rsidR="007409BB">
        <w:t xml:space="preserve"> </w:t>
      </w:r>
      <w:r w:rsidR="00EF1F1D">
        <w:t>5</w:t>
      </w:r>
      <w:r w:rsidR="007409BB">
        <w:t xml:space="preserve">A), every PE level </w:t>
      </w:r>
      <w:r w:rsidR="0093670A">
        <w:t>wa</w:t>
      </w:r>
      <w:r w:rsidR="007409BB">
        <w:t>s significantly associated with an elevated risk of mortality</w:t>
      </w:r>
      <w:r>
        <w:t>;</w:t>
      </w:r>
      <w:r w:rsidR="007409BB">
        <w:t xml:space="preserve"> </w:t>
      </w:r>
      <w:r>
        <w:t>h</w:t>
      </w:r>
      <w:r w:rsidR="0093670A">
        <w:t xml:space="preserve">owever, </w:t>
      </w:r>
      <w:r w:rsidR="007409BB">
        <w:t xml:space="preserve">the estimated risk </w:t>
      </w:r>
      <w:r w:rsidR="0093670A">
        <w:t>did</w:t>
      </w:r>
      <w:r w:rsidR="007409BB">
        <w:t xml:space="preserve"> not monotonically increas</w:t>
      </w:r>
      <w:r w:rsidR="0093670A">
        <w:t>e</w:t>
      </w:r>
      <w:r w:rsidR="007409BB">
        <w:t xml:space="preserve"> along with </w:t>
      </w:r>
      <w:r w:rsidR="0093670A">
        <w:t xml:space="preserve">the </w:t>
      </w:r>
      <w:r w:rsidR="007409BB">
        <w:t xml:space="preserve">PE level. In addition, the estimated risks </w:t>
      </w:r>
      <w:r w:rsidR="0093670A">
        <w:t>we</w:t>
      </w:r>
      <w:r w:rsidR="007409BB">
        <w:t xml:space="preserve">re remarkably higher than those predicted by full Model I. </w:t>
      </w:r>
      <w:r w:rsidR="0093670A">
        <w:t>T</w:t>
      </w:r>
      <w:r w:rsidR="007409BB">
        <w:t xml:space="preserve">he downwind-upwind difference in the relative risk estimated by basic Model II </w:t>
      </w:r>
      <w:r w:rsidR="0093670A">
        <w:t xml:space="preserve">was </w:t>
      </w:r>
      <w:r w:rsidR="007409BB">
        <w:t>pronounced for three PE levels</w:t>
      </w:r>
      <w:r>
        <w:t>, however</w:t>
      </w:r>
      <w:r w:rsidR="007409BB">
        <w:t xml:space="preserve"> (</w:t>
      </w:r>
      <w:r w:rsidR="00CD62C9">
        <w:t>Supplementary Figure</w:t>
      </w:r>
      <w:r w:rsidR="00C46358">
        <w:t xml:space="preserve"> </w:t>
      </w:r>
      <w:r w:rsidR="00EF1F1D">
        <w:t>5</w:t>
      </w:r>
      <w:r w:rsidR="007409BB">
        <w:t>B).</w:t>
      </w:r>
    </w:p>
    <w:p w14:paraId="3A33E6ED" w14:textId="2F855023" w:rsidR="007409BB" w:rsidRDefault="002959D2" w:rsidP="007409BB">
      <w:r>
        <w:t>Using m</w:t>
      </w:r>
      <w:r w:rsidR="007409BB">
        <w:t xml:space="preserve">oderately simplified </w:t>
      </w:r>
      <w:r>
        <w:t xml:space="preserve">versions of </w:t>
      </w:r>
      <w:proofErr w:type="gramStart"/>
      <w:r w:rsidR="007409BB">
        <w:t>Model</w:t>
      </w:r>
      <w:proofErr w:type="gramEnd"/>
      <w:r w:rsidR="007409BB">
        <w:t xml:space="preserve"> I and Model II</w:t>
      </w:r>
      <w:r>
        <w:t xml:space="preserve"> that were</w:t>
      </w:r>
      <w:r w:rsidR="007409BB">
        <w:t xml:space="preserve"> only adjust</w:t>
      </w:r>
      <w:r>
        <w:t>ed</w:t>
      </w:r>
      <w:r w:rsidR="007409BB">
        <w:t xml:space="preserve"> for individual-level covariates and ZIP </w:t>
      </w:r>
      <w:r>
        <w:t>c</w:t>
      </w:r>
      <w:r w:rsidR="007409BB">
        <w:t>ode-level environmental factors (</w:t>
      </w:r>
      <w:r w:rsidR="00CD62C9">
        <w:t>Supplementary Figure</w:t>
      </w:r>
      <w:r w:rsidR="00EF1F1D">
        <w:t xml:space="preserve"> 6</w:t>
      </w:r>
      <w:r w:rsidR="007409BB">
        <w:t xml:space="preserve">A), the association between PE to UOGD and all-cause mortality </w:t>
      </w:r>
      <w:r>
        <w:t xml:space="preserve">was </w:t>
      </w:r>
      <w:r w:rsidR="007409BB">
        <w:t xml:space="preserve">still not monotonic. </w:t>
      </w:r>
      <w:r>
        <w:t>Yet</w:t>
      </w:r>
      <w:r w:rsidR="007409BB">
        <w:t xml:space="preserve"> the estimated relative risks </w:t>
      </w:r>
      <w:r>
        <w:t>we</w:t>
      </w:r>
      <w:r w:rsidR="007409BB">
        <w:t xml:space="preserve">re </w:t>
      </w:r>
      <w:r>
        <w:t xml:space="preserve">of </w:t>
      </w:r>
      <w:r w:rsidR="007409BB">
        <w:t xml:space="preserve">the same magnitude </w:t>
      </w:r>
      <w:r>
        <w:t xml:space="preserve">as </w:t>
      </w:r>
      <w:r w:rsidR="007409BB">
        <w:t>those from full Model I. According to the moderately simplified Model II (</w:t>
      </w:r>
      <w:r w:rsidR="00CD62C9">
        <w:t>Supplementary Figure</w:t>
      </w:r>
      <w:r w:rsidR="00EF1F1D">
        <w:t xml:space="preserve"> 6</w:t>
      </w:r>
      <w:r w:rsidR="007409BB">
        <w:t xml:space="preserve">B), the downwind-upwind difference in the estimated risks </w:t>
      </w:r>
      <w:r>
        <w:t>wa</w:t>
      </w:r>
      <w:r w:rsidR="007409BB">
        <w:t xml:space="preserve">s remarkable </w:t>
      </w:r>
      <w:r>
        <w:t xml:space="preserve">at </w:t>
      </w:r>
      <w:r w:rsidR="007409BB">
        <w:t xml:space="preserve">all PE levels, </w:t>
      </w:r>
      <w:r>
        <w:t xml:space="preserve">and </w:t>
      </w:r>
      <w:r w:rsidR="007409BB">
        <w:t xml:space="preserve">not influenced by omitting ZIP </w:t>
      </w:r>
      <w:r>
        <w:t>c</w:t>
      </w:r>
      <w:r w:rsidR="007409BB">
        <w:t>ode-level covariates and county-level behavior</w:t>
      </w:r>
      <w:r>
        <w:t>al</w:t>
      </w:r>
      <w:r w:rsidR="007409BB">
        <w:t xml:space="preserve"> risk factors. </w:t>
      </w:r>
    </w:p>
    <w:p w14:paraId="70FDFFE5" w14:textId="25FA5BA1" w:rsidR="007409BB" w:rsidRDefault="002959D2" w:rsidP="007409BB">
      <w:r>
        <w:t>We also tested a sl</w:t>
      </w:r>
      <w:r w:rsidR="007409BB">
        <w:t>ightly simplified Model I and Model II adjust</w:t>
      </w:r>
      <w:r>
        <w:t>ed</w:t>
      </w:r>
      <w:r w:rsidR="007409BB">
        <w:t xml:space="preserve"> for individual factors, ZIP </w:t>
      </w:r>
      <w:r>
        <w:t>c</w:t>
      </w:r>
      <w:r w:rsidR="007409BB">
        <w:t>ode-level environmental factors</w:t>
      </w:r>
      <w:r>
        <w:t>,</w:t>
      </w:r>
      <w:r w:rsidR="007409BB">
        <w:t xml:space="preserve"> and ZIP </w:t>
      </w:r>
      <w:r>
        <w:t>c</w:t>
      </w:r>
      <w:r w:rsidR="007409BB">
        <w:t xml:space="preserve">ode-level </w:t>
      </w:r>
      <w:r w:rsidR="000A2DC5">
        <w:rPr>
          <w:noProof/>
        </w:rPr>
        <w:t>socioeconomic</w:t>
      </w:r>
      <w:r w:rsidR="007409BB">
        <w:t xml:space="preserve"> </w:t>
      </w:r>
      <w:r w:rsidR="000A2DC5">
        <w:t xml:space="preserve">factors </w:t>
      </w:r>
      <w:r w:rsidR="007409BB">
        <w:t>while omitting county-level behavior</w:t>
      </w:r>
      <w:r>
        <w:t>al</w:t>
      </w:r>
      <w:r w:rsidR="007409BB">
        <w:t xml:space="preserve"> risk factors. As shown in </w:t>
      </w:r>
      <w:r w:rsidR="00CD62C9">
        <w:t>Supplementary Figure</w:t>
      </w:r>
      <w:r w:rsidR="00861CB0">
        <w:t xml:space="preserve"> 7</w:t>
      </w:r>
      <w:r w:rsidR="007409BB">
        <w:t xml:space="preserve">A, the </w:t>
      </w:r>
      <w:r>
        <w:t>s</w:t>
      </w:r>
      <w:r w:rsidR="007409BB">
        <w:t>lightly simplified Model I estimated lower relative risk</w:t>
      </w:r>
      <w:r>
        <w:t>s</w:t>
      </w:r>
      <w:r w:rsidR="007409BB">
        <w:t xml:space="preserve"> for each level of PE</w:t>
      </w:r>
      <w:r>
        <w:t>; h</w:t>
      </w:r>
      <w:r w:rsidR="007409BB">
        <w:t>owever, omitting county-level behavior</w:t>
      </w:r>
      <w:r>
        <w:t>al</w:t>
      </w:r>
      <w:r w:rsidR="007409BB">
        <w:t xml:space="preserve"> risk factor</w:t>
      </w:r>
      <w:r>
        <w:t>s</w:t>
      </w:r>
      <w:r w:rsidR="007409BB">
        <w:t xml:space="preserve"> </w:t>
      </w:r>
      <w:r>
        <w:t xml:space="preserve">did </w:t>
      </w:r>
      <w:r w:rsidR="007409BB">
        <w:t xml:space="preserve">not change the trend of the association. As shown in </w:t>
      </w:r>
      <w:r w:rsidR="00CD62C9">
        <w:t>Supplementary Figure</w:t>
      </w:r>
      <w:r w:rsidR="00861CB0">
        <w:t xml:space="preserve"> 7</w:t>
      </w:r>
      <w:r w:rsidR="007409BB">
        <w:t xml:space="preserve">B, the downwind-upwind difference in the estimated risk </w:t>
      </w:r>
      <w:r>
        <w:t>wa</w:t>
      </w:r>
      <w:r w:rsidR="007409BB">
        <w:t>s robust to omitting county-level behavior</w:t>
      </w:r>
      <w:r>
        <w:t>al</w:t>
      </w:r>
      <w:r w:rsidR="007409BB">
        <w:t xml:space="preserve"> risk factor</w:t>
      </w:r>
      <w:r>
        <w:t>s</w:t>
      </w:r>
      <w:r w:rsidR="007409BB">
        <w:t>.</w:t>
      </w:r>
    </w:p>
    <w:p w14:paraId="2EF1103C" w14:textId="30BCE8E9" w:rsidR="00462775" w:rsidRPr="0088477C" w:rsidRDefault="002959D2" w:rsidP="00A4159C">
      <w:pPr>
        <w:rPr>
          <w:noProof/>
          <w:vertAlign w:val="subscript"/>
        </w:rPr>
      </w:pPr>
      <w:r>
        <w:lastRenderedPageBreak/>
        <w:t>We t</w:t>
      </w:r>
      <w:r w:rsidR="007409BB">
        <w:t>hen focus</w:t>
      </w:r>
      <w:r>
        <w:t>ed</w:t>
      </w:r>
      <w:r w:rsidR="007409BB">
        <w:t xml:space="preserve"> on the influence of omitting COGD exposure terms</w:t>
      </w:r>
      <w:r>
        <w:t>,</w:t>
      </w:r>
      <w:r w:rsidR="007409BB">
        <w:t xml:space="preserve"> which </w:t>
      </w:r>
      <w:r>
        <w:t xml:space="preserve">was </w:t>
      </w:r>
      <w:r w:rsidR="007409BB">
        <w:t>highlighted in HEI’s review as a key limitation i</w:t>
      </w:r>
      <w:r>
        <w:t>n</w:t>
      </w:r>
      <w:r w:rsidR="007409BB">
        <w:t xml:space="preserve"> some previously published studies. W</w:t>
      </w:r>
      <w:r w:rsidR="007409BB" w:rsidRPr="00CE60CA">
        <w:t>e fitted a single-pollutant</w:t>
      </w:r>
      <w:r w:rsidR="007409BB">
        <w:t xml:space="preserve"> Model I</w:t>
      </w:r>
      <w:r w:rsidR="007409BB" w:rsidRPr="00CE60CA">
        <w:t xml:space="preserve"> </w:t>
      </w:r>
      <w:r>
        <w:t>that</w:t>
      </w:r>
      <w:r w:rsidRPr="00CE60CA">
        <w:t xml:space="preserve"> </w:t>
      </w:r>
      <w:r w:rsidR="007409BB" w:rsidRPr="00CE60CA">
        <w:t xml:space="preserve">only contains </w:t>
      </w:r>
      <w:r w:rsidR="007409BB">
        <w:t>PE</w:t>
      </w:r>
      <w:r w:rsidR="007409BB" w:rsidRPr="00CE60CA">
        <w:t xml:space="preserve"> </w:t>
      </w:r>
      <w:r w:rsidR="007409BB">
        <w:t>to</w:t>
      </w:r>
      <w:r w:rsidR="007409BB" w:rsidRPr="00CE60CA">
        <w:t xml:space="preserve"> UOGD</w:t>
      </w:r>
      <w:r w:rsidR="007409BB">
        <w:t xml:space="preserve"> without adjusting for PE for COGD</w:t>
      </w:r>
      <w:r w:rsidR="007409BB" w:rsidRPr="00CE60CA">
        <w:t>. As shown in</w:t>
      </w:r>
      <w:r w:rsidR="004E200F">
        <w:t xml:space="preserve"> </w:t>
      </w:r>
      <w:r w:rsidR="00CD62C9">
        <w:t>Supplementary Figure</w:t>
      </w:r>
      <w:r w:rsidR="004E200F">
        <w:t xml:space="preserve"> 8A</w:t>
      </w:r>
      <w:r w:rsidR="007409BB" w:rsidRPr="00CE60CA">
        <w:t>,</w:t>
      </w:r>
      <w:r w:rsidR="007409BB">
        <w:t xml:space="preserve"> </w:t>
      </w:r>
      <w:r w:rsidR="007409BB" w:rsidRPr="00CE60CA">
        <w:t xml:space="preserve">excluding COGD exposure </w:t>
      </w:r>
      <w:r w:rsidR="007409BB">
        <w:t>from Model I</w:t>
      </w:r>
      <w:r w:rsidR="007409BB" w:rsidRPr="00CE60CA">
        <w:t xml:space="preserve"> leads to a higher predicted risk associated with </w:t>
      </w:r>
      <w:r w:rsidR="007409BB">
        <w:t xml:space="preserve">each </w:t>
      </w:r>
      <w:r w:rsidR="007409BB" w:rsidRPr="00CE60CA">
        <w:t xml:space="preserve">UOGD </w:t>
      </w:r>
      <w:r w:rsidR="007409BB">
        <w:t>PE level</w:t>
      </w:r>
      <w:r w:rsidR="007409BB" w:rsidRPr="00CE60CA">
        <w:t xml:space="preserve">. This indicates the </w:t>
      </w:r>
      <w:r>
        <w:t>importance of</w:t>
      </w:r>
      <w:r w:rsidR="007409BB" w:rsidRPr="00CE60CA">
        <w:t xml:space="preserve"> includ</w:t>
      </w:r>
      <w:r>
        <w:t>ing</w:t>
      </w:r>
      <w:r w:rsidR="007409BB" w:rsidRPr="00CE60CA">
        <w:t xml:space="preserve"> COGD exposure in health effect studies concerning UOGD. Models unadjusted for COGD may overestimate the </w:t>
      </w:r>
      <w:r w:rsidR="007409BB">
        <w:t>health effects of UOGD. Despite predicting greater risk,</w:t>
      </w:r>
      <w:r w:rsidR="007409BB" w:rsidRPr="00CE60CA">
        <w:t xml:space="preserve"> </w:t>
      </w:r>
      <w:r w:rsidR="007409BB">
        <w:t>t</w:t>
      </w:r>
      <w:r w:rsidR="007409BB" w:rsidRPr="00CE60CA">
        <w:t>h</w:t>
      </w:r>
      <w:r w:rsidR="007409BB">
        <w:t xml:space="preserve">e results of the </w:t>
      </w:r>
      <w:r w:rsidR="007409BB" w:rsidRPr="00CE60CA">
        <w:t xml:space="preserve">single-pollutant </w:t>
      </w:r>
      <w:r w:rsidR="007409BB">
        <w:t>Model I</w:t>
      </w:r>
      <w:r w:rsidR="007409BB" w:rsidRPr="00CE60CA">
        <w:t xml:space="preserve"> </w:t>
      </w:r>
      <w:r w:rsidR="007409BB">
        <w:t>still</w:t>
      </w:r>
      <w:r w:rsidR="007409BB" w:rsidRPr="00CE60CA">
        <w:t xml:space="preserve"> </w:t>
      </w:r>
      <w:r w:rsidR="007409BB">
        <w:t xml:space="preserve">show a clear trend that greater PE to UOGD is associated with a greater risk of all-cause mortality </w:t>
      </w:r>
      <w:r w:rsidR="00CD62C9">
        <w:t>Supplementary Figure</w:t>
      </w:r>
      <w:r w:rsidR="00392270">
        <w:t xml:space="preserve"> 8A</w:t>
      </w:r>
      <w:r w:rsidR="007409BB">
        <w:t xml:space="preserve">. According to the results of </w:t>
      </w:r>
      <w:r>
        <w:t xml:space="preserve">the </w:t>
      </w:r>
      <w:r w:rsidR="007409BB">
        <w:t>single-pollutant Model II (</w:t>
      </w:r>
      <w:r w:rsidR="00CD62C9">
        <w:t>Supplementary Figure</w:t>
      </w:r>
      <w:r w:rsidR="00392270">
        <w:t xml:space="preserve"> 8B</w:t>
      </w:r>
      <w:r w:rsidR="007409BB">
        <w:t xml:space="preserve">), the downwind-upwind difference </w:t>
      </w:r>
      <w:r>
        <w:t xml:space="preserve">was </w:t>
      </w:r>
      <w:r w:rsidR="007409BB">
        <w:t>robust to the omi</w:t>
      </w:r>
      <w:r>
        <w:t>ssion</w:t>
      </w:r>
      <w:r w:rsidR="007409BB">
        <w:t xml:space="preserve"> of COGD.</w:t>
      </w:r>
      <w:r w:rsidR="00761C25">
        <w:rPr>
          <w:noProof/>
          <w:vertAlign w:val="subscript"/>
        </w:rPr>
        <w:br w:type="page"/>
      </w:r>
    </w:p>
    <w:p w14:paraId="71088C22" w14:textId="0E815AB2" w:rsidR="00462775" w:rsidRDefault="00462775" w:rsidP="00462775">
      <w:pPr>
        <w:pStyle w:val="Heading2"/>
      </w:pPr>
      <w:r w:rsidRPr="005B3DA7">
        <w:lastRenderedPageBreak/>
        <w:t>S</w:t>
      </w:r>
      <w:r w:rsidR="0088477C">
        <w:t>upplementary Note 6</w:t>
      </w:r>
      <w:r>
        <w:t>. Data source of exposure assessment</w:t>
      </w:r>
    </w:p>
    <w:p w14:paraId="6FF4F959" w14:textId="355510CD" w:rsidR="00462775" w:rsidRDefault="00462775" w:rsidP="00462775">
      <w:r>
        <w:t xml:space="preserve">State energy agencies </w:t>
      </w:r>
      <w:r w:rsidR="00097B64">
        <w:t xml:space="preserve">were </w:t>
      </w:r>
      <w:r>
        <w:t xml:space="preserve">the major data source </w:t>
      </w:r>
      <w:r w:rsidR="00097B64">
        <w:t xml:space="preserve">for the </w:t>
      </w:r>
      <w:r>
        <w:t>Enverus™</w:t>
      </w:r>
      <w:r w:rsidR="00097B64">
        <w:t xml:space="preserve"> database used in this study</w:t>
      </w:r>
      <w:r>
        <w:t xml:space="preserve">. Wells in </w:t>
      </w:r>
      <w:r w:rsidR="00097B64">
        <w:t xml:space="preserve">the </w:t>
      </w:r>
      <w:r>
        <w:t>Enverus™ database are classified into horizontal wells, vertical wells</w:t>
      </w:r>
      <w:r w:rsidR="00097B64">
        <w:t>,</w:t>
      </w:r>
      <w:r>
        <w:t xml:space="preserve"> and directional wells. However, the definition of directional wells varies among states. For example, directionally drilled wells and horizontally drilled wells are both grouped </w:t>
      </w:r>
      <w:r w:rsidR="00097B64">
        <w:t xml:space="preserve">as </w:t>
      </w:r>
      <w:r>
        <w:t xml:space="preserve">a single class in Colorado as directional well, while are </w:t>
      </w:r>
      <w:r w:rsidR="00097B64">
        <w:t xml:space="preserve">classified </w:t>
      </w:r>
      <w:r>
        <w:t>separate</w:t>
      </w:r>
      <w:r w:rsidR="00097B64">
        <w:t>ly</w:t>
      </w:r>
      <w:r>
        <w:t xml:space="preserve"> in New Mexico. As a result, there is a visually remarkable difference in the percentage of horizontal wells, which </w:t>
      </w:r>
      <w:r w:rsidR="00931C79">
        <w:t>are</w:t>
      </w:r>
      <w:r>
        <w:t xml:space="preserve"> considered unconventional wells in our study, across state line</w:t>
      </w:r>
      <w:r w:rsidR="00097B64">
        <w:t>s</w:t>
      </w:r>
      <w:r>
        <w:t xml:space="preserve"> even though they share the </w:t>
      </w:r>
      <w:r w:rsidR="00097B64">
        <w:t xml:space="preserve">same </w:t>
      </w:r>
      <w:r>
        <w:t xml:space="preserve">target geological formation and apply </w:t>
      </w:r>
      <w:r w:rsidR="00097B64">
        <w:t xml:space="preserve">a </w:t>
      </w:r>
      <w:r>
        <w:t xml:space="preserve">similar drilling method. Consequently, </w:t>
      </w:r>
      <w:r w:rsidR="00325E7D">
        <w:t>we could not</w:t>
      </w:r>
      <w:r>
        <w:t xml:space="preserve"> assume that all directionally drilled wells are UOGD. In addition, the raw dataset from Enverus™ does not provide drilling type information for more than 75% of the wells, </w:t>
      </w:r>
      <w:r w:rsidR="00325E7D">
        <w:t xml:space="preserve">which were </w:t>
      </w:r>
      <w:r>
        <w:t xml:space="preserve">mostly drilled before 2000. It is also inaccurate to assume that all wells without drilling type information </w:t>
      </w:r>
      <w:r w:rsidR="00325E7D">
        <w:t xml:space="preserve">were </w:t>
      </w:r>
      <w:r>
        <w:t xml:space="preserve">conventional because </w:t>
      </w:r>
      <w:r w:rsidR="00325E7D">
        <w:t xml:space="preserve">reporting the </w:t>
      </w:r>
      <w:r>
        <w:t>drilling type is not required by some state agencies. To solve these problems, we need</w:t>
      </w:r>
      <w:r w:rsidR="00325E7D">
        <w:t>ed</w:t>
      </w:r>
      <w:r>
        <w:t xml:space="preserve"> to predict the binary drilling type based on the drilling types of neighbor</w:t>
      </w:r>
      <w:r w:rsidR="00325E7D">
        <w:t>ing</w:t>
      </w:r>
      <w:r>
        <w:t xml:space="preserve"> wells and other secondary information.</w:t>
      </w:r>
    </w:p>
    <w:p w14:paraId="240EB50F" w14:textId="06039444" w:rsidR="00462775" w:rsidRDefault="00462775" w:rsidP="00462775">
      <w:r>
        <w:t xml:space="preserve">We trained a random forest model to perform this binary prediction. Random forest is a regression tree-based algorithm </w:t>
      </w:r>
      <w:r w:rsidR="00325E7D">
        <w:t xml:space="preserve">that is </w:t>
      </w:r>
      <w:r>
        <w:t>good at capturing non-linear relation</w:t>
      </w:r>
      <w:r w:rsidR="00325E7D">
        <w:t>ships</w:t>
      </w:r>
      <w:r>
        <w:t xml:space="preserve"> between the primary variable and secondary </w:t>
      </w:r>
      <w:proofErr w:type="gramStart"/>
      <w:r>
        <w:t xml:space="preserve">variables, </w:t>
      </w:r>
      <w:r w:rsidR="00325E7D">
        <w:t>and</w:t>
      </w:r>
      <w:proofErr w:type="gramEnd"/>
      <w:r w:rsidR="00325E7D">
        <w:t xml:space="preserve"> is </w:t>
      </w:r>
      <w:r>
        <w:t xml:space="preserve">thus suitable for solving this binary classification problem. Secondary variables incorporated in the model </w:t>
      </w:r>
      <w:r w:rsidR="00325E7D">
        <w:t>included</w:t>
      </w:r>
      <w:r>
        <w:t xml:space="preserve">: 1) the drilling type of the nearest well with known drilling type information; 2) the distance to the nearest conventional/unconventional well; 3) the percentage of conventional and unconventional wells of the nearest 10 wells with known drilling type; 4) the </w:t>
      </w:r>
      <w:r w:rsidR="00325E7D">
        <w:t>oil and gas (</w:t>
      </w:r>
      <w:r>
        <w:t>O&amp;G</w:t>
      </w:r>
      <w:r w:rsidR="00325E7D">
        <w:t>)</w:t>
      </w:r>
      <w:r>
        <w:t xml:space="preserve"> reservoir where the well is positioned; 5) the spudding/completion time; 6) the drilling depth; 7) the natural </w:t>
      </w:r>
      <w:r>
        <w:lastRenderedPageBreak/>
        <w:t>gas/liquid production in the first 6 month</w:t>
      </w:r>
      <w:r w:rsidR="00325E7D">
        <w:t>s</w:t>
      </w:r>
      <w:r>
        <w:t>;</w:t>
      </w:r>
      <w:r w:rsidR="00325E7D">
        <w:t xml:space="preserve"> and</w:t>
      </w:r>
      <w:r>
        <w:t xml:space="preserve"> 8) the production declining rate of gas/liquid. After running a grid search for optimal performance, the parameters of </w:t>
      </w:r>
      <w:r w:rsidR="00325E7D">
        <w:t xml:space="preserve">the </w:t>
      </w:r>
      <w:r>
        <w:t xml:space="preserve">model were set as the following: number of trees is 100, maximum depth is 15, minimum size of node is 5. The accuracy of this model </w:t>
      </w:r>
      <w:r w:rsidR="00325E7D">
        <w:t xml:space="preserve">was </w:t>
      </w:r>
      <w:r>
        <w:t xml:space="preserve">99.83% for conventional O&amp;G wells and 93.1% for unconventional O&amp;G wells. The performance difference </w:t>
      </w:r>
      <w:r w:rsidR="00325E7D">
        <w:t xml:space="preserve">was </w:t>
      </w:r>
      <w:r>
        <w:t xml:space="preserve">potentially caused by re-fracturing of some conventional O&amp;G wells. As shown in </w:t>
      </w:r>
      <w:r w:rsidR="00CD62C9">
        <w:t>Supplementary Figure</w:t>
      </w:r>
      <w:r>
        <w:t xml:space="preserve"> </w:t>
      </w:r>
      <w:r w:rsidR="00221189">
        <w:t>9</w:t>
      </w:r>
      <w:r>
        <w:t>, the</w:t>
      </w:r>
      <w:r w:rsidR="00325E7D">
        <w:t xml:space="preserve"> three most important</w:t>
      </w:r>
      <w:r>
        <w:t xml:space="preserve"> covariates </w:t>
      </w:r>
      <w:r w:rsidR="00325E7D">
        <w:t>were</w:t>
      </w:r>
      <w:r w:rsidR="00EE4EB2">
        <w:t xml:space="preserve"> the</w:t>
      </w:r>
      <w:r>
        <w:t xml:space="preserve"> number of conventional wells within 10 km, </w:t>
      </w:r>
      <w:r w:rsidR="00EE4EB2">
        <w:t xml:space="preserve">the </w:t>
      </w:r>
      <w:r>
        <w:t xml:space="preserve">number of unconventional wells within 10 km, </w:t>
      </w:r>
      <w:r w:rsidR="00EE4EB2">
        <w:t xml:space="preserve">and </w:t>
      </w:r>
      <w:r>
        <w:t>the drilling type of the closest well with known drilling type. We used the random forest algorithm implemented in h2o to fit and evaluate our model.</w:t>
      </w:r>
    </w:p>
    <w:p w14:paraId="1F5B00DC" w14:textId="250BB8CA" w:rsidR="0097252D" w:rsidRPr="00A4159C" w:rsidRDefault="00462775" w:rsidP="00A4159C">
      <w:r>
        <w:t>We excluded wells without any temporal information about spudding, completion, production</w:t>
      </w:r>
      <w:r w:rsidR="00EE4EB2">
        <w:t>,</w:t>
      </w:r>
      <w:r>
        <w:t xml:space="preserve"> and abandonment. We then calculated the annual region-specific average length of construction period and estimated the construction-related dates for wells with only production records.</w:t>
      </w:r>
      <w:r w:rsidR="0097252D">
        <w:rPr>
          <w:i/>
          <w:iCs/>
        </w:rPr>
        <w:br w:type="page"/>
      </w:r>
    </w:p>
    <w:p w14:paraId="702ACF91" w14:textId="64D8BE46" w:rsidR="00913124" w:rsidRPr="00A82E5F" w:rsidRDefault="00C17A54" w:rsidP="00913124">
      <w:pPr>
        <w:pStyle w:val="Heading2"/>
      </w:pPr>
      <w:r>
        <w:lastRenderedPageBreak/>
        <w:t>Supplementary Note 7</w:t>
      </w:r>
      <w:r w:rsidR="00913124">
        <w:t>.</w:t>
      </w:r>
      <w:r w:rsidR="00913124" w:rsidRPr="00A82E5F">
        <w:t xml:space="preserve"> </w:t>
      </w:r>
      <w:r w:rsidR="00913124">
        <w:t xml:space="preserve">Details about </w:t>
      </w:r>
      <w:r w:rsidR="001143D8">
        <w:t>Analysis</w:t>
      </w:r>
      <w:r w:rsidR="003F220D">
        <w:t xml:space="preserve"> set I</w:t>
      </w:r>
    </w:p>
    <w:p w14:paraId="3569E244" w14:textId="77777777" w:rsidR="00913124" w:rsidRDefault="00913124" w:rsidP="00913124">
      <w:r>
        <w:t>In Model I, we used the following formula:</w:t>
      </w:r>
    </w:p>
    <w:p w14:paraId="3A1A1675" w14:textId="77777777" w:rsidR="00913124" w:rsidRPr="00DC7889" w:rsidRDefault="00913124" w:rsidP="00913124">
      <w:pPr>
        <w:spacing w:after="100" w:afterAutospacing="1" w:line="240" w:lineRule="auto"/>
      </w:pPr>
      <m:oMathPara>
        <m:oMath>
          <m:r>
            <m:rPr>
              <m:sty m:val="p"/>
            </m:rPr>
            <w:rPr>
              <w:rFonts w:ascii="Cambria Math" w:hAnsi="Cambria Math"/>
            </w:rPr>
            <m:t>λ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/>
                </w:rPr>
                <m:t>t</m:t>
              </m:r>
            </m:e>
            <m:e>
              <m:r>
                <m:rPr>
                  <m:sty m:val="bi"/>
                </m:rPr>
                <w:rPr>
                  <w:rFonts w:asci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t</m:t>
                  </m:r>
                </m:e>
              </m:d>
            </m:e>
          </m:d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exp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β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r>
                <m:rPr>
                  <m:sty m:val="bi"/>
                </m:rPr>
                <w:rPr>
                  <w:rFonts w:asci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t</m:t>
                  </m:r>
                </m:e>
              </m:d>
            </m:e>
          </m:d>
        </m:oMath>
      </m:oMathPara>
    </w:p>
    <w:tbl>
      <w:tblPr>
        <w:tblStyle w:val="TableGridLight1"/>
        <w:tblW w:w="95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5045"/>
        <w:gridCol w:w="3505"/>
      </w:tblGrid>
      <w:tr w:rsidR="00913124" w14:paraId="1521E7CF" w14:textId="77777777" w:rsidTr="0087693F">
        <w:trPr>
          <w:trHeight w:val="413"/>
        </w:trPr>
        <w:tc>
          <w:tcPr>
            <w:tcW w:w="985" w:type="dxa"/>
          </w:tcPr>
          <w:p w14:paraId="15DC527C" w14:textId="77777777" w:rsidR="00913124" w:rsidRPr="009C5DB2" w:rsidRDefault="00913124" w:rsidP="0087693F">
            <w:pPr>
              <w:spacing w:line="276" w:lineRule="auto"/>
              <w:rPr>
                <w:rFonts w:eastAsia="DengXian" w:cs="Times New Roman"/>
                <w:iCs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Z</m:t>
                </m:r>
                <m:d>
                  <m:d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</m:oMath>
            </m:oMathPara>
          </w:p>
        </w:tc>
        <w:tc>
          <w:tcPr>
            <w:tcW w:w="5045" w:type="dxa"/>
            <w:tcBorders>
              <w:right w:val="single" w:sz="4" w:space="0" w:color="auto"/>
            </w:tcBorders>
          </w:tcPr>
          <w:p w14:paraId="40551991" w14:textId="77777777" w:rsidR="00913124" w:rsidRPr="009C5DB2" w:rsidRDefault="00913124" w:rsidP="0087693F">
            <w:pPr>
              <w:spacing w:line="360" w:lineRule="auto"/>
              <w:rPr>
                <w:rFonts w:eastAsia="DengXian" w:cs="Times New Roman"/>
                <w:iCs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PE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</m:oMath>
            </m:oMathPara>
          </w:p>
        </w:tc>
        <w:tc>
          <w:tcPr>
            <w:tcW w:w="3505" w:type="dxa"/>
            <w:tcBorders>
              <w:left w:val="single" w:sz="4" w:space="0" w:color="auto"/>
            </w:tcBorders>
          </w:tcPr>
          <w:p w14:paraId="1BC2A433" w14:textId="77777777" w:rsidR="00913124" w:rsidRPr="009C5DB2" w:rsidRDefault="00913124" w:rsidP="0087693F">
            <w:pPr>
              <w:spacing w:line="276" w:lineRule="auto"/>
              <w:rPr>
                <w:rFonts w:eastAsia="DengXian" w:cs="Times New Roman"/>
                <w:iCs/>
                <w:sz w:val="20"/>
                <w:szCs w:val="20"/>
              </w:rPr>
            </w:pPr>
            <w:r w:rsidRPr="009C5DB2">
              <w:rPr>
                <w:rFonts w:eastAsia="DengXian" w:cs="Times New Roman"/>
                <w:iCs/>
                <w:sz w:val="20"/>
                <w:szCs w:val="20"/>
              </w:rPr>
              <w:t xml:space="preserve">Exposure term of </w:t>
            </w:r>
            <w:r>
              <w:rPr>
                <w:rFonts w:eastAsia="DengXian" w:cs="Times New Roman"/>
                <w:iCs/>
                <w:sz w:val="20"/>
                <w:szCs w:val="20"/>
              </w:rPr>
              <w:t>Model I</w:t>
            </w:r>
          </w:p>
        </w:tc>
      </w:tr>
      <w:tr w:rsidR="00913124" w14:paraId="2C6B45DA" w14:textId="77777777" w:rsidTr="0087693F">
        <w:trPr>
          <w:trHeight w:val="413"/>
        </w:trPr>
        <w:tc>
          <w:tcPr>
            <w:tcW w:w="985" w:type="dxa"/>
          </w:tcPr>
          <w:p w14:paraId="50C6BB47" w14:textId="77777777" w:rsidR="00913124" w:rsidRPr="009C5DB2" w:rsidRDefault="00913124" w:rsidP="0087693F">
            <w:pPr>
              <w:spacing w:line="276" w:lineRule="auto"/>
              <w:rPr>
                <w:rFonts w:eastAsia="DengXian" w:cs="Times New Roman"/>
                <w:b/>
                <w:bCs/>
                <w:iCs/>
                <w:sz w:val="20"/>
                <w:szCs w:val="20"/>
              </w:rPr>
            </w:pPr>
          </w:p>
        </w:tc>
        <w:tc>
          <w:tcPr>
            <w:tcW w:w="5045" w:type="dxa"/>
            <w:tcBorders>
              <w:right w:val="single" w:sz="4" w:space="0" w:color="auto"/>
            </w:tcBorders>
          </w:tcPr>
          <w:p w14:paraId="730B6CC7" w14:textId="77777777" w:rsidR="00913124" w:rsidRPr="009C5DB2" w:rsidRDefault="00913124" w:rsidP="0087693F">
            <w:pPr>
              <w:spacing w:line="360" w:lineRule="auto"/>
              <w:rPr>
                <w:rFonts w:ascii="Cambria Math" w:eastAsia="DengXian" w:hAnsi="Cambria Math" w:cs="Times New Roman"/>
                <w:i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strata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Gender,Race,Medicaid,Year,Age</m:t>
                    </m:r>
                    <m:d>
                      <m:dPr>
                        <m:ctrl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t</m:t>
                        </m: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e>
                    </m:d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e>
                </m:d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+</m:t>
                </m:r>
              </m:oMath>
            </m:oMathPara>
          </w:p>
        </w:tc>
        <w:tc>
          <w:tcPr>
            <w:tcW w:w="3505" w:type="dxa"/>
            <w:tcBorders>
              <w:left w:val="single" w:sz="4" w:space="0" w:color="auto"/>
            </w:tcBorders>
          </w:tcPr>
          <w:p w14:paraId="18591444" w14:textId="77777777" w:rsidR="00913124" w:rsidRPr="009C5DB2" w:rsidRDefault="00913124" w:rsidP="0087693F">
            <w:pPr>
              <w:spacing w:line="276" w:lineRule="auto"/>
              <w:rPr>
                <w:rFonts w:eastAsia="DengXian" w:cs="Times New Roman"/>
                <w:iCs/>
                <w:sz w:val="20"/>
                <w:szCs w:val="20"/>
              </w:rPr>
            </w:pPr>
            <w:r w:rsidRPr="009C5DB2">
              <w:rPr>
                <w:rFonts w:eastAsia="DengXian" w:cs="Times New Roman"/>
                <w:iCs/>
                <w:sz w:val="20"/>
                <w:szCs w:val="20"/>
              </w:rPr>
              <w:t>Individual</w:t>
            </w:r>
            <w:r>
              <w:rPr>
                <w:rFonts w:eastAsia="DengXian" w:cs="Times New Roman"/>
                <w:iCs/>
                <w:sz w:val="20"/>
                <w:szCs w:val="20"/>
              </w:rPr>
              <w:t>-level</w:t>
            </w:r>
            <w:r w:rsidRPr="009C5DB2">
              <w:rPr>
                <w:rFonts w:eastAsia="DengXian" w:cs="Times New Roman"/>
                <w:iCs/>
                <w:sz w:val="20"/>
                <w:szCs w:val="20"/>
              </w:rPr>
              <w:t xml:space="preserve"> factors </w:t>
            </w:r>
          </w:p>
        </w:tc>
      </w:tr>
      <w:tr w:rsidR="00913124" w14:paraId="2E87C460" w14:textId="77777777" w:rsidTr="0087693F">
        <w:tc>
          <w:tcPr>
            <w:tcW w:w="985" w:type="dxa"/>
          </w:tcPr>
          <w:p w14:paraId="2A638B2C" w14:textId="77777777" w:rsidR="00913124" w:rsidRPr="009C5DB2" w:rsidRDefault="00913124" w:rsidP="0087693F">
            <w:pPr>
              <w:spacing w:line="276" w:lineRule="auto"/>
              <w:rPr>
                <w:rFonts w:eastAsia="DengXian" w:cs="Times New Roman"/>
                <w:sz w:val="20"/>
                <w:szCs w:val="20"/>
              </w:rPr>
            </w:pPr>
          </w:p>
        </w:tc>
        <w:tc>
          <w:tcPr>
            <w:tcW w:w="5045" w:type="dxa"/>
            <w:tcBorders>
              <w:right w:val="single" w:sz="4" w:space="0" w:color="auto"/>
            </w:tcBorders>
          </w:tcPr>
          <w:p w14:paraId="47DEDBB2" w14:textId="77777777" w:rsidR="00913124" w:rsidRPr="009C5DB2" w:rsidRDefault="00913124" w:rsidP="0087693F">
            <w:pPr>
              <w:spacing w:line="360" w:lineRule="auto"/>
              <w:rPr>
                <w:rFonts w:eastAsia="DengXian" w:cs="Times New Roman"/>
                <w:iCs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P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2.5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+%Develop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+%Veg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 COGD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</m:oMath>
            </m:oMathPara>
          </w:p>
        </w:tc>
        <w:tc>
          <w:tcPr>
            <w:tcW w:w="3505" w:type="dxa"/>
            <w:tcBorders>
              <w:left w:val="single" w:sz="4" w:space="0" w:color="auto"/>
            </w:tcBorders>
          </w:tcPr>
          <w:p w14:paraId="4B9F04CB" w14:textId="088B0F4A" w:rsidR="00913124" w:rsidRPr="009C5DB2" w:rsidRDefault="00913124" w:rsidP="0087693F">
            <w:pPr>
              <w:spacing w:line="360" w:lineRule="auto"/>
              <w:rPr>
                <w:rFonts w:eastAsia="DengXian" w:cs="Times New Roman"/>
                <w:iCs/>
                <w:sz w:val="20"/>
                <w:szCs w:val="20"/>
              </w:rPr>
            </w:pPr>
            <w:r>
              <w:rPr>
                <w:rFonts w:eastAsia="DengXian" w:cs="Times New Roman"/>
                <w:iCs/>
                <w:sz w:val="20"/>
                <w:szCs w:val="20"/>
              </w:rPr>
              <w:t xml:space="preserve">ZIP </w:t>
            </w:r>
            <w:r w:rsidR="00C53418">
              <w:rPr>
                <w:rFonts w:eastAsia="DengXian" w:cs="Times New Roman"/>
                <w:iCs/>
                <w:sz w:val="20"/>
                <w:szCs w:val="20"/>
              </w:rPr>
              <w:t>c</w:t>
            </w:r>
            <w:r>
              <w:rPr>
                <w:rFonts w:eastAsia="DengXian" w:cs="Times New Roman"/>
                <w:iCs/>
                <w:sz w:val="20"/>
                <w:szCs w:val="20"/>
              </w:rPr>
              <w:t>ode-level e</w:t>
            </w:r>
            <w:r w:rsidRPr="009C5DB2">
              <w:rPr>
                <w:rFonts w:eastAsia="DengXian" w:cs="Times New Roman"/>
                <w:iCs/>
                <w:sz w:val="20"/>
                <w:szCs w:val="20"/>
              </w:rPr>
              <w:t>nvironmental factors</w:t>
            </w:r>
          </w:p>
        </w:tc>
      </w:tr>
      <w:tr w:rsidR="00913124" w14:paraId="10C68F67" w14:textId="77777777" w:rsidTr="0087693F">
        <w:tc>
          <w:tcPr>
            <w:tcW w:w="985" w:type="dxa"/>
          </w:tcPr>
          <w:p w14:paraId="29856E8B" w14:textId="77777777" w:rsidR="00913124" w:rsidRPr="009C5DB2" w:rsidRDefault="00913124" w:rsidP="0087693F">
            <w:pPr>
              <w:spacing w:line="276" w:lineRule="auto"/>
              <w:rPr>
                <w:rFonts w:eastAsia="DengXian" w:cs="Times New Roman"/>
                <w:iCs/>
                <w:sz w:val="20"/>
                <w:szCs w:val="20"/>
              </w:rPr>
            </w:pPr>
          </w:p>
        </w:tc>
        <w:tc>
          <w:tcPr>
            <w:tcW w:w="5045" w:type="dxa"/>
            <w:tcBorders>
              <w:right w:val="single" w:sz="4" w:space="0" w:color="auto"/>
            </w:tcBorders>
          </w:tcPr>
          <w:p w14:paraId="7EEE91E6" w14:textId="77777777" w:rsidR="00913124" w:rsidRPr="009C5DB2" w:rsidRDefault="00913124" w:rsidP="0087693F">
            <w:pPr>
              <w:spacing w:line="360" w:lineRule="auto"/>
              <w:rPr>
                <w:rFonts w:eastAsia="DengXian" w:cs="Times New Roman"/>
                <w:iCs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%Highschool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t</m:t>
                    </m:r>
                  </m:e>
                </m:d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+ %Poverty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t</m:t>
                    </m:r>
                  </m:e>
                </m:d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+Density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t</m:t>
                    </m:r>
                  </m:e>
                </m:d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+</m:t>
                </m:r>
              </m:oMath>
            </m:oMathPara>
          </w:p>
          <w:p w14:paraId="216028BB" w14:textId="77777777" w:rsidR="00913124" w:rsidRPr="009C5DB2" w:rsidRDefault="00913124" w:rsidP="0087693F">
            <w:pPr>
              <w:spacing w:line="360" w:lineRule="auto"/>
              <w:rPr>
                <w:rFonts w:eastAsia="DengXian" w:cs="Times New Roman"/>
                <w:iCs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Housevalue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t</m:t>
                    </m:r>
                  </m:e>
                </m:d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+Income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t</m:t>
                    </m:r>
                  </m:e>
                </m:d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+%Ownership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t</m:t>
                    </m:r>
                  </m:e>
                </m:d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+</m:t>
                </m:r>
              </m:oMath>
            </m:oMathPara>
          </w:p>
        </w:tc>
        <w:tc>
          <w:tcPr>
            <w:tcW w:w="3505" w:type="dxa"/>
            <w:tcBorders>
              <w:left w:val="single" w:sz="4" w:space="0" w:color="auto"/>
            </w:tcBorders>
            <w:vAlign w:val="center"/>
          </w:tcPr>
          <w:p w14:paraId="0107514C" w14:textId="59D6417A" w:rsidR="00913124" w:rsidRPr="009C5DB2" w:rsidRDefault="00913124" w:rsidP="0087693F">
            <w:pPr>
              <w:spacing w:line="360" w:lineRule="auto"/>
              <w:rPr>
                <w:rFonts w:eastAsia="DengXian" w:cs="Times New Roman"/>
                <w:iCs/>
                <w:sz w:val="20"/>
                <w:szCs w:val="20"/>
              </w:rPr>
            </w:pPr>
            <w:r>
              <w:rPr>
                <w:rFonts w:eastAsia="DengXian" w:cs="Times New Roman"/>
                <w:iCs/>
                <w:sz w:val="20"/>
                <w:szCs w:val="20"/>
              </w:rPr>
              <w:t xml:space="preserve">ZIP </w:t>
            </w:r>
            <w:r w:rsidR="00C53418">
              <w:rPr>
                <w:rFonts w:eastAsia="DengXian" w:cs="Times New Roman"/>
                <w:iCs/>
                <w:sz w:val="20"/>
                <w:szCs w:val="20"/>
              </w:rPr>
              <w:t>c</w:t>
            </w:r>
            <w:r>
              <w:rPr>
                <w:rFonts w:eastAsia="DengXian" w:cs="Times New Roman"/>
                <w:iCs/>
                <w:sz w:val="20"/>
                <w:szCs w:val="20"/>
              </w:rPr>
              <w:t>ode-level s</w:t>
            </w:r>
            <w:r w:rsidRPr="009C5DB2">
              <w:rPr>
                <w:rFonts w:eastAsia="DengXian" w:cs="Times New Roman"/>
                <w:iCs/>
                <w:sz w:val="20"/>
                <w:szCs w:val="20"/>
              </w:rPr>
              <w:t>ocioeconomic factors</w:t>
            </w:r>
          </w:p>
        </w:tc>
      </w:tr>
      <w:tr w:rsidR="00913124" w14:paraId="57628598" w14:textId="77777777" w:rsidTr="0087693F">
        <w:tc>
          <w:tcPr>
            <w:tcW w:w="985" w:type="dxa"/>
          </w:tcPr>
          <w:p w14:paraId="2C781E23" w14:textId="77777777" w:rsidR="00913124" w:rsidRPr="009C5DB2" w:rsidRDefault="00913124" w:rsidP="0087693F">
            <w:pPr>
              <w:spacing w:line="276" w:lineRule="auto"/>
              <w:rPr>
                <w:rFonts w:eastAsia="DengXian" w:cs="Times New Roman"/>
                <w:iCs/>
                <w:sz w:val="20"/>
                <w:szCs w:val="20"/>
              </w:rPr>
            </w:pPr>
          </w:p>
        </w:tc>
        <w:tc>
          <w:tcPr>
            <w:tcW w:w="5045" w:type="dxa"/>
            <w:tcBorders>
              <w:right w:val="single" w:sz="4" w:space="0" w:color="auto"/>
            </w:tcBorders>
          </w:tcPr>
          <w:p w14:paraId="17290124" w14:textId="77777777" w:rsidR="00913124" w:rsidRPr="00A85D00" w:rsidRDefault="00913124" w:rsidP="0087693F">
            <w:pPr>
              <w:spacing w:line="360" w:lineRule="auto"/>
              <w:rPr>
                <w:rFonts w:eastAsia="DengXian" w:cs="Times New Roman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%Smoking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t</m:t>
                    </m:r>
                  </m:e>
                </m:d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+BMI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3505" w:type="dxa"/>
            <w:tcBorders>
              <w:left w:val="single" w:sz="4" w:space="0" w:color="auto"/>
            </w:tcBorders>
            <w:vAlign w:val="center"/>
          </w:tcPr>
          <w:p w14:paraId="1B1D8ACC" w14:textId="50C10624" w:rsidR="00913124" w:rsidRDefault="00913124" w:rsidP="0087693F">
            <w:pPr>
              <w:spacing w:line="360" w:lineRule="auto"/>
              <w:rPr>
                <w:rFonts w:eastAsia="DengXian" w:cs="Times New Roman"/>
                <w:iCs/>
                <w:sz w:val="20"/>
                <w:szCs w:val="20"/>
              </w:rPr>
            </w:pPr>
            <w:r>
              <w:rPr>
                <w:rFonts w:eastAsia="DengXian" w:cs="Times New Roman"/>
                <w:iCs/>
                <w:sz w:val="20"/>
                <w:szCs w:val="20"/>
              </w:rPr>
              <w:t>County-level behavior</w:t>
            </w:r>
            <w:r w:rsidR="00C53418">
              <w:rPr>
                <w:rFonts w:eastAsia="DengXian" w:cs="Times New Roman"/>
                <w:iCs/>
                <w:sz w:val="20"/>
                <w:szCs w:val="20"/>
              </w:rPr>
              <w:t>al</w:t>
            </w:r>
            <w:r>
              <w:rPr>
                <w:rFonts w:eastAsia="DengXian" w:cs="Times New Roman"/>
                <w:iCs/>
                <w:sz w:val="20"/>
                <w:szCs w:val="20"/>
              </w:rPr>
              <w:t xml:space="preserve"> risk factors</w:t>
            </w:r>
          </w:p>
        </w:tc>
      </w:tr>
    </w:tbl>
    <w:p w14:paraId="79ABF35E" w14:textId="4F1C6618" w:rsidR="00913124" w:rsidRPr="00201A0E" w:rsidRDefault="00913124" w:rsidP="00913124">
      <w:pPr>
        <w:rPr>
          <w:rFonts w:eastAsia="DengXian" w:cs="Times New Roman"/>
          <w:szCs w:val="24"/>
        </w:rPr>
      </w:pPr>
      <w:r w:rsidRPr="00201A0E">
        <w:rPr>
          <w:rFonts w:eastAsia="DengXian" w:cs="Times New Roman"/>
          <w:iCs/>
          <w:szCs w:val="24"/>
        </w:rPr>
        <w:t xml:space="preserve">where </w:t>
      </w:r>
      <m:oMath>
        <m:r>
          <m:rPr>
            <m:sty m:val="bi"/>
          </m:rPr>
          <w:rPr>
            <w:rFonts w:ascii="Cambria Math" w:hAnsi="Cambria Math"/>
            <w:szCs w:val="24"/>
          </w:rPr>
          <m:t>Z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t</m:t>
            </m:r>
            <m:ctrlPr>
              <w:rPr>
                <w:rFonts w:ascii="Cambria Math" w:hAnsi="Cambria Math"/>
                <w:i/>
                <w:szCs w:val="24"/>
              </w:rPr>
            </m:ctrlPr>
          </m:e>
        </m:d>
      </m:oMath>
      <w:r w:rsidRPr="00201A0E">
        <w:rPr>
          <w:rFonts w:eastAsia="DengXian" w:cs="Times New Roman"/>
          <w:iCs/>
          <w:szCs w:val="24"/>
        </w:rPr>
        <w:t xml:space="preserve"> is a mix of time-varying covariates including </w:t>
      </w:r>
      <w:r>
        <w:rPr>
          <w:rFonts w:eastAsia="DengXian" w:cs="Times New Roman"/>
          <w:iCs/>
          <w:szCs w:val="24"/>
        </w:rPr>
        <w:t xml:space="preserve">the </w:t>
      </w:r>
      <w:r w:rsidRPr="00201A0E">
        <w:rPr>
          <w:rFonts w:eastAsia="DengXian" w:cs="Times New Roman"/>
          <w:iCs/>
          <w:szCs w:val="24"/>
        </w:rPr>
        <w:t xml:space="preserve">exposure term, individual-level demographic factors, ZIP </w:t>
      </w:r>
      <w:r w:rsidR="000A2DC5">
        <w:rPr>
          <w:rFonts w:eastAsia="DengXian" w:cs="Times New Roman"/>
          <w:iCs/>
          <w:szCs w:val="24"/>
        </w:rPr>
        <w:t>c</w:t>
      </w:r>
      <w:r w:rsidRPr="00201A0E">
        <w:rPr>
          <w:rFonts w:eastAsia="DengXian" w:cs="Times New Roman"/>
          <w:iCs/>
          <w:szCs w:val="24"/>
        </w:rPr>
        <w:t>ode-level environmental factors</w:t>
      </w:r>
      <w:r>
        <w:rPr>
          <w:rFonts w:eastAsia="DengXian" w:cs="Times New Roman"/>
          <w:iCs/>
          <w:szCs w:val="24"/>
        </w:rPr>
        <w:t xml:space="preserve">, </w:t>
      </w:r>
      <w:r w:rsidRPr="00201A0E">
        <w:rPr>
          <w:rFonts w:eastAsia="DengXian" w:cs="Times New Roman"/>
          <w:iCs/>
          <w:szCs w:val="24"/>
        </w:rPr>
        <w:t xml:space="preserve">ZIP </w:t>
      </w:r>
      <w:r w:rsidR="000A2DC5">
        <w:rPr>
          <w:rFonts w:eastAsia="DengXian" w:cs="Times New Roman"/>
          <w:iCs/>
          <w:szCs w:val="24"/>
        </w:rPr>
        <w:t>c</w:t>
      </w:r>
      <w:r w:rsidRPr="00201A0E">
        <w:rPr>
          <w:rFonts w:eastAsia="DengXian" w:cs="Times New Roman"/>
          <w:iCs/>
          <w:szCs w:val="24"/>
        </w:rPr>
        <w:t>ode-level socioeconomic factors</w:t>
      </w:r>
      <w:r w:rsidR="000A2DC5">
        <w:rPr>
          <w:rFonts w:eastAsia="DengXian" w:cs="Times New Roman"/>
          <w:iCs/>
          <w:szCs w:val="24"/>
        </w:rPr>
        <w:t>,</w:t>
      </w:r>
      <w:r>
        <w:rPr>
          <w:rFonts w:eastAsia="DengXian" w:cs="Times New Roman"/>
          <w:iCs/>
          <w:szCs w:val="24"/>
        </w:rPr>
        <w:t xml:space="preserve"> and county-level behavior</w:t>
      </w:r>
      <w:r w:rsidR="00DE6D87">
        <w:rPr>
          <w:rFonts w:eastAsia="DengXian" w:cs="Times New Roman"/>
          <w:iCs/>
          <w:szCs w:val="24"/>
        </w:rPr>
        <w:t>al</w:t>
      </w:r>
      <w:r>
        <w:rPr>
          <w:rFonts w:eastAsia="DengXian" w:cs="Times New Roman"/>
          <w:iCs/>
          <w:szCs w:val="24"/>
        </w:rPr>
        <w:t xml:space="preserve"> risk factors</w:t>
      </w:r>
      <w:r w:rsidRPr="00201A0E">
        <w:rPr>
          <w:rFonts w:eastAsia="DengXian" w:cs="Times New Roman"/>
          <w:iCs/>
          <w:szCs w:val="24"/>
        </w:rPr>
        <w:t xml:space="preserve">. The hazard at time </w:t>
      </w:r>
      <m:oMath>
        <m:r>
          <w:rPr>
            <w:rFonts w:ascii="Cambria Math"/>
            <w:szCs w:val="24"/>
          </w:rPr>
          <m:t>t</m:t>
        </m:r>
      </m:oMath>
      <w:r w:rsidRPr="00201A0E">
        <w:rPr>
          <w:rFonts w:eastAsia="DengXian" w:cs="Times New Roman"/>
          <w:szCs w:val="24"/>
        </w:rPr>
        <w:t xml:space="preserve"> (denoted as </w:t>
      </w:r>
      <m:oMath>
        <m:r>
          <m:rPr>
            <m:sty m:val="p"/>
          </m:rPr>
          <w:rPr>
            <w:rFonts w:ascii="Cambria Math" w:hAnsi="Cambria Math"/>
            <w:szCs w:val="24"/>
          </w:rPr>
          <m:t>λ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/>
                <w:szCs w:val="24"/>
              </w:rPr>
              <m:t>t</m:t>
            </m:r>
          </m:e>
        </m:d>
      </m:oMath>
      <w:r w:rsidRPr="00201A0E">
        <w:rPr>
          <w:rFonts w:eastAsia="DengXian" w:cs="Times New Roman"/>
          <w:szCs w:val="24"/>
        </w:rPr>
        <w:t xml:space="preserve">) depends on the value of covariates at that time (denoted as </w:t>
      </w:r>
      <m:oMath>
        <m:r>
          <m:rPr>
            <m:sty m:val="bi"/>
          </m:rPr>
          <w:rPr>
            <w:rFonts w:ascii="Cambria Math" w:hAnsi="Cambria Math"/>
            <w:szCs w:val="24"/>
          </w:rPr>
          <m:t>Z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t</m:t>
            </m:r>
            <m:ctrlPr>
              <w:rPr>
                <w:rFonts w:ascii="Cambria Math" w:hAnsi="Cambria Math"/>
                <w:i/>
                <w:szCs w:val="24"/>
              </w:rPr>
            </m:ctrlPr>
          </m:e>
        </m:d>
      </m:oMath>
      <w:r w:rsidRPr="00201A0E">
        <w:rPr>
          <w:rFonts w:eastAsia="DengXian" w:cs="Times New Roman"/>
          <w:szCs w:val="24"/>
        </w:rPr>
        <w:t xml:space="preserve">). The regression coefficient of </w:t>
      </w:r>
      <m:oMath>
        <m:r>
          <m:rPr>
            <m:sty m:val="bi"/>
          </m:rPr>
          <w:rPr>
            <w:rFonts w:ascii="Cambria Math" w:hAnsi="Cambria Math"/>
            <w:szCs w:val="24"/>
          </w:rPr>
          <m:t>Z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m:rPr>
            <m:sty m:val="b"/>
          </m:rPr>
          <w:rPr>
            <w:rFonts w:ascii="Cambria Math" w:hAnsi="Cambria Math"/>
            <w:szCs w:val="24"/>
          </w:rPr>
          <m:t>∙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201A0E">
        <w:rPr>
          <w:rFonts w:eastAsia="DengXian" w:cs="Times New Roman"/>
          <w:szCs w:val="24"/>
        </w:rPr>
        <w:t xml:space="preserve"> , denoted as </w:t>
      </w:r>
      <m:oMath>
        <m:r>
          <m:rPr>
            <m:sty m:val="bi"/>
          </m:rPr>
          <w:rPr>
            <w:rFonts w:ascii="Cambria Math" w:hAnsi="Cambria Math"/>
            <w:szCs w:val="24"/>
          </w:rPr>
          <m:t>β</m:t>
        </m:r>
      </m:oMath>
      <w:r w:rsidRPr="00201A0E">
        <w:rPr>
          <w:rFonts w:eastAsia="DengXian" w:cs="Times New Roman"/>
          <w:szCs w:val="24"/>
        </w:rPr>
        <w:t xml:space="preserve">, is constant over time. The stratification term </w:t>
      </w:r>
      <m:oMath>
        <m:r>
          <w:rPr>
            <w:rFonts w:ascii="Cambria Math" w:eastAsia="DengXian" w:hAnsi="Cambria Math" w:cs="Times New Roman"/>
            <w:sz w:val="22"/>
          </w:rPr>
          <m:t>strata</m:t>
        </m:r>
        <m:d>
          <m:dPr>
            <m:ctrlPr>
              <w:rPr>
                <w:rFonts w:ascii="Cambria Math" w:eastAsia="DengXian" w:hAnsi="Cambria Math" w:cs="Times New Roman"/>
                <w:i/>
                <w:sz w:val="22"/>
                <w:lang w:eastAsia="en-US"/>
              </w:rPr>
            </m:ctrlPr>
          </m:dPr>
          <m:e>
            <m:r>
              <w:rPr>
                <w:rFonts w:ascii="Cambria Math" w:eastAsia="DengXian" w:hAnsi="Cambria Math" w:cs="Times New Roman"/>
                <w:sz w:val="22"/>
              </w:rPr>
              <m:t>Gender,Race,Medicaid,Year</m:t>
            </m:r>
            <m:r>
              <w:rPr>
                <w:rFonts w:ascii="Cambria Math" w:eastAsia="DengXian" w:hAnsi="Cambria Math" w:cs="Times New Roman"/>
                <w:sz w:val="22"/>
                <w:lang w:eastAsia="en-US"/>
              </w:rPr>
              <m:t>,</m:t>
            </m:r>
            <m:r>
              <w:rPr>
                <w:rFonts w:ascii="Cambria Math" w:eastAsia="DengXian" w:hAnsi="Cambria Math" w:cs="Times New Roman"/>
                <w:sz w:val="22"/>
              </w:rPr>
              <m:t>Age</m:t>
            </m:r>
            <m:d>
              <m:dPr>
                <m:ctrlPr>
                  <w:rPr>
                    <w:rFonts w:ascii="Cambria Math" w:eastAsia="DengXian" w:hAnsi="Cambria Math" w:cs="Times New Roman"/>
                    <w:sz w:val="22"/>
                    <w:lang w:eastAsia="en-US"/>
                  </w:rPr>
                </m:ctrlPr>
              </m:dPr>
              <m:e>
                <m:r>
                  <w:rPr>
                    <w:rFonts w:ascii="Cambria Math" w:eastAsia="DengXian" w:hAnsi="Cambria Math" w:cs="Times New Roman"/>
                    <w:sz w:val="22"/>
                  </w:rPr>
                  <m:t>t</m:t>
                </m:r>
                <m:ctrlPr>
                  <w:rPr>
                    <w:rFonts w:ascii="Cambria Math" w:eastAsia="DengXian" w:hAnsi="Cambria Math" w:cs="Times New Roman"/>
                    <w:i/>
                    <w:sz w:val="22"/>
                    <w:lang w:eastAsia="en-US"/>
                  </w:rPr>
                </m:ctrlPr>
              </m:e>
            </m:d>
          </m:e>
        </m:d>
      </m:oMath>
      <w:r w:rsidRPr="00201A0E">
        <w:rPr>
          <w:rFonts w:eastAsia="DengXian" w:cs="Times New Roman"/>
          <w:szCs w:val="24"/>
          <w:lang w:eastAsia="en-US"/>
        </w:rPr>
        <w:t xml:space="preserve"> allows the baseline function, denoted as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0</m:t>
            </m:r>
          </m:sub>
        </m:sSub>
      </m:oMath>
      <w:r w:rsidRPr="00201A0E">
        <w:rPr>
          <w:rFonts w:eastAsia="DengXian" w:cs="Times New Roman"/>
          <w:szCs w:val="24"/>
          <w:lang w:eastAsia="en-US"/>
        </w:rPr>
        <w:t>, to vary across subgroups.</w:t>
      </w:r>
      <w:r>
        <w:rPr>
          <w:rFonts w:eastAsia="DengXian" w:cs="Times New Roman"/>
          <w:szCs w:val="24"/>
          <w:lang w:eastAsia="en-US"/>
        </w:rPr>
        <w:t xml:space="preserve"> The exposure term of Model I is only PE (denoted as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PE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e>
        </m:d>
      </m:oMath>
      <w:r>
        <w:rPr>
          <w:rFonts w:eastAsia="DengXian" w:cs="Times New Roman"/>
          <w:szCs w:val="24"/>
          <w:lang w:eastAsia="en-US"/>
        </w:rPr>
        <w:t>).</w:t>
      </w:r>
    </w:p>
    <w:p w14:paraId="54A448E5" w14:textId="7C42B307" w:rsidR="00913124" w:rsidRPr="0051688E" w:rsidRDefault="00913124" w:rsidP="00913124">
      <w:pPr>
        <w:rPr>
          <w:rFonts w:eastAsia="DengXian" w:cs="Times New Roman"/>
          <w:szCs w:val="24"/>
        </w:rPr>
      </w:pPr>
      <w:r>
        <w:rPr>
          <w:rFonts w:eastAsia="DengXian" w:cs="Times New Roman"/>
          <w:szCs w:val="24"/>
        </w:rPr>
        <w:t>W</w:t>
      </w:r>
      <w:r w:rsidRPr="0051688E">
        <w:rPr>
          <w:rFonts w:eastAsia="DengXian" w:cs="Times New Roman"/>
          <w:szCs w:val="24"/>
        </w:rPr>
        <w:t xml:space="preserve">e added an interaction term between </w:t>
      </w:r>
      <w:r>
        <w:rPr>
          <w:rFonts w:eastAsia="DengXian" w:cs="Times New Roman"/>
          <w:szCs w:val="24"/>
        </w:rPr>
        <w:t xml:space="preserve">downwind-based exposure to UOGD (DE) and proximity-based exposure to UOGD (PE) to </w:t>
      </w:r>
      <w:r w:rsidR="000A2DC5">
        <w:rPr>
          <w:rFonts w:eastAsia="DengXian" w:cs="Times New Roman"/>
          <w:szCs w:val="24"/>
        </w:rPr>
        <w:t xml:space="preserve">the Model I </w:t>
      </w:r>
      <w:r>
        <w:rPr>
          <w:rFonts w:eastAsia="DengXian" w:cs="Times New Roman"/>
          <w:szCs w:val="24"/>
        </w:rPr>
        <w:t>formula</w:t>
      </w:r>
      <w:r w:rsidRPr="0051688E">
        <w:rPr>
          <w:rFonts w:eastAsia="DengXian" w:cs="Times New Roman"/>
          <w:szCs w:val="24"/>
        </w:rPr>
        <w:t xml:space="preserve">. In this way, we modified </w:t>
      </w:r>
      <m:oMath>
        <m:sSup>
          <m:sSupPr>
            <m:ctrlPr>
              <w:rPr>
                <w:rFonts w:ascii="Cambria Math" w:eastAsia="Calibri" w:hAnsi="Cambria Math"/>
                <w:b/>
                <w:i/>
                <w:szCs w:val="24"/>
                <w:lang w:eastAsia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4"/>
              </w:rPr>
              <m:t>Z</m:t>
            </m:r>
            <m:ctrlPr>
              <w:rPr>
                <w:rFonts w:ascii="Cambria Math" w:hAnsi="Cambria Math"/>
                <w:b/>
                <w:i/>
                <w:szCs w:val="24"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  <w:szCs w:val="24"/>
              </w:rPr>
              <m:t>*</m:t>
            </m:r>
          </m:sup>
        </m:sSup>
        <m:d>
          <m:dPr>
            <m:ctrlPr>
              <w:rPr>
                <w:rFonts w:ascii="Cambria Math" w:eastAsia="Calibri" w:hAnsi="Cambria Math"/>
                <w:i/>
                <w:szCs w:val="24"/>
                <w:lang w:eastAsia="en-US"/>
              </w:rPr>
            </m:ctrlPr>
          </m:dPr>
          <m:e>
            <m:r>
              <w:rPr>
                <w:rFonts w:ascii="Cambria Math" w:hAnsi="Cambria Math"/>
                <w:szCs w:val="24"/>
              </w:rPr>
              <m:t>t</m:t>
            </m:r>
          </m:e>
        </m:d>
      </m:oMath>
      <w:r w:rsidRPr="0051688E">
        <w:rPr>
          <w:rFonts w:eastAsia="DengXian" w:cs="Times New Roman"/>
          <w:iCs/>
          <w:szCs w:val="24"/>
        </w:rPr>
        <w:t xml:space="preserve"> as</w:t>
      </w:r>
    </w:p>
    <w:tbl>
      <w:tblPr>
        <w:tblStyle w:val="TableGridLight1"/>
        <w:tblW w:w="95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5045"/>
        <w:gridCol w:w="3505"/>
      </w:tblGrid>
      <w:tr w:rsidR="00913124" w14:paraId="1966AFEC" w14:textId="77777777" w:rsidTr="0087693F">
        <w:trPr>
          <w:trHeight w:val="413"/>
        </w:trPr>
        <w:tc>
          <w:tcPr>
            <w:tcW w:w="985" w:type="dxa"/>
          </w:tcPr>
          <w:p w14:paraId="3D8D5AD3" w14:textId="77777777" w:rsidR="00913124" w:rsidRPr="009C5DB2" w:rsidRDefault="00A4159C" w:rsidP="0087693F">
            <w:pPr>
              <w:spacing w:line="276" w:lineRule="auto"/>
              <w:rPr>
                <w:rFonts w:eastAsia="DengXian" w:cs="Times New Roman"/>
                <w:iCs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*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</m:oMath>
            </m:oMathPara>
          </w:p>
        </w:tc>
        <w:tc>
          <w:tcPr>
            <w:tcW w:w="5045" w:type="dxa"/>
            <w:tcBorders>
              <w:right w:val="single" w:sz="4" w:space="0" w:color="auto"/>
            </w:tcBorders>
          </w:tcPr>
          <w:p w14:paraId="72E21E20" w14:textId="77777777" w:rsidR="00913124" w:rsidRPr="009C5DB2" w:rsidRDefault="00913124" w:rsidP="0087693F">
            <w:pPr>
              <w:spacing w:line="360" w:lineRule="auto"/>
              <w:rPr>
                <w:rFonts w:eastAsia="DengXian" w:cs="Times New Roman"/>
                <w:iCs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DE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×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PE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e>
                </m:d>
              </m:oMath>
            </m:oMathPara>
          </w:p>
        </w:tc>
        <w:tc>
          <w:tcPr>
            <w:tcW w:w="3505" w:type="dxa"/>
            <w:tcBorders>
              <w:left w:val="single" w:sz="4" w:space="0" w:color="auto"/>
            </w:tcBorders>
          </w:tcPr>
          <w:p w14:paraId="67AAAAC8" w14:textId="77777777" w:rsidR="00913124" w:rsidRPr="009C5DB2" w:rsidRDefault="00913124" w:rsidP="0087693F">
            <w:pPr>
              <w:spacing w:line="276" w:lineRule="auto"/>
              <w:rPr>
                <w:rFonts w:eastAsia="DengXian" w:cs="Times New Roman"/>
                <w:iCs/>
                <w:sz w:val="20"/>
                <w:szCs w:val="20"/>
              </w:rPr>
            </w:pPr>
            <w:r w:rsidRPr="009C5DB2">
              <w:rPr>
                <w:rFonts w:eastAsia="DengXian" w:cs="Times New Roman"/>
                <w:iCs/>
                <w:sz w:val="20"/>
                <w:szCs w:val="20"/>
              </w:rPr>
              <w:t xml:space="preserve">Exposure term of </w:t>
            </w:r>
            <w:r>
              <w:rPr>
                <w:rFonts w:eastAsia="DengXian" w:cs="Times New Roman"/>
                <w:iCs/>
                <w:sz w:val="20"/>
                <w:szCs w:val="20"/>
              </w:rPr>
              <w:t>Model II</w:t>
            </w:r>
          </w:p>
        </w:tc>
      </w:tr>
      <w:tr w:rsidR="00913124" w14:paraId="54268C95" w14:textId="77777777" w:rsidTr="0087693F">
        <w:trPr>
          <w:trHeight w:val="413"/>
        </w:trPr>
        <w:tc>
          <w:tcPr>
            <w:tcW w:w="985" w:type="dxa"/>
          </w:tcPr>
          <w:p w14:paraId="1377AE7A" w14:textId="77777777" w:rsidR="00913124" w:rsidRPr="009C5DB2" w:rsidRDefault="00913124" w:rsidP="0087693F">
            <w:pPr>
              <w:spacing w:line="276" w:lineRule="auto"/>
              <w:rPr>
                <w:rFonts w:eastAsia="DengXian" w:cs="Times New Roman"/>
                <w:b/>
                <w:bCs/>
                <w:iCs/>
                <w:sz w:val="20"/>
                <w:szCs w:val="20"/>
              </w:rPr>
            </w:pPr>
          </w:p>
        </w:tc>
        <w:tc>
          <w:tcPr>
            <w:tcW w:w="5045" w:type="dxa"/>
            <w:tcBorders>
              <w:right w:val="single" w:sz="4" w:space="0" w:color="auto"/>
            </w:tcBorders>
          </w:tcPr>
          <w:p w14:paraId="716D4B92" w14:textId="77777777" w:rsidR="00913124" w:rsidRPr="009C5DB2" w:rsidRDefault="00913124" w:rsidP="0087693F">
            <w:pPr>
              <w:spacing w:line="360" w:lineRule="auto"/>
              <w:rPr>
                <w:rFonts w:ascii="Cambria Math" w:eastAsia="DengXian" w:hAnsi="Cambria Math" w:cs="Times New Roman"/>
                <w:i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strata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Gender,Race,Medicaid,Year,Age</m:t>
                    </m:r>
                    <m:d>
                      <m:dPr>
                        <m:ctrlP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="DengXian" w:hAnsi="Cambria Math" w:cs="Times New Roman"/>
                            <w:sz w:val="20"/>
                            <w:szCs w:val="20"/>
                          </w:rPr>
                          <m:t>t</m:t>
                        </m:r>
                        <m:ctrlPr>
                          <w:rPr>
                            <w:rFonts w:ascii="Cambria Math" w:eastAsia="DengXian" w:hAnsi="Cambria Math" w:cs="Times New Roman"/>
                            <w:i/>
                            <w:sz w:val="20"/>
                            <w:szCs w:val="20"/>
                          </w:rPr>
                        </m:ctrlPr>
                      </m:e>
                    </m:d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e>
                </m:d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+</m:t>
                </m:r>
              </m:oMath>
            </m:oMathPara>
          </w:p>
        </w:tc>
        <w:tc>
          <w:tcPr>
            <w:tcW w:w="3505" w:type="dxa"/>
            <w:tcBorders>
              <w:left w:val="single" w:sz="4" w:space="0" w:color="auto"/>
            </w:tcBorders>
          </w:tcPr>
          <w:p w14:paraId="08F9044C" w14:textId="77777777" w:rsidR="00913124" w:rsidRPr="009C5DB2" w:rsidRDefault="00913124" w:rsidP="0087693F">
            <w:pPr>
              <w:spacing w:line="276" w:lineRule="auto"/>
              <w:rPr>
                <w:rFonts w:eastAsia="DengXian" w:cs="Times New Roman"/>
                <w:iCs/>
                <w:sz w:val="20"/>
                <w:szCs w:val="20"/>
              </w:rPr>
            </w:pPr>
            <w:r w:rsidRPr="009C5DB2">
              <w:rPr>
                <w:rFonts w:eastAsia="DengXian" w:cs="Times New Roman"/>
                <w:iCs/>
                <w:sz w:val="20"/>
                <w:szCs w:val="20"/>
              </w:rPr>
              <w:t>Individual</w:t>
            </w:r>
            <w:r>
              <w:rPr>
                <w:rFonts w:eastAsia="DengXian" w:cs="Times New Roman"/>
                <w:iCs/>
                <w:sz w:val="20"/>
                <w:szCs w:val="20"/>
              </w:rPr>
              <w:t>-level</w:t>
            </w:r>
            <w:r w:rsidRPr="009C5DB2">
              <w:rPr>
                <w:rFonts w:eastAsia="DengXian" w:cs="Times New Roman"/>
                <w:iCs/>
                <w:sz w:val="20"/>
                <w:szCs w:val="20"/>
              </w:rPr>
              <w:t xml:space="preserve"> factors</w:t>
            </w:r>
          </w:p>
        </w:tc>
      </w:tr>
      <w:tr w:rsidR="00913124" w14:paraId="5812890A" w14:textId="77777777" w:rsidTr="0087693F">
        <w:tc>
          <w:tcPr>
            <w:tcW w:w="985" w:type="dxa"/>
          </w:tcPr>
          <w:p w14:paraId="65EC1A13" w14:textId="77777777" w:rsidR="00913124" w:rsidRPr="009C5DB2" w:rsidRDefault="00913124" w:rsidP="0087693F">
            <w:pPr>
              <w:spacing w:line="276" w:lineRule="auto"/>
              <w:rPr>
                <w:rFonts w:eastAsia="DengXian" w:cs="Times New Roman"/>
                <w:sz w:val="20"/>
                <w:szCs w:val="20"/>
              </w:rPr>
            </w:pPr>
          </w:p>
        </w:tc>
        <w:tc>
          <w:tcPr>
            <w:tcW w:w="5045" w:type="dxa"/>
            <w:tcBorders>
              <w:right w:val="single" w:sz="4" w:space="0" w:color="auto"/>
            </w:tcBorders>
          </w:tcPr>
          <w:p w14:paraId="2DB144F6" w14:textId="77777777" w:rsidR="00913124" w:rsidRPr="009C5DB2" w:rsidRDefault="00913124" w:rsidP="0087693F">
            <w:pPr>
              <w:spacing w:line="360" w:lineRule="auto"/>
              <w:rPr>
                <w:rFonts w:eastAsia="DengXian" w:cs="Times New Roman"/>
                <w:iCs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P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2.5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+%Develop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+%Veg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+COGD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</m:oMath>
            </m:oMathPara>
          </w:p>
        </w:tc>
        <w:tc>
          <w:tcPr>
            <w:tcW w:w="3505" w:type="dxa"/>
            <w:tcBorders>
              <w:left w:val="single" w:sz="4" w:space="0" w:color="auto"/>
            </w:tcBorders>
          </w:tcPr>
          <w:p w14:paraId="04AF6717" w14:textId="25DB0EBA" w:rsidR="00913124" w:rsidRPr="009C5DB2" w:rsidRDefault="00913124" w:rsidP="0087693F">
            <w:pPr>
              <w:spacing w:line="360" w:lineRule="auto"/>
              <w:rPr>
                <w:rFonts w:eastAsia="DengXian" w:cs="Times New Roman"/>
                <w:iCs/>
                <w:sz w:val="20"/>
                <w:szCs w:val="20"/>
              </w:rPr>
            </w:pPr>
            <w:r>
              <w:rPr>
                <w:rFonts w:eastAsia="DengXian" w:cs="Times New Roman"/>
                <w:iCs/>
                <w:sz w:val="20"/>
                <w:szCs w:val="20"/>
              </w:rPr>
              <w:t xml:space="preserve">ZIP </w:t>
            </w:r>
            <w:r w:rsidR="00C53418">
              <w:rPr>
                <w:rFonts w:eastAsia="DengXian" w:cs="Times New Roman"/>
                <w:iCs/>
                <w:sz w:val="20"/>
                <w:szCs w:val="20"/>
              </w:rPr>
              <w:t>c</w:t>
            </w:r>
            <w:r>
              <w:rPr>
                <w:rFonts w:eastAsia="DengXian" w:cs="Times New Roman"/>
                <w:iCs/>
                <w:sz w:val="20"/>
                <w:szCs w:val="20"/>
              </w:rPr>
              <w:t>ode-level e</w:t>
            </w:r>
            <w:r w:rsidRPr="009C5DB2">
              <w:rPr>
                <w:rFonts w:eastAsia="DengXian" w:cs="Times New Roman"/>
                <w:iCs/>
                <w:sz w:val="20"/>
                <w:szCs w:val="20"/>
              </w:rPr>
              <w:t>nvironmental factors</w:t>
            </w:r>
          </w:p>
        </w:tc>
      </w:tr>
      <w:tr w:rsidR="00913124" w14:paraId="252347EE" w14:textId="77777777" w:rsidTr="0087693F">
        <w:tc>
          <w:tcPr>
            <w:tcW w:w="985" w:type="dxa"/>
          </w:tcPr>
          <w:p w14:paraId="5A201A80" w14:textId="77777777" w:rsidR="00913124" w:rsidRPr="009C5DB2" w:rsidRDefault="00913124" w:rsidP="0087693F">
            <w:pPr>
              <w:spacing w:line="276" w:lineRule="auto"/>
              <w:rPr>
                <w:rFonts w:eastAsia="DengXian" w:cs="Times New Roman"/>
                <w:iCs/>
                <w:sz w:val="20"/>
                <w:szCs w:val="20"/>
              </w:rPr>
            </w:pPr>
          </w:p>
        </w:tc>
        <w:tc>
          <w:tcPr>
            <w:tcW w:w="5045" w:type="dxa"/>
            <w:tcBorders>
              <w:right w:val="single" w:sz="4" w:space="0" w:color="auto"/>
            </w:tcBorders>
          </w:tcPr>
          <w:p w14:paraId="1CA5807C" w14:textId="77777777" w:rsidR="00913124" w:rsidRPr="009C5DB2" w:rsidRDefault="00913124" w:rsidP="0087693F">
            <w:pPr>
              <w:spacing w:line="360" w:lineRule="auto"/>
              <w:rPr>
                <w:rFonts w:eastAsia="DengXian" w:cs="Times New Roman"/>
                <w:iCs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%Highschool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t</m:t>
                    </m:r>
                  </m:e>
                </m:d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+ %Poverty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t</m:t>
                    </m:r>
                  </m:e>
                </m:d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+Density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t</m:t>
                    </m:r>
                  </m:e>
                </m:d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+</m:t>
                </m:r>
              </m:oMath>
            </m:oMathPara>
          </w:p>
          <w:p w14:paraId="143EE2AD" w14:textId="77777777" w:rsidR="00913124" w:rsidRPr="009C5DB2" w:rsidRDefault="00913124" w:rsidP="0087693F">
            <w:pPr>
              <w:spacing w:line="360" w:lineRule="auto"/>
              <w:rPr>
                <w:rFonts w:eastAsia="DengXian" w:cs="Times New Roman"/>
                <w:iCs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Housevalue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t</m:t>
                    </m:r>
                  </m:e>
                </m:d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+Income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t</m:t>
                    </m:r>
                  </m:e>
                </m:d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+%Ownership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t</m:t>
                    </m:r>
                  </m:e>
                </m:d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+</m:t>
                </m:r>
              </m:oMath>
            </m:oMathPara>
          </w:p>
        </w:tc>
        <w:tc>
          <w:tcPr>
            <w:tcW w:w="3505" w:type="dxa"/>
            <w:tcBorders>
              <w:left w:val="single" w:sz="4" w:space="0" w:color="auto"/>
            </w:tcBorders>
            <w:vAlign w:val="center"/>
          </w:tcPr>
          <w:p w14:paraId="4B8AC137" w14:textId="5FD0C0B9" w:rsidR="00913124" w:rsidRPr="009C5DB2" w:rsidRDefault="00913124" w:rsidP="0087693F">
            <w:pPr>
              <w:spacing w:line="360" w:lineRule="auto"/>
              <w:rPr>
                <w:rFonts w:eastAsia="DengXian" w:cs="Times New Roman"/>
                <w:iCs/>
                <w:sz w:val="20"/>
                <w:szCs w:val="20"/>
              </w:rPr>
            </w:pPr>
            <w:r>
              <w:rPr>
                <w:rFonts w:eastAsia="DengXian" w:cs="Times New Roman"/>
                <w:iCs/>
                <w:sz w:val="20"/>
                <w:szCs w:val="20"/>
              </w:rPr>
              <w:t xml:space="preserve">ZIP </w:t>
            </w:r>
            <w:r w:rsidR="00C53418">
              <w:rPr>
                <w:rFonts w:eastAsia="DengXian" w:cs="Times New Roman"/>
                <w:iCs/>
                <w:sz w:val="20"/>
                <w:szCs w:val="20"/>
              </w:rPr>
              <w:t>c</w:t>
            </w:r>
            <w:r>
              <w:rPr>
                <w:rFonts w:eastAsia="DengXian" w:cs="Times New Roman"/>
                <w:iCs/>
                <w:sz w:val="20"/>
                <w:szCs w:val="20"/>
              </w:rPr>
              <w:t>ode-level s</w:t>
            </w:r>
            <w:r w:rsidRPr="009C5DB2">
              <w:rPr>
                <w:rFonts w:eastAsia="DengXian" w:cs="Times New Roman"/>
                <w:iCs/>
                <w:sz w:val="20"/>
                <w:szCs w:val="20"/>
              </w:rPr>
              <w:t>ocioeconomic factors</w:t>
            </w:r>
          </w:p>
        </w:tc>
      </w:tr>
      <w:tr w:rsidR="00913124" w14:paraId="69C9733C" w14:textId="77777777" w:rsidTr="0087693F">
        <w:tc>
          <w:tcPr>
            <w:tcW w:w="985" w:type="dxa"/>
          </w:tcPr>
          <w:p w14:paraId="558B2CFB" w14:textId="77777777" w:rsidR="00913124" w:rsidRPr="009C5DB2" w:rsidRDefault="00913124" w:rsidP="0087693F">
            <w:pPr>
              <w:spacing w:line="276" w:lineRule="auto"/>
              <w:rPr>
                <w:rFonts w:eastAsia="DengXian" w:cs="Times New Roman"/>
                <w:iCs/>
                <w:sz w:val="20"/>
                <w:szCs w:val="20"/>
              </w:rPr>
            </w:pPr>
          </w:p>
        </w:tc>
        <w:tc>
          <w:tcPr>
            <w:tcW w:w="5045" w:type="dxa"/>
            <w:tcBorders>
              <w:right w:val="single" w:sz="4" w:space="0" w:color="auto"/>
            </w:tcBorders>
          </w:tcPr>
          <w:p w14:paraId="574989E0" w14:textId="77777777" w:rsidR="00913124" w:rsidRPr="00A85D00" w:rsidRDefault="00913124" w:rsidP="0087693F">
            <w:pPr>
              <w:spacing w:line="360" w:lineRule="auto"/>
              <w:rPr>
                <w:rFonts w:eastAsia="DengXian" w:cs="Times New Roman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%Smoking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t</m:t>
                    </m:r>
                  </m:e>
                </m:d>
                <m:r>
                  <w:rPr>
                    <w:rFonts w:ascii="Cambria Math" w:eastAsia="DengXian" w:hAnsi="Cambria Math" w:cs="Times New Roman"/>
                    <w:sz w:val="20"/>
                    <w:szCs w:val="20"/>
                  </w:rPr>
                  <m:t>+BMI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sz w:val="20"/>
                        <w:szCs w:val="20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3505" w:type="dxa"/>
            <w:tcBorders>
              <w:left w:val="single" w:sz="4" w:space="0" w:color="auto"/>
            </w:tcBorders>
            <w:vAlign w:val="center"/>
          </w:tcPr>
          <w:p w14:paraId="3B3B3768" w14:textId="5718A291" w:rsidR="00913124" w:rsidRDefault="00913124" w:rsidP="0087693F">
            <w:pPr>
              <w:spacing w:line="360" w:lineRule="auto"/>
              <w:rPr>
                <w:rFonts w:eastAsia="DengXian" w:cs="Times New Roman"/>
                <w:iCs/>
                <w:sz w:val="20"/>
                <w:szCs w:val="20"/>
              </w:rPr>
            </w:pPr>
            <w:r>
              <w:rPr>
                <w:rFonts w:eastAsia="DengXian" w:cs="Times New Roman"/>
                <w:iCs/>
                <w:sz w:val="20"/>
                <w:szCs w:val="20"/>
              </w:rPr>
              <w:t>County-level behavior</w:t>
            </w:r>
            <w:r w:rsidR="00C53418">
              <w:rPr>
                <w:rFonts w:eastAsia="DengXian" w:cs="Times New Roman"/>
                <w:iCs/>
                <w:sz w:val="20"/>
                <w:szCs w:val="20"/>
              </w:rPr>
              <w:t>al</w:t>
            </w:r>
            <w:r>
              <w:rPr>
                <w:rFonts w:eastAsia="DengXian" w:cs="Times New Roman"/>
                <w:iCs/>
                <w:sz w:val="20"/>
                <w:szCs w:val="20"/>
              </w:rPr>
              <w:t xml:space="preserve"> risk factors</w:t>
            </w:r>
          </w:p>
        </w:tc>
      </w:tr>
    </w:tbl>
    <w:p w14:paraId="342DA92D" w14:textId="0F45AD0B" w:rsidR="0059759B" w:rsidRDefault="0059759B" w:rsidP="00913124">
      <w:pPr>
        <w:spacing w:line="259" w:lineRule="auto"/>
        <w:rPr>
          <w:rFonts w:eastAsiaTheme="majorEastAsia" w:cstheme="majorBidi"/>
          <w:b/>
          <w:szCs w:val="26"/>
        </w:rPr>
      </w:pPr>
    </w:p>
    <w:p w14:paraId="68A6461E" w14:textId="6C594509" w:rsidR="00AE0720" w:rsidRDefault="00C17A54" w:rsidP="00AE0720">
      <w:pPr>
        <w:pStyle w:val="Heading2"/>
      </w:pPr>
      <w:r>
        <w:lastRenderedPageBreak/>
        <w:t>Supplementary Note 8</w:t>
      </w:r>
      <w:r w:rsidR="00B47C5D">
        <w:t xml:space="preserve">. Details about </w:t>
      </w:r>
      <w:r w:rsidR="001143D8">
        <w:t>Analysis</w:t>
      </w:r>
      <w:r w:rsidR="003F220D">
        <w:t xml:space="preserve"> </w:t>
      </w:r>
      <w:r w:rsidR="00D5422D">
        <w:t>S</w:t>
      </w:r>
      <w:r w:rsidR="003F220D">
        <w:t>et II</w:t>
      </w:r>
    </w:p>
    <w:p w14:paraId="4DDCDBDE" w14:textId="1E0FDB8D" w:rsidR="00AE0720" w:rsidRDefault="00AE0720" w:rsidP="00AE0720">
      <w:r>
        <w:t xml:space="preserve">We first conducted a DiD analysis </w:t>
      </w:r>
      <w:r w:rsidR="0098792B">
        <w:t xml:space="preserve">to </w:t>
      </w:r>
      <w:r>
        <w:t>estimate the proximity-related mortality risk</w:t>
      </w:r>
      <w:r w:rsidR="00ED218A">
        <w:t xml:space="preserve"> to support the findings of Model I </w:t>
      </w:r>
      <w:r w:rsidR="00EF5252">
        <w:t>(</w:t>
      </w:r>
      <w:r w:rsidR="00ED218A">
        <w:t>Analysis Set I</w:t>
      </w:r>
      <w:r w:rsidR="00EF5252">
        <w:t>)</w:t>
      </w:r>
      <w:r>
        <w:t>. We used residential proximity to active UOGD wells (PE) jointly with the drilling dates of the nearby UOGD to define a time-varying exposure. More specifically, an “</w:t>
      </w:r>
      <w:r w:rsidRPr="001B3085">
        <w:rPr>
          <w:i/>
          <w:iCs/>
          <w:u w:val="single"/>
        </w:rPr>
        <w:t>intervention</w:t>
      </w:r>
      <w:r>
        <w:t>” occurs when UOGD drilling happens within 15</w:t>
      </w:r>
      <w:r w:rsidR="00E01C8F">
        <w:t xml:space="preserve"> </w:t>
      </w:r>
      <w:r>
        <w:t xml:space="preserve">km from the bound of the ZIP </w:t>
      </w:r>
      <w:r w:rsidR="00E01C8F">
        <w:t>c</w:t>
      </w:r>
      <w:r>
        <w:t>ode for the first time. A “</w:t>
      </w:r>
      <w:r w:rsidRPr="001B3085">
        <w:rPr>
          <w:i/>
          <w:iCs/>
          <w:u w:val="single"/>
        </w:rPr>
        <w:t>treatment</w:t>
      </w:r>
      <w:r>
        <w:t xml:space="preserve">” community is a ZIP </w:t>
      </w:r>
      <w:r w:rsidR="00E01C8F">
        <w:t>c</w:t>
      </w:r>
      <w:r>
        <w:t>ode with high and medium-high PE by the end of 2015. A “</w:t>
      </w:r>
      <w:r w:rsidRPr="001B3085">
        <w:rPr>
          <w:i/>
          <w:iCs/>
          <w:u w:val="single"/>
        </w:rPr>
        <w:t>co</w:t>
      </w:r>
      <w:r w:rsidR="000F1493">
        <w:rPr>
          <w:i/>
          <w:iCs/>
          <w:u w:val="single"/>
        </w:rPr>
        <w:t>mparison</w:t>
      </w:r>
      <w:r>
        <w:t xml:space="preserve">” community is a ZIP </w:t>
      </w:r>
      <w:r w:rsidR="00E01C8F">
        <w:t>c</w:t>
      </w:r>
      <w:r>
        <w:t>ode with low and medium-low PE by the end of 2015.</w:t>
      </w:r>
      <w:r w:rsidR="000F1493">
        <w:t xml:space="preserve"> Pre-intervention health records (dead and alive) are used as </w:t>
      </w:r>
      <w:r w:rsidR="00622501">
        <w:t>a “</w:t>
      </w:r>
      <w:r w:rsidR="000F1493" w:rsidRPr="00622501">
        <w:rPr>
          <w:i/>
          <w:iCs/>
          <w:u w:val="single"/>
        </w:rPr>
        <w:t>control</w:t>
      </w:r>
      <w:r w:rsidR="00622501">
        <w:t>”</w:t>
      </w:r>
      <w:r w:rsidR="000F1493">
        <w:t xml:space="preserve"> group for both treatment and comparison groups.</w:t>
      </w:r>
    </w:p>
    <w:p w14:paraId="2CEBADDD" w14:textId="33923318" w:rsidR="00AE0720" w:rsidRDefault="00AE0720" w:rsidP="00AE0720">
      <w:r w:rsidRPr="001B3085">
        <w:t xml:space="preserve">Please note that the intervention occurred to each treatment and </w:t>
      </w:r>
      <w:r w:rsidR="00622501">
        <w:t>comparison</w:t>
      </w:r>
      <w:r w:rsidRPr="001B3085">
        <w:t xml:space="preserve"> community at different times</w:t>
      </w:r>
      <w:r w:rsidR="00121568">
        <w:t xml:space="preserve"> because the drilling </w:t>
      </w:r>
      <w:r w:rsidR="00AF6D3F">
        <w:t xml:space="preserve">time varies across ZIP </w:t>
      </w:r>
      <w:r w:rsidR="00E01C8F">
        <w:t>c</w:t>
      </w:r>
      <w:r w:rsidR="00AF6D3F">
        <w:t>odes</w:t>
      </w:r>
      <w:r w:rsidRPr="001B3085">
        <w:t>. Both treatment and co</w:t>
      </w:r>
      <w:r w:rsidR="00622501">
        <w:t>mparison</w:t>
      </w:r>
      <w:r w:rsidRPr="001B3085">
        <w:t xml:space="preserve"> groups experienced zero PE exposure during pre-intervention period. The post-intervention PE in </w:t>
      </w:r>
      <w:r w:rsidR="00E01C8F">
        <w:t xml:space="preserve">the </w:t>
      </w:r>
      <w:r w:rsidRPr="001B3085">
        <w:t>treatment group was higher (</w:t>
      </w:r>
      <w:r w:rsidR="00F66950">
        <w:t xml:space="preserve">high, </w:t>
      </w:r>
      <w:r w:rsidRPr="001B3085">
        <w:t xml:space="preserve">medium-high) than that of </w:t>
      </w:r>
      <w:r w:rsidR="00622501">
        <w:t>comparison</w:t>
      </w:r>
      <w:r w:rsidRPr="001B3085">
        <w:t xml:space="preserve"> group (</w:t>
      </w:r>
      <w:r w:rsidR="00F66950">
        <w:t xml:space="preserve">low, </w:t>
      </w:r>
      <w:r w:rsidRPr="001B3085">
        <w:t xml:space="preserve">medium-low). </w:t>
      </w:r>
    </w:p>
    <w:p w14:paraId="6879C56F" w14:textId="55927FBB" w:rsidR="00AE0720" w:rsidRDefault="00AE0720" w:rsidP="00AE0720">
      <w:r>
        <w:t xml:space="preserve">We </w:t>
      </w:r>
      <w:r w:rsidR="004537BA">
        <w:t>implemente</w:t>
      </w:r>
      <w:r>
        <w:t xml:space="preserve">d a </w:t>
      </w:r>
      <w:r w:rsidR="00375B2B">
        <w:t>fixed effect linear</w:t>
      </w:r>
      <w:r>
        <w:t xml:space="preserve"> regression model</w:t>
      </w:r>
      <w:r w:rsidR="00E819A3">
        <w:t xml:space="preserve"> </w:t>
      </w:r>
      <w:r>
        <w:t>using the following formula:</w:t>
      </w:r>
    </w:p>
    <w:p w14:paraId="2C8B08AB" w14:textId="380CE4D8" w:rsidR="000F1493" w:rsidRPr="00803A68" w:rsidRDefault="00A4159C" w:rsidP="00AE0720">
      <m:oMathPara>
        <m:oMath>
          <m:sSub>
            <m:sSubPr>
              <m:ctrlPr>
                <w:rPr>
                  <w:rFonts w:ascii="Cambria Math" w:eastAsia="SimSun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i,t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="SimSun" w:hAnsi="Cambria Math" w:cs="Times New Roman"/>
                  <w:i/>
                </w:rPr>
              </m:ctrlPr>
            </m:sSubPr>
            <m:e>
              <m:r>
                <w:rPr>
                  <w:rFonts w:ascii="Cambria Math" w:eastAsia="SimSun" w:hAnsi="Cambria Math" w:cs="Times New Roman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="SimSun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Pos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i,t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Trt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(Pos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i,t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Trt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i,t</m:t>
              </m:r>
            </m:sub>
          </m:sSub>
          <m:r>
            <w:rPr>
              <w:rFonts w:ascii="Cambria Math" w:hAnsi="Cambria Math"/>
            </w:rPr>
            <m:t>δ+</m:t>
          </m:r>
          <m:sSub>
            <m:sSubPr>
              <m:ctrlPr>
                <w:rPr>
                  <w:rFonts w:ascii="Cambria Math" w:eastAsia="SimSun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i,t</m:t>
              </m:r>
            </m:sub>
          </m:sSub>
        </m:oMath>
      </m:oMathPara>
    </w:p>
    <w:p w14:paraId="40D5D80E" w14:textId="6088751F" w:rsidR="00AE0720" w:rsidRDefault="00AE0720" w:rsidP="00803A68"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i,t</m:t>
            </m:r>
          </m:sub>
        </m:sSub>
      </m:oMath>
      <w:r>
        <w:t xml:space="preserve"> is </w:t>
      </w:r>
      <w:r w:rsidR="002A53D4">
        <w:t>a</w:t>
      </w:r>
      <w:r>
        <w:t xml:space="preserve"> binary outcome variable indicating whether </w:t>
      </w:r>
      <w:r w:rsidR="00B76906">
        <w:t xml:space="preserve">subject </w:t>
      </w:r>
      <m:oMath>
        <m:r>
          <w:rPr>
            <w:rFonts w:ascii="Cambria Math" w:hAnsi="Cambria Math"/>
          </w:rPr>
          <m:t>i</m:t>
        </m:r>
      </m:oMath>
      <w:r w:rsidR="00620067">
        <w:t xml:space="preserve"> </w:t>
      </w:r>
      <w:r>
        <w:t xml:space="preserve">is dead or alive in the calendar year </w:t>
      </w:r>
      <w:r w:rsidRPr="00020995">
        <w:rPr>
          <w:i/>
          <w:iCs/>
        </w:rPr>
        <w:t>t</w:t>
      </w:r>
      <m:oMath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i,t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 indicates the </w:t>
      </w:r>
      <w:r w:rsidR="006258C5">
        <w:t>subject</w:t>
      </w:r>
      <w:r>
        <w:t xml:space="preserve"> </w:t>
      </w:r>
      <w:r w:rsidRPr="00E65DAF">
        <w:rPr>
          <w:i/>
          <w:iCs/>
        </w:rPr>
        <w:t>i</w:t>
      </w:r>
      <w:r>
        <w:t xml:space="preserve"> is alive in calendar year </w:t>
      </w:r>
      <w:r w:rsidRPr="00E65DAF">
        <w:rPr>
          <w:i/>
          <w:iCs/>
        </w:rPr>
        <w:t>t</w:t>
      </w:r>
      <w:r w:rsidR="00AF2F7C">
        <w:t>,</w:t>
      </w:r>
      <w:r w:rsidR="007925FE" w:rsidRPr="007925FE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i,t</m:t>
            </m:r>
          </m:sub>
        </m:sSub>
        <m:r>
          <w:rPr>
            <w:rFonts w:ascii="Cambria Math" w:hAnsi="Cambria Math"/>
          </w:rPr>
          <m:t>=1</m:t>
        </m:r>
      </m:oMath>
      <w:r w:rsidR="007925FE">
        <w:t xml:space="preserve"> indicates the subject </w:t>
      </w:r>
      <w:r w:rsidR="007925FE" w:rsidRPr="00E65DAF">
        <w:rPr>
          <w:i/>
          <w:iCs/>
        </w:rPr>
        <w:t>i</w:t>
      </w:r>
      <w:r w:rsidR="007925FE">
        <w:t xml:space="preserve"> is dead at the end of calendar year </w:t>
      </w:r>
      <w:r w:rsidR="007925FE" w:rsidRPr="00E65DAF">
        <w:rPr>
          <w:i/>
          <w:iCs/>
        </w:rPr>
        <w:t>t</w:t>
      </w:r>
      <w:r w:rsidR="00AF2F7C">
        <w:t>,</w:t>
      </w:r>
      <w:r w:rsidR="00803A68" w:rsidRPr="00803A68">
        <w:rPr>
          <w:rFonts w:ascii="Cambria Math" w:eastAsia="SimSun" w:hAnsi="Cambria Math" w:cs="Times New Roman"/>
          <w:i/>
        </w:rPr>
        <w:t xml:space="preserve"> </w:t>
      </w:r>
      <m:oMath>
        <m:sSub>
          <m:sSubPr>
            <m:ctrlPr>
              <w:rPr>
                <w:rFonts w:ascii="Cambria Math" w:eastAsia="SimSun" w:hAnsi="Cambria Math" w:cs="Times New Roman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803A68">
        <w:rPr>
          <w:rFonts w:ascii="Cambria Math" w:eastAsia="SimSun" w:hAnsi="Cambria Math" w:cs="Times New Roman"/>
          <w:iCs/>
        </w:rPr>
        <w:t xml:space="preserve"> is </w:t>
      </w:r>
      <w:r w:rsidR="00597823">
        <w:rPr>
          <w:rFonts w:ascii="Cambria Math" w:eastAsia="SimSun" w:hAnsi="Cambria Math" w:cs="Times New Roman"/>
          <w:iCs/>
        </w:rPr>
        <w:t>the individual fixed effect</w:t>
      </w:r>
      <w:r w:rsidR="00AF2F7C">
        <w:t>,</w:t>
      </w:r>
      <w:r w:rsidR="00803A68">
        <w:t xml:space="preserve"> </w:t>
      </w:r>
      <m:oMath>
        <m:sSub>
          <m:sSubPr>
            <m:ctrlPr>
              <w:rPr>
                <w:rFonts w:ascii="Cambria Math" w:eastAsia="SimSun" w:hAnsi="Cambria Math" w:cs="Times New Roman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03A68">
        <w:t xml:space="preserve"> is</w:t>
      </w:r>
      <w:r w:rsidR="008D2945">
        <w:t xml:space="preserve"> the time fixed effect</w:t>
      </w:r>
      <w:r w:rsidR="00AF2F7C">
        <w:t>,</w:t>
      </w:r>
      <w:r>
        <w:t xml:space="preserve"> </w:t>
      </w:r>
      <m:oMath>
        <m:r>
          <w:rPr>
            <w:rFonts w:ascii="Cambria Math" w:hAnsi="Cambria Math"/>
          </w:rPr>
          <m:t>Pos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i,t</m:t>
            </m:r>
          </m:sub>
        </m:sSub>
      </m:oMath>
      <w:r>
        <w:t xml:space="preserve"> is </w:t>
      </w:r>
      <w:r w:rsidR="002A53D4">
        <w:t>a</w:t>
      </w:r>
      <w:r>
        <w:t xml:space="preserve"> binary variable </w:t>
      </w:r>
      <w:r w:rsidR="008D2945">
        <w:t>denoting</w:t>
      </w:r>
      <w:r>
        <w:t xml:space="preserve"> whether</w:t>
      </w:r>
      <w:r w:rsidR="008D572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i,t</m:t>
            </m:r>
          </m:sub>
        </m:sSub>
      </m:oMath>
      <w:r>
        <w:t xml:space="preserve"> happened </w:t>
      </w:r>
      <w:r w:rsidR="00001088">
        <w:t xml:space="preserve">after drilling </w:t>
      </w:r>
      <w:r>
        <w:t>(</w:t>
      </w:r>
      <m:oMath>
        <m:r>
          <w:rPr>
            <w:rFonts w:ascii="Cambria Math" w:hAnsi="Cambria Math"/>
          </w:rPr>
          <m:t>Pos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i,t</m:t>
            </m:r>
          </m:sub>
        </m:sSub>
        <m:r>
          <w:rPr>
            <w:rFonts w:ascii="Cambria Math" w:hAnsi="Cambria Math"/>
          </w:rPr>
          <m:t>=1</m:t>
        </m:r>
      </m:oMath>
      <w:r>
        <w:t>)</w:t>
      </w:r>
      <w:r w:rsidR="001E30D5">
        <w:t xml:space="preserve"> or </w:t>
      </w:r>
      <w:r w:rsidR="00E86CF0">
        <w:t>before drilling (</w:t>
      </w:r>
      <m:oMath>
        <m:r>
          <w:rPr>
            <w:rFonts w:ascii="Cambria Math" w:hAnsi="Cambria Math"/>
          </w:rPr>
          <m:t>Pos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i,t</m:t>
            </m:r>
          </m:sub>
        </m:sSub>
      </m:oMath>
      <w:r w:rsidR="00E86CF0">
        <w:t>=0)</w:t>
      </w:r>
      <w:r w:rsidR="00AF2F7C"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Trt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is a binary variable indicating whether the beneficiary lives in a treatment community</w:t>
      </w:r>
      <w:r w:rsidR="00E86CF0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Trt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=1</m:t>
        </m:r>
      </m:oMath>
      <w:r w:rsidR="00E86CF0">
        <w:t>) or comparison community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Trt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 w:rsidR="00E86CF0">
        <w:t>)</w:t>
      </w:r>
      <w:r w:rsidR="00AF2F7C">
        <w:t>, and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5419A6">
        <w:t xml:space="preserve"> </w:t>
      </w:r>
      <w:r w:rsidR="00BB0A0D">
        <w:t>i</w:t>
      </w:r>
      <w:r w:rsidR="00947E9C">
        <w:t>s the</w:t>
      </w:r>
      <w:r w:rsidR="00803A68">
        <w:t xml:space="preserve"> </w:t>
      </w:r>
      <w:r w:rsidR="00803A68">
        <w:lastRenderedPageBreak/>
        <w:t xml:space="preserve">coefficient of </w:t>
      </w:r>
      <w:r w:rsidR="00AF2F7C">
        <w:t xml:space="preserve">the </w:t>
      </w:r>
      <w:r w:rsidR="005419A6">
        <w:t xml:space="preserve">two-way </w:t>
      </w:r>
      <w:r w:rsidR="00803A68">
        <w:t xml:space="preserve">interaction term </w:t>
      </w:r>
      <w:r>
        <w:t xml:space="preserve">between treatment </w:t>
      </w:r>
      <w:r w:rsidR="00691EF7">
        <w:t>and</w:t>
      </w:r>
      <w:r>
        <w:t xml:space="preserve"> pre-</w:t>
      </w:r>
      <w:r w:rsidR="00AF2F7C">
        <w:t xml:space="preserve"> </w:t>
      </w:r>
      <w:r>
        <w:t>or</w:t>
      </w:r>
      <w:r w:rsidR="00AF2F7C">
        <w:t xml:space="preserve"> </w:t>
      </w:r>
      <w:r>
        <w:t>post</w:t>
      </w:r>
      <w:r w:rsidR="00AF2F7C">
        <w:t>-</w:t>
      </w:r>
      <w:r>
        <w:t>intervention</w:t>
      </w:r>
      <w:r w:rsidR="00947E9C">
        <w:t>. The</w:t>
      </w:r>
      <w:r w:rsidR="00803A68">
        <w:t xml:space="preserve"> estimation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947E9C">
        <w:t xml:space="preserve"> </w:t>
      </w:r>
      <w:r w:rsidR="006D18EB">
        <w:t>identifies</w:t>
      </w:r>
      <w:r w:rsidR="0090322E">
        <w:t xml:space="preserve"> the pre-post difference in the risk of </w:t>
      </w:r>
      <w:r w:rsidR="0090322E" w:rsidRPr="002C60EE">
        <w:t xml:space="preserve">death for the treated communities </w:t>
      </w:r>
      <w:r w:rsidR="0090322E">
        <w:t>minus</w:t>
      </w:r>
      <w:r w:rsidR="0090322E" w:rsidRPr="002C60EE">
        <w:t xml:space="preserve"> the pre-post </w:t>
      </w:r>
      <w:r w:rsidR="0090322E">
        <w:t xml:space="preserve">difference in the risk of death </w:t>
      </w:r>
      <w:r w:rsidR="0090322E" w:rsidRPr="002C60EE">
        <w:t>for the co</w:t>
      </w:r>
      <w:r w:rsidR="0090322E">
        <w:t>mparison</w:t>
      </w:r>
      <w:r w:rsidR="0090322E" w:rsidRPr="002C60EE">
        <w:t xml:space="preserve"> communities</w:t>
      </w:r>
      <w:r w:rsidR="0090322E">
        <w:t xml:space="preserve">. </w:t>
      </w:r>
      <m:oMath>
        <m:sSub>
          <m:sSubPr>
            <m:ctrlPr>
              <w:rPr>
                <w:rFonts w:ascii="Cambria Math" w:eastAsia="SimSun" w:hAnsi="Cambria Math" w:cs="Times New Roman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i,t</m:t>
            </m:r>
          </m:sub>
        </m:sSub>
      </m:oMath>
      <w:r w:rsidR="00803A68">
        <w:t xml:space="preserve"> is a vector of </w:t>
      </w:r>
      <w:r w:rsidR="00AF2F7C">
        <w:t xml:space="preserve">the </w:t>
      </w:r>
      <w:r w:rsidR="00803A68">
        <w:t xml:space="preserve">time-variant individual and ZIP </w:t>
      </w:r>
      <w:r w:rsidR="00AF2F7C">
        <w:t>c</w:t>
      </w:r>
      <w:r w:rsidR="00803A68">
        <w:t xml:space="preserve">ode-level </w:t>
      </w:r>
      <w:r w:rsidR="00A53C58">
        <w:t>covariates</w:t>
      </w:r>
      <w:r w:rsidR="00803A68">
        <w:t xml:space="preserve"> including </w:t>
      </w:r>
      <w:r>
        <w:t>age, dual eligibility for Medicaid, PM</w:t>
      </w:r>
      <w:r w:rsidRPr="00AC3B64">
        <w:rPr>
          <w:vertAlign w:val="subscript"/>
        </w:rPr>
        <w:t xml:space="preserve">2.5 </w:t>
      </w:r>
      <w:r>
        <w:t>concentration</w:t>
      </w:r>
      <w:r w:rsidR="00803A68">
        <w:t xml:space="preserve">, </w:t>
      </w:r>
      <w:r w:rsidR="00C675A9">
        <w:t xml:space="preserve">annual </w:t>
      </w:r>
      <w:r w:rsidR="00803A68">
        <w:t>highest monthly average temperature, poverty rate, smoking rate</w:t>
      </w:r>
      <w:r w:rsidR="00AF2F7C">
        <w:t>,</w:t>
      </w:r>
      <w:r w:rsidR="00803A68">
        <w:t xml:space="preserve"> and </w:t>
      </w:r>
      <w:r w:rsidR="00E01C8F">
        <w:t>body mass index (</w:t>
      </w:r>
      <w:r w:rsidR="00803A68">
        <w:t>BMI</w:t>
      </w:r>
      <w:r w:rsidR="00E01C8F">
        <w:t>)</w:t>
      </w:r>
      <w:r>
        <w:t>.</w:t>
      </w:r>
      <w:r w:rsidR="000117C6">
        <w:t xml:space="preserve"> </w:t>
      </w:r>
      <w:r w:rsidR="000117C6">
        <w:rPr>
          <w:rFonts w:cs="Times New Roman"/>
        </w:rPr>
        <w:t>A cluster-robust sandwich estimator was used to account for the serial autocorrelation between repeated within-person measurements</w:t>
      </w:r>
      <w:r w:rsidR="00AF2F7C">
        <w:rPr>
          <w:rFonts w:cs="Times New Roman"/>
        </w:rPr>
        <w:t>.</w:t>
      </w:r>
    </w:p>
    <w:p w14:paraId="66CE7197" w14:textId="71A65C0C" w:rsidR="00AE0720" w:rsidRDefault="00AE0720" w:rsidP="00AE0720">
      <w:r>
        <w:t xml:space="preserve">The point estimate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9668CA">
        <w:t xml:space="preserve"> </w:t>
      </w:r>
      <w:r w:rsidR="002B2822">
        <w:t>is</w:t>
      </w:r>
      <w:r>
        <w:t xml:space="preserve"> </w:t>
      </w:r>
      <w:r w:rsidRPr="00E35553">
        <w:t>0</w:t>
      </w:r>
      <w:r>
        <w:t>.</w:t>
      </w:r>
      <w:r w:rsidR="00803A68">
        <w:t>19</w:t>
      </w:r>
      <w:r>
        <w:t>% (95% CI: 0.1</w:t>
      </w:r>
      <w:r w:rsidR="00803A68">
        <w:t>2</w:t>
      </w:r>
      <w:r>
        <w:t>%-0.</w:t>
      </w:r>
      <w:r w:rsidR="001711BC">
        <w:t>27</w:t>
      </w:r>
      <w:r>
        <w:t xml:space="preserve">%, p-value </w:t>
      </w:r>
      <w:r w:rsidR="009A51A8">
        <w:t xml:space="preserve">&lt; </w:t>
      </w:r>
      <w:r w:rsidR="008D088F">
        <w:t>1</w:t>
      </w:r>
      <w:r w:rsidR="009A51A8">
        <w:rPr>
          <w:rFonts w:cs="Times New Roman"/>
        </w:rPr>
        <w:t>×</w:t>
      </w:r>
      <w:r w:rsidR="009A51A8">
        <w:t>10</w:t>
      </w:r>
      <w:r w:rsidR="009A51A8" w:rsidRPr="009A51A8">
        <w:rPr>
          <w:vertAlign w:val="superscript"/>
        </w:rPr>
        <w:t>-</w:t>
      </w:r>
      <w:r w:rsidR="0030548D">
        <w:rPr>
          <w:vertAlign w:val="superscript"/>
        </w:rPr>
        <w:t>16</w:t>
      </w:r>
      <w:r>
        <w:t xml:space="preserve">), </w:t>
      </w:r>
      <w:r w:rsidR="00CE774E" w:rsidRPr="00CE774E">
        <w:t>suggesting the interaction term is statistically significant</w:t>
      </w:r>
      <w:r w:rsidR="0030548D">
        <w:t>ly</w:t>
      </w:r>
      <w:r w:rsidR="00CE774E" w:rsidRPr="00CE774E">
        <w:t xml:space="preserve"> </w:t>
      </w:r>
      <w:r w:rsidR="0030548D">
        <w:t>greater</w:t>
      </w:r>
      <w:r w:rsidR="00CE774E" w:rsidRPr="00CE774E">
        <w:t xml:space="preserve"> </w:t>
      </w:r>
      <w:r w:rsidR="0030548D">
        <w:t>than</w:t>
      </w:r>
      <w:r w:rsidR="00CE774E" w:rsidRPr="00CE774E">
        <w:t xml:space="preserve"> zero.</w:t>
      </w:r>
      <w:r w:rsidR="00CE774E">
        <w:t xml:space="preserve"> </w:t>
      </w:r>
      <w:r>
        <w:t>Specifically, t</w:t>
      </w:r>
      <w:r w:rsidRPr="002C60EE">
        <w:t xml:space="preserve">he pre-post change in the </w:t>
      </w:r>
      <w:r w:rsidR="00EA26C4">
        <w:t>likelihood</w:t>
      </w:r>
      <w:r w:rsidRPr="002C60EE">
        <w:t xml:space="preserve"> of death for the treated communities is 0.</w:t>
      </w:r>
      <w:r w:rsidR="00EA26C4">
        <w:t>19</w:t>
      </w:r>
      <w:r w:rsidRPr="002C60EE">
        <w:t xml:space="preserve">% higher than the pre-post change in the </w:t>
      </w:r>
      <w:r w:rsidR="00EA26C4">
        <w:t xml:space="preserve">likelihood </w:t>
      </w:r>
      <w:r w:rsidRPr="002C60EE">
        <w:t>of death for the co</w:t>
      </w:r>
      <w:r w:rsidR="00EA26C4">
        <w:t>mparison</w:t>
      </w:r>
      <w:r w:rsidRPr="002C60EE">
        <w:t xml:space="preserve"> communities</w:t>
      </w:r>
      <w:r>
        <w:t xml:space="preserve">. </w:t>
      </w:r>
      <w:r w:rsidR="00BF3F52">
        <w:rPr>
          <w:color w:val="000000"/>
        </w:rPr>
        <w:t xml:space="preserve">This means that, </w:t>
      </w:r>
      <w:r w:rsidR="000514E6">
        <w:rPr>
          <w:color w:val="3C4043"/>
          <w:shd w:val="clear" w:color="auto" w:fill="FFFFFF"/>
        </w:rPr>
        <w:t>during</w:t>
      </w:r>
      <w:r w:rsidR="00BF3F52">
        <w:rPr>
          <w:color w:val="3C4043"/>
          <w:shd w:val="clear" w:color="auto" w:fill="FFFFFF"/>
        </w:rPr>
        <w:t xml:space="preserve"> </w:t>
      </w:r>
      <w:r w:rsidR="00AF2F7C">
        <w:rPr>
          <w:color w:val="3C4043"/>
          <w:shd w:val="clear" w:color="auto" w:fill="FFFFFF"/>
        </w:rPr>
        <w:t xml:space="preserve">the </w:t>
      </w:r>
      <w:r w:rsidR="00BF3F52">
        <w:rPr>
          <w:color w:val="3C4043"/>
          <w:shd w:val="clear" w:color="auto" w:fill="FFFFFF"/>
        </w:rPr>
        <w:t>post</w:t>
      </w:r>
      <w:r w:rsidR="000514E6">
        <w:rPr>
          <w:color w:val="3C4043"/>
          <w:shd w:val="clear" w:color="auto" w:fill="FFFFFF"/>
        </w:rPr>
        <w:t>-</w:t>
      </w:r>
      <w:r w:rsidR="00BF3F52">
        <w:rPr>
          <w:color w:val="3C4043"/>
          <w:shd w:val="clear" w:color="auto" w:fill="FFFFFF"/>
        </w:rPr>
        <w:t>drilling period,</w:t>
      </w:r>
      <w:r w:rsidR="00BF3F52">
        <w:rPr>
          <w:color w:val="000000"/>
        </w:rPr>
        <w:t xml:space="preserve"> </w:t>
      </w:r>
      <w:r w:rsidR="00BF3F52">
        <w:rPr>
          <w:color w:val="3C4043"/>
          <w:shd w:val="clear" w:color="auto" w:fill="FFFFFF"/>
        </w:rPr>
        <w:t xml:space="preserve">living in a community with high/medium-high </w:t>
      </w:r>
      <w:r w:rsidR="00345ACA">
        <w:rPr>
          <w:color w:val="3C4043"/>
          <w:shd w:val="clear" w:color="auto" w:fill="FFFFFF"/>
        </w:rPr>
        <w:t>PE</w:t>
      </w:r>
      <w:r w:rsidR="00BF3F52">
        <w:rPr>
          <w:color w:val="3C4043"/>
          <w:shd w:val="clear" w:color="auto" w:fill="FFFFFF"/>
        </w:rPr>
        <w:t xml:space="preserve"> leads to a significant increase in the likelihood of death compared </w:t>
      </w:r>
      <w:r w:rsidR="00AF2F7C">
        <w:rPr>
          <w:color w:val="3C4043"/>
          <w:shd w:val="clear" w:color="auto" w:fill="FFFFFF"/>
        </w:rPr>
        <w:t xml:space="preserve">living in a community with </w:t>
      </w:r>
      <w:r w:rsidR="00BF3F52">
        <w:rPr>
          <w:color w:val="3C4043"/>
          <w:shd w:val="clear" w:color="auto" w:fill="FFFFFF"/>
        </w:rPr>
        <w:t xml:space="preserve">medium/medium-low </w:t>
      </w:r>
      <w:r w:rsidR="00345ACA">
        <w:rPr>
          <w:color w:val="3C4043"/>
          <w:shd w:val="clear" w:color="auto" w:fill="FFFFFF"/>
        </w:rPr>
        <w:t>PE</w:t>
      </w:r>
      <w:r w:rsidR="00381E4C">
        <w:rPr>
          <w:color w:val="3C4043"/>
          <w:shd w:val="clear" w:color="auto" w:fill="FFFFFF"/>
        </w:rPr>
        <w:t xml:space="preserve">. </w:t>
      </w:r>
      <w:r>
        <w:t xml:space="preserve">The results of the DiD are consistent with the results reported </w:t>
      </w:r>
      <w:r w:rsidR="00E01C8F">
        <w:t xml:space="preserve">with </w:t>
      </w:r>
      <w:r>
        <w:t>Model I.</w:t>
      </w:r>
    </w:p>
    <w:p w14:paraId="18E8AC43" w14:textId="74EC95F1" w:rsidR="00AE0720" w:rsidRDefault="00AE0720" w:rsidP="00AE0720">
      <w:r>
        <w:t xml:space="preserve">We then fitted a </w:t>
      </w:r>
      <w:r w:rsidR="002C4685">
        <w:t>Difference</w:t>
      </w:r>
      <w:r w:rsidR="00A87E63">
        <w:t xml:space="preserve">-in-Difference-in-Differences </w:t>
      </w:r>
      <w:r>
        <w:t>(</w:t>
      </w:r>
      <w:r w:rsidR="002C4685">
        <w:t xml:space="preserve">DDD, </w:t>
      </w:r>
      <w:r>
        <w:t xml:space="preserve">also referred to as triple difference) model to estimate the wind-dependent difference in mortality risks associated with UOGD activities. The definitions of “treatment” and “intervention” are identical </w:t>
      </w:r>
      <w:r w:rsidR="002B2A14">
        <w:t xml:space="preserve">to </w:t>
      </w:r>
      <w:r w:rsidR="00E01C8F">
        <w:t xml:space="preserve">the </w:t>
      </w:r>
      <w:r w:rsidR="002B2A14">
        <w:t xml:space="preserve">ones </w:t>
      </w:r>
      <w:r w:rsidR="00E01C8F">
        <w:t>used for the</w:t>
      </w:r>
      <w:r w:rsidR="002B2A14">
        <w:t xml:space="preserve"> </w:t>
      </w:r>
      <w:r>
        <w:t>DiD analysis</w:t>
      </w:r>
      <w:r w:rsidR="00210BD9">
        <w:t xml:space="preserve"> (Analysis Set II)</w:t>
      </w:r>
      <w:r>
        <w:t xml:space="preserve">. </w:t>
      </w:r>
      <w:bookmarkStart w:id="2" w:name="_Hlk86927102"/>
      <w:r>
        <w:t>Moreover, a</w:t>
      </w:r>
      <w:r w:rsidR="00AD0DA2">
        <w:t>n</w:t>
      </w:r>
      <w:r>
        <w:t xml:space="preserve"> </w:t>
      </w:r>
      <w:r w:rsidRPr="001F39DC">
        <w:rPr>
          <w:b/>
          <w:bCs/>
          <w:i/>
          <w:iCs/>
        </w:rPr>
        <w:t>“upwind” (DE</w:t>
      </w:r>
      <w:r w:rsidRPr="001F39DC">
        <w:rPr>
          <w:b/>
          <w:bCs/>
          <w:i/>
          <w:iCs/>
          <w:vertAlign w:val="superscript"/>
        </w:rPr>
        <w:t>+</w:t>
      </w:r>
      <w:r w:rsidRPr="001F39DC">
        <w:rPr>
          <w:b/>
          <w:bCs/>
          <w:i/>
          <w:iCs/>
        </w:rPr>
        <w:t>)</w:t>
      </w:r>
      <w:r>
        <w:t xml:space="preserve"> community is a ZIP </w:t>
      </w:r>
      <w:r w:rsidR="00D843ED">
        <w:t>c</w:t>
      </w:r>
      <w:r>
        <w:t>ode</w:t>
      </w:r>
      <w:r w:rsidR="00AD0DA2">
        <w:t xml:space="preserve"> </w:t>
      </w:r>
      <w:r w:rsidR="00C53418">
        <w:t>with</w:t>
      </w:r>
      <w:r>
        <w:t xml:space="preserve"> </w:t>
      </w:r>
      <w:r w:rsidR="00AD0DA2">
        <w:t xml:space="preserve">more than </w:t>
      </w:r>
      <w:r>
        <w:t>50% PE contributed by upwind wells</w:t>
      </w:r>
      <w:r w:rsidR="00AD0DA2">
        <w:t xml:space="preserve"> and</w:t>
      </w:r>
      <w:r>
        <w:t xml:space="preserve"> a </w:t>
      </w:r>
      <w:r w:rsidRPr="001F39DC">
        <w:rPr>
          <w:b/>
          <w:bCs/>
          <w:i/>
          <w:iCs/>
        </w:rPr>
        <w:t>“downwind” (DE</w:t>
      </w:r>
      <w:r w:rsidRPr="001F39DC">
        <w:rPr>
          <w:b/>
          <w:bCs/>
          <w:i/>
          <w:iCs/>
          <w:vertAlign w:val="superscript"/>
        </w:rPr>
        <w:t>-</w:t>
      </w:r>
      <w:r w:rsidRPr="001F39DC">
        <w:rPr>
          <w:b/>
          <w:bCs/>
          <w:i/>
          <w:iCs/>
        </w:rPr>
        <w:t>)</w:t>
      </w:r>
      <w:r>
        <w:rPr>
          <w:b/>
          <w:bCs/>
          <w:i/>
          <w:iCs/>
        </w:rPr>
        <w:t xml:space="preserve"> </w:t>
      </w:r>
      <w:r>
        <w:t xml:space="preserve">community is a ZIP </w:t>
      </w:r>
      <w:r w:rsidR="001428C2">
        <w:t>c</w:t>
      </w:r>
      <w:r>
        <w:t>ode</w:t>
      </w:r>
      <w:r w:rsidR="00AD0DA2">
        <w:t xml:space="preserve"> </w:t>
      </w:r>
      <w:r w:rsidR="00C53418">
        <w:t>with</w:t>
      </w:r>
      <w:r>
        <w:t xml:space="preserve"> </w:t>
      </w:r>
      <w:r w:rsidR="00C53418">
        <w:t xml:space="preserve">more than </w:t>
      </w:r>
      <w:r>
        <w:t>50% PE contributed by downwind wells.</w:t>
      </w:r>
      <w:bookmarkEnd w:id="2"/>
    </w:p>
    <w:p w14:paraId="31254A3A" w14:textId="17806C56" w:rsidR="00AE0720" w:rsidRDefault="00AE0720" w:rsidP="00AE0720">
      <w:r>
        <w:t xml:space="preserve">We used a similar </w:t>
      </w:r>
      <w:r w:rsidR="00622501">
        <w:t>linear regression</w:t>
      </w:r>
      <w:r>
        <w:t xml:space="preserve"> model with additional interaction terms for the wind direction using the following formula:</w:t>
      </w:r>
    </w:p>
    <w:p w14:paraId="7E9D5C46" w14:textId="1C5F2EDB" w:rsidR="00AE0720" w:rsidRDefault="00A4159C" w:rsidP="00AE0720">
      <m:oMathPara>
        <m:oMath>
          <m:sSub>
            <m:sSubPr>
              <m:ctrlPr>
                <w:rPr>
                  <w:rFonts w:ascii="Cambria Math" w:eastAsia="SimSun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i,t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="SimSun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="SimSun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Pos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i,t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Trt</m:t>
              </m:r>
            </m:e>
            <m:sub>
              <m:r>
                <w:rPr>
                  <w:rFonts w:ascii="Cambria Math" w:hAnsi="Cambria Math"/>
                </w:rPr>
                <m:t>i,t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Up</m:t>
              </m:r>
            </m:e>
            <m:sub>
              <m:r>
                <w:rPr>
                  <w:rFonts w:ascii="Cambria Math" w:hAnsi="Cambria Math"/>
                </w:rPr>
                <m:t>i,t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(Pos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i,t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Trt</m:t>
              </m:r>
            </m:e>
            <m:sub>
              <m:r>
                <w:rPr>
                  <w:rFonts w:ascii="Cambria Math" w:hAnsi="Cambria Math"/>
                </w:rPr>
                <m:t>i,t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(Pos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i,t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Up</m:t>
              </m:r>
            </m:e>
            <m:sub>
              <m:r>
                <w:rPr>
                  <w:rFonts w:ascii="Cambria Math" w:hAnsi="Cambria Math"/>
                </w:rPr>
                <m:t xml:space="preserve">i,t    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(Trt</m:t>
              </m:r>
            </m:e>
            <m:sub>
              <m:r>
                <w:rPr>
                  <w:rFonts w:ascii="Cambria Math" w:hAnsi="Cambria Math"/>
                </w:rPr>
                <m:t>i,t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Up</m:t>
              </m:r>
            </m:e>
            <m:sub>
              <m:r>
                <w:rPr>
                  <w:rFonts w:ascii="Cambria Math" w:hAnsi="Cambria Math"/>
                </w:rPr>
                <m:t>i,t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Trt</m:t>
              </m:r>
            </m:e>
            <m:sub>
              <m:r>
                <w:rPr>
                  <w:rFonts w:ascii="Cambria Math" w:hAnsi="Cambria Math"/>
                </w:rPr>
                <m:t>i,t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Up</m:t>
              </m:r>
            </m:e>
            <m:sub>
              <m:r>
                <w:rPr>
                  <w:rFonts w:ascii="Cambria Math" w:hAnsi="Cambria Math"/>
                </w:rPr>
                <m:t>i,t</m:t>
              </m:r>
            </m:sub>
          </m:sSub>
          <m:r>
            <w:rPr>
              <w:rFonts w:ascii="Cambria Math" w:hAnsi="Cambria Math"/>
            </w:rPr>
            <m:t>×Pos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i,t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i,t</m:t>
              </m:r>
            </m:sub>
          </m:sSub>
          <m:r>
            <w:rPr>
              <w:rFonts w:ascii="Cambria Math" w:hAnsi="Cambria Math"/>
            </w:rPr>
            <m:t>δ+</m:t>
          </m:r>
          <m:sSub>
            <m:sSubPr>
              <m:ctrlPr>
                <w:rPr>
                  <w:rFonts w:ascii="Cambria Math" w:eastAsia="SimSun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i,t</m:t>
              </m:r>
            </m:sub>
          </m:sSub>
        </m:oMath>
      </m:oMathPara>
    </w:p>
    <w:p w14:paraId="7940CFCF" w14:textId="77777777" w:rsidR="00A20A50" w:rsidRDefault="00AE0720" w:rsidP="00AE0720">
      <w:pPr>
        <w:rPr>
          <w:rFonts w:cs="Times New Roman"/>
        </w:rPr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Up</m:t>
            </m:r>
          </m:e>
          <m:sub>
            <m:r>
              <w:rPr>
                <w:rFonts w:ascii="Cambria Math" w:hAnsi="Cambria Math"/>
              </w:rPr>
              <m:t>i,t</m:t>
            </m:r>
          </m:sub>
        </m:sSub>
      </m:oMath>
      <w:r>
        <w:t xml:space="preserve"> is a binary variable </w:t>
      </w:r>
      <w:r w:rsidR="00F51EC9">
        <w:t>denoting</w:t>
      </w:r>
      <w:r>
        <w:t xml:space="preserve"> whether a </w:t>
      </w:r>
      <w:r w:rsidR="004D349A">
        <w:t>subject</w:t>
      </w:r>
      <w:r>
        <w:t xml:space="preserve"> lives in a community downwind or upwind of UOGD activities</w:t>
      </w:r>
      <w:r w:rsidR="004D349A">
        <w:t xml:space="preserve"> in calendar year </w:t>
      </w:r>
      <w:r w:rsidR="004D349A" w:rsidRPr="00020995">
        <w:rPr>
          <w:i/>
          <w:iCs/>
        </w:rPr>
        <w:t>t</w:t>
      </w:r>
      <w:r>
        <w:t>.</w:t>
      </w:r>
      <w:r w:rsidR="00EA26C4">
        <w:t xml:space="preserve"> </w:t>
      </w:r>
      <w:r w:rsidR="0006377F">
        <w:t>T</w:t>
      </w:r>
      <w:r w:rsidR="00EA26C4">
        <w:t xml:space="preserve">he coefficient of the three-way interaction term </w:t>
      </w:r>
      <w:r w:rsidR="00F51EC9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 w:rsidR="00F51EC9">
        <w:t xml:space="preserve">) </w:t>
      </w:r>
      <w:r w:rsidR="0006377F">
        <w:t>is used as</w:t>
      </w:r>
      <w:r w:rsidR="00EA26C4">
        <w:t xml:space="preserve"> our DDD estimator</w:t>
      </w:r>
      <w:r w:rsidR="00B96741">
        <w:t xml:space="preserve"> of interest</w:t>
      </w:r>
      <w:r w:rsidR="00EA26C4">
        <w:t xml:space="preserve">. </w:t>
      </w:r>
      <w:r w:rsidR="00A20A50">
        <w:rPr>
          <w:rFonts w:cs="Times New Roman"/>
        </w:rPr>
        <w:t>A cluster-robust sandwich estimator was used to account for the serial autocorrelation between repeated within-person measurements.</w:t>
      </w:r>
    </w:p>
    <w:p w14:paraId="24C46956" w14:textId="6FFD2605" w:rsidR="003342B4" w:rsidRPr="00F765C9" w:rsidRDefault="00AE0720" w:rsidP="00F765C9">
      <w:r>
        <w:t xml:space="preserve">The point estimate </w:t>
      </w:r>
      <w:r w:rsidR="00B96741">
        <w:t xml:space="preserve">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 w:rsidR="00B96741">
        <w:t xml:space="preserve"> </w:t>
      </w:r>
      <w:r w:rsidR="003F57EB">
        <w:t>wa</w:t>
      </w:r>
      <w:r>
        <w:t>s 0.</w:t>
      </w:r>
      <w:r w:rsidR="00EA26C4">
        <w:t>68</w:t>
      </w:r>
      <w:r>
        <w:t>% (95% CI: 0.</w:t>
      </w:r>
      <w:r w:rsidR="00EA26C4">
        <w:t>53</w:t>
      </w:r>
      <w:r>
        <w:t>%-0.</w:t>
      </w:r>
      <w:r w:rsidR="00EA26C4">
        <w:t>83</w:t>
      </w:r>
      <w:r>
        <w:t>%, p-value&lt;</w:t>
      </w:r>
      <w:r w:rsidR="008D088F">
        <w:t>1</w:t>
      </w:r>
      <w:r w:rsidR="008D088F">
        <w:rPr>
          <w:rFonts w:cs="Times New Roman"/>
        </w:rPr>
        <w:t>×</w:t>
      </w:r>
      <w:r w:rsidR="008D088F">
        <w:t>10</w:t>
      </w:r>
      <w:r w:rsidR="008D088F" w:rsidRPr="009A51A8">
        <w:rPr>
          <w:vertAlign w:val="superscript"/>
        </w:rPr>
        <w:t>-</w:t>
      </w:r>
      <w:r w:rsidR="008D088F">
        <w:rPr>
          <w:vertAlign w:val="superscript"/>
        </w:rPr>
        <w:t>16</w:t>
      </w:r>
      <w:r>
        <w:t xml:space="preserve">), </w:t>
      </w:r>
      <w:r w:rsidR="00F66950">
        <w:t>indicating</w:t>
      </w:r>
      <w:r>
        <w:t xml:space="preserve"> a statistically significant three-way interaction. Specifically, </w:t>
      </w:r>
      <w:r w:rsidR="006A2248">
        <w:t xml:space="preserve">this means </w:t>
      </w:r>
      <w:r>
        <w:t>th</w:t>
      </w:r>
      <w:r w:rsidR="00F66950">
        <w:t>at</w:t>
      </w:r>
      <w:r>
        <w:t xml:space="preserve"> </w:t>
      </w:r>
      <w:r w:rsidR="003F57EB">
        <w:t xml:space="preserve">the </w:t>
      </w:r>
      <w:r>
        <w:t>DiD estimation</w:t>
      </w:r>
      <w:r w:rsidR="003F57EB">
        <w:t xml:space="preserve"> of risk</w:t>
      </w:r>
      <w:r>
        <w:t xml:space="preserve"> in communities mostly downwind of UOGD activities is greater than th</w:t>
      </w:r>
      <w:r w:rsidR="003F57EB">
        <w:t>e</w:t>
      </w:r>
      <w:r>
        <w:t xml:space="preserve"> DiD estimation </w:t>
      </w:r>
      <w:r w:rsidR="003F57EB">
        <w:t xml:space="preserve">of risk </w:t>
      </w:r>
      <w:r>
        <w:t xml:space="preserve">in communities mostly upwind of UOGD activities. </w:t>
      </w:r>
      <w:r w:rsidRPr="008336B4">
        <w:t xml:space="preserve">The results of the DDD are consistent with the results reported </w:t>
      </w:r>
      <w:r w:rsidR="00B2376F">
        <w:t>using</w:t>
      </w:r>
      <w:r w:rsidR="00B2376F" w:rsidRPr="008336B4">
        <w:t xml:space="preserve"> </w:t>
      </w:r>
      <w:r w:rsidRPr="008336B4">
        <w:t>Model II</w:t>
      </w:r>
      <w:r>
        <w:t>.</w:t>
      </w:r>
      <w:r w:rsidR="00C5186C">
        <w:rPr>
          <w:rFonts w:eastAsiaTheme="majorEastAsia" w:cstheme="majorBidi"/>
          <w:b/>
          <w:szCs w:val="26"/>
        </w:rPr>
        <w:br w:type="page"/>
      </w:r>
    </w:p>
    <w:p w14:paraId="1BC6B3BF" w14:textId="386BA17E" w:rsidR="009E539D" w:rsidRPr="009E539D" w:rsidRDefault="00536E5A" w:rsidP="009E539D">
      <w:pPr>
        <w:pStyle w:val="Heading2"/>
        <w:rPr>
          <w:rFonts w:eastAsia="Times New Roman" w:cs="Times New Roman"/>
        </w:rPr>
      </w:pPr>
      <w:r>
        <w:rPr>
          <w:noProof/>
        </w:rPr>
        <w:lastRenderedPageBreak/>
        <w:t>Supplementary Note 9</w:t>
      </w:r>
      <w:r w:rsidR="0050365A">
        <w:rPr>
          <w:noProof/>
        </w:rPr>
        <w:t xml:space="preserve">. </w:t>
      </w:r>
      <w:r w:rsidR="009E539D">
        <w:rPr>
          <w:color w:val="000000"/>
          <w:szCs w:val="24"/>
        </w:rPr>
        <w:t>Testing the assumption of parallel pre-drilling mortality trends of DiD analysis</w:t>
      </w:r>
    </w:p>
    <w:p w14:paraId="5F330764" w14:textId="6D4D3726" w:rsidR="00D5289E" w:rsidRPr="0050365A" w:rsidRDefault="0012643B" w:rsidP="007C750A">
      <w:pPr>
        <w:rPr>
          <w:noProof/>
        </w:rPr>
      </w:pPr>
      <w:r>
        <w:rPr>
          <w:color w:val="000000"/>
        </w:rPr>
        <w:t>We conducted an event</w:t>
      </w:r>
      <w:r w:rsidR="00B2376F">
        <w:rPr>
          <w:color w:val="000000"/>
        </w:rPr>
        <w:t>-</w:t>
      </w:r>
      <w:r>
        <w:rPr>
          <w:color w:val="000000"/>
        </w:rPr>
        <w:t>study regression to assess the plausibility of parallel trends assumption in mortality rates between the treatment and the control communities before the intervention (i.e.</w:t>
      </w:r>
      <w:r w:rsidR="00B2376F">
        <w:rPr>
          <w:color w:val="000000"/>
        </w:rPr>
        <w:t>,</w:t>
      </w:r>
      <w:r>
        <w:rPr>
          <w:color w:val="000000"/>
        </w:rPr>
        <w:t xml:space="preserve"> before drilling).</w:t>
      </w:r>
      <w:r w:rsidR="00F66950">
        <w:rPr>
          <w:color w:val="000000"/>
        </w:rPr>
        <w:t xml:space="preserve"> </w:t>
      </w:r>
      <w:r w:rsidR="0028450A">
        <w:rPr>
          <w:noProof/>
        </w:rPr>
        <w:t xml:space="preserve">The results are shown in </w:t>
      </w:r>
      <w:r w:rsidR="002A4BF5">
        <w:rPr>
          <w:noProof/>
        </w:rPr>
        <w:t xml:space="preserve">Figure </w:t>
      </w:r>
      <w:r w:rsidR="00C443B2">
        <w:rPr>
          <w:noProof/>
        </w:rPr>
        <w:t>6</w:t>
      </w:r>
      <w:r w:rsidR="002A4BF5">
        <w:rPr>
          <w:noProof/>
        </w:rPr>
        <w:t>.</w:t>
      </w:r>
      <w:r w:rsidR="007C750A">
        <w:rPr>
          <w:noProof/>
        </w:rPr>
        <w:t xml:space="preserve"> </w:t>
      </w:r>
      <w:r w:rsidR="007C750A" w:rsidRPr="007C750A">
        <w:rPr>
          <w:noProof/>
        </w:rPr>
        <w:t xml:space="preserve">Specifically, </w:t>
      </w:r>
      <w:r w:rsidR="00160F1B">
        <w:rPr>
          <w:noProof/>
        </w:rPr>
        <w:t>we fitted an event-study regression</w:t>
      </w:r>
      <w:r w:rsidR="002C2BB1">
        <w:rPr>
          <w:noProof/>
        </w:rPr>
        <w:t>,</w:t>
      </w:r>
      <w:r w:rsidR="0050365A">
        <w:rPr>
          <w:noProof/>
        </w:rPr>
        <w:t xml:space="preserve"> which account</w:t>
      </w:r>
      <w:r w:rsidR="00B2376F">
        <w:rPr>
          <w:noProof/>
        </w:rPr>
        <w:t>s</w:t>
      </w:r>
      <w:r w:rsidR="0050365A">
        <w:rPr>
          <w:noProof/>
        </w:rPr>
        <w:t xml:space="preserve"> for the lags and leads of </w:t>
      </w:r>
      <w:r w:rsidR="00B2376F">
        <w:rPr>
          <w:noProof/>
        </w:rPr>
        <w:t xml:space="preserve">a </w:t>
      </w:r>
      <w:r w:rsidR="00586FBE">
        <w:rPr>
          <w:noProof/>
        </w:rPr>
        <w:t>drilling (intervention)</w:t>
      </w:r>
      <w:r w:rsidR="0050365A" w:rsidRPr="0050365A">
        <w:rPr>
          <w:noProof/>
        </w:rPr>
        <w:t xml:space="preserve"> event with the following formula:</w:t>
      </w:r>
    </w:p>
    <w:p w14:paraId="3A3B9F2C" w14:textId="5CC1A0F4" w:rsidR="0050365A" w:rsidRPr="0050365A" w:rsidRDefault="00A4159C" w:rsidP="0050365A">
      <m:oMathPara>
        <m:oMath>
          <m:sSub>
            <m:sSubPr>
              <m:ctrlPr>
                <w:rPr>
                  <w:rFonts w:ascii="Cambria Math" w:eastAsia="SimSun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i,t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="SimSun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="SimSun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="SimSun" w:hAnsi="Cambria Math" w:cs="Times New Roman"/>
                  <w:i/>
                </w:rPr>
              </m:ctrlPr>
            </m:sSubPr>
            <m:e>
              <m:r>
                <w:rPr>
                  <w:rFonts w:ascii="Cambria Math" w:eastAsia="SimSun" w:hAnsi="Cambria Math" w:cs="Times New Roman"/>
                </w:rPr>
                <m:t>β</m:t>
              </m:r>
            </m:e>
            <m:sub>
              <m:r>
                <w:rPr>
                  <w:rFonts w:ascii="Cambria Math" w:eastAsia="SimSun" w:hAnsi="Cambria Math" w:cs="Times New Roman"/>
                </w:rPr>
                <m:t>-4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(Trt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Post</m:t>
              </m:r>
            </m:e>
            <m:sub>
              <m:r>
                <w:rPr>
                  <w:rFonts w:ascii="Cambria Math" w:hAnsi="Cambria Math"/>
                </w:rPr>
                <m:t>i,t-4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eastAsia="SimSun" w:hAnsi="Cambria Math" w:cs="Times New Roman"/>
                  <w:i/>
                </w:rPr>
              </m:ctrlPr>
            </m:sSubPr>
            <m:e>
              <m:r>
                <w:rPr>
                  <w:rFonts w:ascii="Cambria Math" w:eastAsia="SimSun" w:hAnsi="Cambria Math" w:cs="Times New Roman"/>
                </w:rPr>
                <m:t>β</m:t>
              </m:r>
            </m:e>
            <m:sub>
              <m:r>
                <w:rPr>
                  <w:rFonts w:ascii="Cambria Math" w:eastAsia="SimSun" w:hAnsi="Cambria Math" w:cs="Times New Roman"/>
                </w:rPr>
                <m:t>-3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(Trt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Post</m:t>
              </m:r>
            </m:e>
            <m:sub>
              <m:r>
                <w:rPr>
                  <w:rFonts w:ascii="Cambria Math" w:hAnsi="Cambria Math"/>
                </w:rPr>
                <m:t>i,t-3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eastAsia="SimSun" w:hAnsi="Cambria Math" w:cs="Times New Roman"/>
                  <w:i/>
                </w:rPr>
              </m:ctrlPr>
            </m:sSubPr>
            <m:e>
              <m:r>
                <w:rPr>
                  <w:rFonts w:ascii="Cambria Math" w:eastAsia="SimSun" w:hAnsi="Cambria Math" w:cs="Times New Roman"/>
                </w:rPr>
                <m:t>β</m:t>
              </m:r>
            </m:e>
            <m:sub>
              <m:r>
                <w:rPr>
                  <w:rFonts w:ascii="Cambria Math" w:eastAsia="SimSun" w:hAnsi="Cambria Math" w:cs="Times New Roman"/>
                </w:rPr>
                <m:t>-2</m:t>
              </m:r>
            </m:sub>
          </m:sSub>
          <m:r>
            <w:rPr>
              <w:rFonts w:ascii="Cambria Math" w:eastAsia="SimSun" w:hAnsi="Cambria Math" w:cs="Times New Roman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Trt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Post</m:t>
              </m:r>
            </m:e>
            <m:sub>
              <m:r>
                <w:rPr>
                  <w:rFonts w:ascii="Cambria Math" w:hAnsi="Cambria Math"/>
                </w:rPr>
                <m:t>i,t-2</m:t>
              </m:r>
            </m:sub>
          </m:sSub>
          <m:r>
            <w:rPr>
              <w:rFonts w:ascii="Cambria Math" w:eastAsia="SimSun" w:hAnsi="Cambria Math" w:cs="Times New Roman"/>
            </w:rPr>
            <m:t>)+</m:t>
          </m:r>
          <m:sSub>
            <m:sSubPr>
              <m:ctrlPr>
                <w:rPr>
                  <w:rFonts w:ascii="Cambria Math" w:eastAsia="SimSun" w:hAnsi="Cambria Math" w:cs="Times New Roman"/>
                  <w:i/>
                </w:rPr>
              </m:ctrlPr>
            </m:sSubPr>
            <m:e>
              <m:r>
                <w:rPr>
                  <w:rFonts w:ascii="Cambria Math" w:eastAsia="SimSun" w:hAnsi="Cambria Math" w:cs="Times New Roman"/>
                </w:rPr>
                <m:t>β</m:t>
              </m:r>
            </m:e>
            <m:sub>
              <m:r>
                <w:rPr>
                  <w:rFonts w:ascii="Cambria Math" w:eastAsia="SimSun" w:hAnsi="Cambria Math" w:cs="Times New Roman"/>
                </w:rPr>
                <m:t>-1</m:t>
              </m:r>
            </m:sub>
          </m:sSub>
          <m:r>
            <w:rPr>
              <w:rFonts w:ascii="Cambria Math" w:eastAsia="SimSun" w:hAnsi="Cambria Math" w:cs="Times New Roman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Trt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Post</m:t>
              </m:r>
            </m:e>
            <m:sub>
              <m:r>
                <w:rPr>
                  <w:rFonts w:ascii="Cambria Math" w:hAnsi="Cambria Math"/>
                </w:rPr>
                <m:t>i,t-1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eastAsia="SimSun" w:hAnsi="Cambria Math" w:cs="Times New Roman"/>
                  <w:i/>
                </w:rPr>
              </m:ctrlPr>
            </m:sSubPr>
            <m:e>
              <m:r>
                <w:rPr>
                  <w:rFonts w:ascii="Cambria Math" w:eastAsia="SimSun" w:hAnsi="Cambria Math" w:cs="Times New Roman"/>
                </w:rPr>
                <m:t>β</m:t>
              </m:r>
            </m:e>
            <m:sub>
              <m:r>
                <w:rPr>
                  <w:rFonts w:ascii="Cambria Math" w:eastAsia="SimSun" w:hAnsi="Cambria Math" w:cs="Times New Roman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(Trt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Post</m:t>
              </m:r>
            </m:e>
            <m:sub>
              <m:r>
                <w:rPr>
                  <w:rFonts w:ascii="Cambria Math" w:hAnsi="Cambria Math"/>
                </w:rPr>
                <m:t>i,t+1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eastAsia="SimSun" w:hAnsi="Cambria Math" w:cs="Times New Roman"/>
                  <w:i/>
                </w:rPr>
              </m:ctrlPr>
            </m:sSubPr>
            <m:e>
              <m:r>
                <w:rPr>
                  <w:rFonts w:ascii="Cambria Math" w:eastAsia="SimSun" w:hAnsi="Cambria Math" w:cs="Times New Roman"/>
                </w:rPr>
                <m:t>β</m:t>
              </m:r>
            </m:e>
            <m:sub>
              <m:r>
                <w:rPr>
                  <w:rFonts w:ascii="Cambria Math" w:eastAsia="SimSun" w:hAnsi="Cambria Math" w:cs="Times New Roman"/>
                </w:rPr>
                <m:t>2</m:t>
              </m:r>
            </m:sub>
          </m:sSub>
          <m:r>
            <w:rPr>
              <w:rFonts w:ascii="Cambria Math" w:eastAsia="SimSun" w:hAnsi="Cambria Math" w:cs="Times New Roman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Trt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Post</m:t>
              </m:r>
            </m:e>
            <m:sub>
              <m:r>
                <w:rPr>
                  <w:rFonts w:ascii="Cambria Math" w:hAnsi="Cambria Math"/>
                </w:rPr>
                <m:t>i,t+2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eastAsia="SimSun" w:hAnsi="Cambria Math" w:cs="Times New Roman"/>
                  <w:i/>
                </w:rPr>
              </m:ctrlPr>
            </m:sSubPr>
            <m:e>
              <m:r>
                <w:rPr>
                  <w:rFonts w:ascii="Cambria Math" w:eastAsia="SimSun" w:hAnsi="Cambria Math" w:cs="Times New Roman"/>
                </w:rPr>
                <m:t>β</m:t>
              </m:r>
            </m:e>
            <m:sub>
              <m:r>
                <w:rPr>
                  <w:rFonts w:ascii="Cambria Math" w:eastAsia="SimSun" w:hAnsi="Cambria Math" w:cs="Times New Roman"/>
                </w:rPr>
                <m:t>3(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Trt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Post</m:t>
              </m:r>
            </m:e>
            <m:sub>
              <m:r>
                <w:rPr>
                  <w:rFonts w:ascii="Cambria Math" w:hAnsi="Cambria Math"/>
                </w:rPr>
                <m:t>i,t+3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eastAsia="SimSun" w:hAnsi="Cambria Math" w:cs="Times New Roman"/>
                  <w:i/>
                </w:rPr>
              </m:ctrlPr>
            </m:sSubPr>
            <m:e>
              <m:r>
                <w:rPr>
                  <w:rFonts w:ascii="Cambria Math" w:eastAsia="SimSun" w:hAnsi="Cambria Math" w:cs="Times New Roman"/>
                </w:rPr>
                <m:t>β</m:t>
              </m:r>
            </m:e>
            <m:sub>
              <m:r>
                <w:rPr>
                  <w:rFonts w:ascii="Cambria Math" w:eastAsia="SimSun" w:hAnsi="Cambria Math" w:cs="Times New Roman"/>
                </w:rPr>
                <m:t>4</m:t>
              </m:r>
            </m:sub>
          </m:sSub>
          <m:r>
            <w:rPr>
              <w:rFonts w:ascii="Cambria Math" w:eastAsia="SimSun" w:hAnsi="Cambria Math" w:cs="Times New Roman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Trt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Post</m:t>
              </m:r>
            </m:e>
            <m:sub>
              <m:r>
                <w:rPr>
                  <w:rFonts w:ascii="Cambria Math" w:hAnsi="Cambria Math"/>
                </w:rPr>
                <m:t>i,t+4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i,t</m:t>
              </m:r>
            </m:sub>
          </m:sSub>
          <m:r>
            <w:rPr>
              <w:rFonts w:ascii="Cambria Math" w:hAnsi="Cambria Math"/>
            </w:rPr>
            <m:t>δ+</m:t>
          </m:r>
          <m:sSub>
            <m:sSubPr>
              <m:ctrlPr>
                <w:rPr>
                  <w:rFonts w:ascii="Cambria Math" w:eastAsia="SimSun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i,t</m:t>
              </m:r>
            </m:sub>
          </m:sSub>
        </m:oMath>
      </m:oMathPara>
    </w:p>
    <w:p w14:paraId="1C564084" w14:textId="1270C3A2" w:rsidR="0050365A" w:rsidRPr="001E0BDA" w:rsidRDefault="0050365A" w:rsidP="0050365A">
      <w:pPr>
        <w:rPr>
          <w:iCs/>
        </w:rPr>
      </w:pPr>
      <w:r w:rsidRPr="0050365A">
        <w:t xml:space="preserve">where </w:t>
      </w:r>
      <m:oMath>
        <m:sSub>
          <m:sSubPr>
            <m:ctrlPr>
              <w:rPr>
                <w:rFonts w:ascii="Cambria Math" w:eastAsia="SimSun" w:hAnsi="Cambria Math" w:cs="Times New Roman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i,t</m:t>
            </m:r>
          </m:sub>
        </m:sSub>
      </m:oMath>
      <w:r w:rsidRPr="0050365A">
        <w:t xml:space="preserve"> is the mortality record of </w:t>
      </w:r>
      <w:r w:rsidR="00512289">
        <w:t>subject</w:t>
      </w:r>
      <w:r w:rsidRPr="0050365A">
        <w:t xml:space="preserve"> </w:t>
      </w:r>
      <w:r w:rsidRPr="0050365A">
        <w:rPr>
          <w:i/>
          <w:iCs/>
        </w:rPr>
        <w:t>i</w:t>
      </w:r>
      <w:r w:rsidRPr="0050365A">
        <w:t xml:space="preserve"> at year </w:t>
      </w:r>
      <w:r w:rsidRPr="0050365A">
        <w:rPr>
          <w:i/>
          <w:iCs/>
        </w:rPr>
        <w:t xml:space="preserve">t </w:t>
      </w:r>
      <w:r w:rsidRPr="0050365A">
        <w:t xml:space="preserve">(0 means alive and 1 means dead); </w:t>
      </w:r>
      <m:oMath>
        <m:sSub>
          <m:sSubPr>
            <m:ctrlPr>
              <w:rPr>
                <w:rFonts w:ascii="Cambria Math" w:eastAsia="SimSun" w:hAnsi="Cambria Math" w:cs="Times New Roman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0365A">
        <w:t xml:space="preserve"> is the individual</w:t>
      </w:r>
      <w:r w:rsidR="004029C7">
        <w:t xml:space="preserve"> </w:t>
      </w:r>
      <w:r w:rsidR="002F6198">
        <w:t>fixed effect</w:t>
      </w:r>
      <w:r w:rsidRPr="0050365A">
        <w:t xml:space="preserve">; </w:t>
      </w:r>
      <m:oMath>
        <m:sSub>
          <m:sSubPr>
            <m:ctrlPr>
              <w:rPr>
                <w:rFonts w:ascii="Cambria Math" w:eastAsia="SimSun" w:hAnsi="Cambria Math" w:cs="Times New Roman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50365A">
        <w:t xml:space="preserve">is the </w:t>
      </w:r>
      <w:r w:rsidR="004029C7">
        <w:t>time fixed effect</w:t>
      </w:r>
      <w:r w:rsidRPr="0050365A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Trt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Post</m:t>
            </m:r>
          </m:e>
          <m:sub>
            <m:r>
              <w:rPr>
                <w:rFonts w:ascii="Cambria Math" w:hAnsi="Cambria Math"/>
              </w:rPr>
              <m:t>i,t+k</m:t>
            </m:r>
          </m:sub>
        </m:sSub>
      </m:oMath>
      <w:r w:rsidR="006B0363">
        <w:t xml:space="preserve"> </w:t>
      </w:r>
      <w:r w:rsidR="00A612C6" w:rsidRPr="0050365A">
        <w:t xml:space="preserve">is </w:t>
      </w:r>
      <w:r w:rsidR="00A91869">
        <w:t xml:space="preserve">a two-way interaction indicating whether </w:t>
      </w:r>
      <w:r w:rsidR="008D474C">
        <w:t>subject</w:t>
      </w:r>
      <w:r w:rsidR="00E2617A">
        <w:t xml:space="preserve"> </w:t>
      </w:r>
      <w:r w:rsidR="00E2617A" w:rsidRPr="00E72225">
        <w:rPr>
          <w:i/>
          <w:iCs/>
        </w:rPr>
        <w:t xml:space="preserve">i </w:t>
      </w:r>
      <w:r w:rsidR="00E2617A">
        <w:t xml:space="preserve">has been in </w:t>
      </w:r>
      <w:r w:rsidR="00E72225">
        <w:t xml:space="preserve">a treatment community for </w:t>
      </w:r>
      <w:r w:rsidR="00E72225" w:rsidRPr="00E72225">
        <w:rPr>
          <w:i/>
          <w:iCs/>
        </w:rPr>
        <w:t>k</w:t>
      </w:r>
      <w:r w:rsidR="00E72225">
        <w:t xml:space="preserve"> years</w:t>
      </w:r>
      <w:r w:rsidR="00BF30CC">
        <w:t xml:space="preserve"> </w:t>
      </w:r>
      <w:r w:rsidR="00B02D56">
        <w:t xml:space="preserve">after drilling </w:t>
      </w:r>
      <w:r w:rsidR="00B2376F">
        <w:t xml:space="preserve">at </w:t>
      </w:r>
      <w:r w:rsidR="00BF30CC">
        <w:t xml:space="preserve">time </w:t>
      </w:r>
      <w:r w:rsidR="00BF30CC" w:rsidRPr="00BF30CC">
        <w:rPr>
          <w:i/>
          <w:iCs/>
        </w:rPr>
        <w:t>t</w:t>
      </w:r>
      <w:r w:rsidR="00E72225">
        <w:t>.</w:t>
      </w:r>
      <w:r w:rsidR="002B42CE">
        <w:t xml:space="preserve"> Positive </w:t>
      </w:r>
      <w:r w:rsidR="002B42CE" w:rsidRPr="00E72225">
        <w:rPr>
          <w:i/>
          <w:iCs/>
        </w:rPr>
        <w:t>k</w:t>
      </w:r>
      <w:r w:rsidR="002B42CE">
        <w:t xml:space="preserve">s </w:t>
      </w:r>
      <w:r w:rsidR="00F42F41">
        <w:t xml:space="preserve">indicate lag effects of the treatment, negative </w:t>
      </w:r>
      <w:r w:rsidR="00F42F41" w:rsidRPr="00E72225">
        <w:rPr>
          <w:i/>
          <w:iCs/>
        </w:rPr>
        <w:t>k</w:t>
      </w:r>
      <w:r w:rsidR="00F42F41">
        <w:t>s indicate lead effects</w:t>
      </w:r>
      <w:r w:rsidR="001E0BDA">
        <w:rPr>
          <w:rFonts w:ascii="Cambria Math" w:eastAsia="SimSun" w:hAnsi="Cambria Math" w:cs="Times New Roman"/>
          <w:iCs/>
        </w:rPr>
        <w:t>.</w:t>
      </w:r>
      <w:r w:rsidR="001E0BDA">
        <w:rPr>
          <w:iCs/>
        </w:rPr>
        <w:t xml:space="preserve"> </w:t>
      </w:r>
      <m:oMath>
        <m:sSub>
          <m:sSubPr>
            <m:ctrlPr>
              <w:rPr>
                <w:rFonts w:ascii="Cambria Math" w:eastAsia="SimSun" w:hAnsi="Cambria Math" w:cs="Times New Roman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i,t</m:t>
            </m:r>
          </m:sub>
        </m:sSub>
      </m:oMath>
      <w:r w:rsidRPr="0050365A">
        <w:t xml:space="preserve"> is a vector of </w:t>
      </w:r>
      <w:r w:rsidR="00CD6B1A">
        <w:t xml:space="preserve">individual- and </w:t>
      </w:r>
      <w:r w:rsidR="00FF12EF">
        <w:t>ZIP</w:t>
      </w:r>
      <w:r w:rsidR="008D474C">
        <w:t xml:space="preserve"> </w:t>
      </w:r>
      <w:r w:rsidR="00B2376F">
        <w:t>c</w:t>
      </w:r>
      <w:r w:rsidR="008D474C">
        <w:t>ode</w:t>
      </w:r>
      <w:r w:rsidR="00CD6B1A">
        <w:t xml:space="preserve">-level </w:t>
      </w:r>
      <w:r w:rsidRPr="0050365A">
        <w:t xml:space="preserve">time-varying </w:t>
      </w:r>
      <w:r w:rsidR="00CD6B1A">
        <w:t>covariates</w:t>
      </w:r>
      <w:r w:rsidRPr="0050365A">
        <w:t xml:space="preserve"> including </w:t>
      </w:r>
      <w:r w:rsidR="00CD6B1A">
        <w:t xml:space="preserve">age, eligibility for Medicaid, </w:t>
      </w:r>
      <w:r w:rsidRPr="0050365A">
        <w:t>PM, temperature, poverty rate, education, smoking rate</w:t>
      </w:r>
      <w:r w:rsidR="00F66950">
        <w:t>,</w:t>
      </w:r>
      <w:r w:rsidRPr="0050365A">
        <w:t xml:space="preserve"> and </w:t>
      </w:r>
      <w:proofErr w:type="gramStart"/>
      <w:r w:rsidRPr="0050365A">
        <w:t>BMI.</w:t>
      </w:r>
      <w:proofErr w:type="gramEnd"/>
    </w:p>
    <w:p w14:paraId="72F7FB88" w14:textId="717A0367" w:rsidR="00D94F46" w:rsidRPr="00607C0D" w:rsidRDefault="00B23B93" w:rsidP="00C0127C">
      <w:pPr>
        <w:pStyle w:val="NormalWeb"/>
        <w:spacing w:before="0" w:beforeAutospacing="0" w:after="160" w:afterAutospacing="0" w:line="480" w:lineRule="auto"/>
      </w:pPr>
      <w:r>
        <w:t>A</w:t>
      </w:r>
      <w:r w:rsidRPr="0050365A">
        <w:t xml:space="preserve">s shown in Figure </w:t>
      </w:r>
      <w:r>
        <w:t>6</w:t>
      </w:r>
      <w:r w:rsidRPr="0050365A">
        <w:t>, the</w:t>
      </w:r>
      <w:r>
        <w:t xml:space="preserve"> estimated</w:t>
      </w:r>
      <w:r w:rsidRPr="0050365A">
        <w:t xml:space="preserve"> </w:t>
      </w:r>
      <w:r>
        <w:t xml:space="preserve">coefficients for the lead terms </w:t>
      </w:r>
      <w:r w:rsidR="00CE4699">
        <w:t>(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β</m:t>
            </m:r>
          </m:e>
          <m:sub>
            <m:r>
              <w:rPr>
                <w:rFonts w:ascii="Cambria Math" w:eastAsia="SimSun" w:hAnsi="Cambria Math"/>
              </w:rPr>
              <m:t>-4</m:t>
            </m:r>
          </m:sub>
        </m:sSub>
      </m:oMath>
      <w:r w:rsidR="00CE4699">
        <w:t>,</w:t>
      </w:r>
      <w:r w:rsidR="00CE4699" w:rsidRPr="00AF37F3">
        <w:rPr>
          <w:rFonts w:ascii="Cambria Math" w:eastAsia="SimSun" w:hAnsi="Cambria Math"/>
          <w:i/>
        </w:rPr>
        <w:t xml:space="preserve"> 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β</m:t>
            </m:r>
          </m:e>
          <m:sub>
            <m:r>
              <w:rPr>
                <w:rFonts w:ascii="Cambria Math" w:eastAsia="SimSun" w:hAnsi="Cambria Math"/>
              </w:rPr>
              <m:t>-3</m:t>
            </m:r>
          </m:sub>
        </m:sSub>
      </m:oMath>
      <w:r w:rsidR="00CE4699">
        <w:t>,</w:t>
      </w:r>
      <w:r w:rsidR="00CE4699" w:rsidRPr="00067C20">
        <w:rPr>
          <w:rFonts w:ascii="Cambria Math" w:eastAsia="SimSun" w:hAnsi="Cambria Math"/>
          <w:i/>
        </w:rPr>
        <w:t xml:space="preserve"> 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β</m:t>
            </m:r>
          </m:e>
          <m:sub>
            <m:r>
              <w:rPr>
                <w:rFonts w:ascii="Cambria Math" w:eastAsia="SimSun" w:hAnsi="Cambria Math"/>
              </w:rPr>
              <m:t>-2</m:t>
            </m:r>
          </m:sub>
        </m:sSub>
      </m:oMath>
      <w:r w:rsidR="00CE4699">
        <w:rPr>
          <w:rFonts w:ascii="Cambria Math" w:eastAsia="SimSun" w:hAnsi="Cambria Math"/>
          <w:iCs/>
        </w:rPr>
        <w:t>,</w:t>
      </w:r>
      <w:r w:rsidR="00CE4699" w:rsidRPr="00067C20">
        <w:rPr>
          <w:rFonts w:ascii="Cambria Math" w:eastAsia="SimSun" w:hAnsi="Cambria Math"/>
          <w:i/>
        </w:rPr>
        <w:t xml:space="preserve"> 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β</m:t>
            </m:r>
          </m:e>
          <m:sub>
            <m:r>
              <w:rPr>
                <w:rFonts w:ascii="Cambria Math" w:eastAsia="SimSun" w:hAnsi="Cambria Math"/>
              </w:rPr>
              <m:t>-1</m:t>
            </m:r>
          </m:sub>
        </m:sSub>
      </m:oMath>
      <w:r w:rsidR="00CE4699">
        <w:rPr>
          <w:rFonts w:ascii="Cambria Math" w:eastAsia="SimSun" w:hAnsi="Cambria Math"/>
          <w:iCs/>
        </w:rPr>
        <w:t xml:space="preserve">) </w:t>
      </w:r>
      <w:r>
        <w:t xml:space="preserve">are not statistically significantly different from </w:t>
      </w:r>
      <w:r w:rsidR="00607C0D">
        <w:t xml:space="preserve">zero, </w:t>
      </w:r>
      <w:r w:rsidR="00607C0D">
        <w:rPr>
          <w:color w:val="000000"/>
        </w:rPr>
        <w:t>suggesting the plausibility that the mortality trends are parallel between the treatment and control communities before the intervention. Meanwhile,</w:t>
      </w:r>
      <w:r w:rsidR="00607C0D">
        <w:t xml:space="preserve"> </w:t>
      </w:r>
      <w:r>
        <w:t>the estimated</w:t>
      </w:r>
      <w:r w:rsidR="00DF397A">
        <w:t xml:space="preserve"> coefficients of four lag terms (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β</m:t>
            </m:r>
          </m:e>
          <m:sub>
            <m:r>
              <w:rPr>
                <w:rFonts w:ascii="Cambria Math" w:eastAsia="SimSun" w:hAnsi="Cambria Math"/>
              </w:rPr>
              <m:t>4</m:t>
            </m:r>
          </m:sub>
        </m:sSub>
      </m:oMath>
      <w:r w:rsidR="00DF397A">
        <w:t>,</w:t>
      </w:r>
      <w:r w:rsidR="00DF397A" w:rsidRPr="00AF37F3">
        <w:rPr>
          <w:rFonts w:ascii="Cambria Math" w:eastAsia="SimSun" w:hAnsi="Cambria Math"/>
          <w:i/>
        </w:rPr>
        <w:t xml:space="preserve"> 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β</m:t>
            </m:r>
          </m:e>
          <m:sub>
            <m:r>
              <w:rPr>
                <w:rFonts w:ascii="Cambria Math" w:eastAsia="SimSun" w:hAnsi="Cambria Math"/>
              </w:rPr>
              <m:t>3</m:t>
            </m:r>
          </m:sub>
        </m:sSub>
      </m:oMath>
      <w:r w:rsidR="00DF397A">
        <w:t>,</w:t>
      </w:r>
      <w:r w:rsidR="00DF397A" w:rsidRPr="00067C20">
        <w:rPr>
          <w:rFonts w:ascii="Cambria Math" w:eastAsia="SimSun" w:hAnsi="Cambria Math"/>
          <w:i/>
        </w:rPr>
        <w:t xml:space="preserve"> 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β</m:t>
            </m:r>
          </m:e>
          <m:sub>
            <m:r>
              <w:rPr>
                <w:rFonts w:ascii="Cambria Math" w:eastAsia="SimSun" w:hAnsi="Cambria Math"/>
              </w:rPr>
              <m:t>2</m:t>
            </m:r>
          </m:sub>
        </m:sSub>
      </m:oMath>
      <w:r w:rsidR="00DF397A">
        <w:rPr>
          <w:rFonts w:ascii="Cambria Math" w:eastAsia="SimSun" w:hAnsi="Cambria Math"/>
          <w:iCs/>
        </w:rPr>
        <w:t>,</w:t>
      </w:r>
      <w:r w:rsidR="00DF397A" w:rsidRPr="00067C20">
        <w:rPr>
          <w:rFonts w:ascii="Cambria Math" w:eastAsia="SimSun" w:hAnsi="Cambria Math"/>
          <w:i/>
        </w:rPr>
        <w:t xml:space="preserve"> </w:t>
      </w:r>
      <m:oMath>
        <m:sSub>
          <m:sSubPr>
            <m:ctrlPr>
              <w:rPr>
                <w:rFonts w:ascii="Cambria Math" w:eastAsia="SimSun" w:hAnsi="Cambria Math"/>
                <w:i/>
              </w:rPr>
            </m:ctrlPr>
          </m:sSubPr>
          <m:e>
            <m:r>
              <w:rPr>
                <w:rFonts w:ascii="Cambria Math" w:eastAsia="SimSun" w:hAnsi="Cambria Math"/>
              </w:rPr>
              <m:t>β</m:t>
            </m:r>
          </m:e>
          <m:sub>
            <m:r>
              <w:rPr>
                <w:rFonts w:ascii="Cambria Math" w:eastAsia="SimSun" w:hAnsi="Cambria Math"/>
              </w:rPr>
              <m:t>1</m:t>
            </m:r>
          </m:sub>
        </m:sSub>
      </m:oMath>
      <w:r w:rsidR="00DF397A">
        <w:t>)</w:t>
      </w:r>
      <w:r>
        <w:t xml:space="preserve"> are</w:t>
      </w:r>
      <w:r w:rsidR="00012597">
        <w:t xml:space="preserve"> significantly greater than </w:t>
      </w:r>
      <w:r w:rsidR="00A87663">
        <w:t xml:space="preserve">zero, </w:t>
      </w:r>
      <w:r w:rsidR="00A87663">
        <w:rPr>
          <w:color w:val="000000"/>
        </w:rPr>
        <w:t xml:space="preserve">indicating that the mortality trends for the treatment communities </w:t>
      </w:r>
      <w:r w:rsidR="006731AE">
        <w:rPr>
          <w:color w:val="000000"/>
        </w:rPr>
        <w:t xml:space="preserve">compared to the comparison communities </w:t>
      </w:r>
      <w:r w:rsidR="00A87663">
        <w:rPr>
          <w:color w:val="000000"/>
        </w:rPr>
        <w:t xml:space="preserve">are statistically significantly different than zero </w:t>
      </w:r>
      <w:r w:rsidR="00C0127C">
        <w:rPr>
          <w:color w:val="000000"/>
        </w:rPr>
        <w:t xml:space="preserve">during </w:t>
      </w:r>
      <w:r w:rsidR="00A87663">
        <w:rPr>
          <w:color w:val="000000"/>
        </w:rPr>
        <w:t>post</w:t>
      </w:r>
      <w:r w:rsidR="00C0127C">
        <w:rPr>
          <w:color w:val="000000"/>
        </w:rPr>
        <w:t>-drilling period</w:t>
      </w:r>
      <w:r w:rsidR="00A87663">
        <w:rPr>
          <w:color w:val="000000"/>
        </w:rPr>
        <w:t>.</w:t>
      </w:r>
    </w:p>
    <w:sectPr w:rsidR="00D94F46" w:rsidRPr="00607C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FAFDD" w14:textId="77777777" w:rsidR="004705ED" w:rsidRDefault="004705ED" w:rsidP="0055061D">
      <w:pPr>
        <w:spacing w:after="0" w:line="240" w:lineRule="auto"/>
      </w:pPr>
      <w:r>
        <w:separator/>
      </w:r>
    </w:p>
  </w:endnote>
  <w:endnote w:type="continuationSeparator" w:id="0">
    <w:p w14:paraId="602B42A2" w14:textId="77777777" w:rsidR="004705ED" w:rsidRDefault="004705ED" w:rsidP="0055061D">
      <w:pPr>
        <w:spacing w:after="0" w:line="240" w:lineRule="auto"/>
      </w:pPr>
      <w:r>
        <w:continuationSeparator/>
      </w:r>
    </w:p>
  </w:endnote>
  <w:endnote w:type="continuationNotice" w:id="1">
    <w:p w14:paraId="2B87B04B" w14:textId="77777777" w:rsidR="004705ED" w:rsidRDefault="004705E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C867D4" w14:textId="77777777" w:rsidR="004705ED" w:rsidRDefault="004705ED" w:rsidP="0055061D">
      <w:pPr>
        <w:spacing w:after="0" w:line="240" w:lineRule="auto"/>
      </w:pPr>
      <w:r>
        <w:separator/>
      </w:r>
    </w:p>
  </w:footnote>
  <w:footnote w:type="continuationSeparator" w:id="0">
    <w:p w14:paraId="3310A3B9" w14:textId="77777777" w:rsidR="004705ED" w:rsidRDefault="004705ED" w:rsidP="0055061D">
      <w:pPr>
        <w:spacing w:after="0" w:line="240" w:lineRule="auto"/>
      </w:pPr>
      <w:r>
        <w:continuationSeparator/>
      </w:r>
    </w:p>
  </w:footnote>
  <w:footnote w:type="continuationNotice" w:id="1">
    <w:p w14:paraId="7895679A" w14:textId="77777777" w:rsidR="004705ED" w:rsidRDefault="004705ED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93C"/>
    <w:rsid w:val="00001088"/>
    <w:rsid w:val="00001B34"/>
    <w:rsid w:val="000050B6"/>
    <w:rsid w:val="000117C6"/>
    <w:rsid w:val="00012597"/>
    <w:rsid w:val="000345B8"/>
    <w:rsid w:val="00043700"/>
    <w:rsid w:val="000514E6"/>
    <w:rsid w:val="00053D97"/>
    <w:rsid w:val="000551BE"/>
    <w:rsid w:val="00057F91"/>
    <w:rsid w:val="00061326"/>
    <w:rsid w:val="0006377F"/>
    <w:rsid w:val="00067C20"/>
    <w:rsid w:val="00071687"/>
    <w:rsid w:val="000933DD"/>
    <w:rsid w:val="000969FB"/>
    <w:rsid w:val="00097B64"/>
    <w:rsid w:val="000A2DC5"/>
    <w:rsid w:val="000A45E6"/>
    <w:rsid w:val="000A79DF"/>
    <w:rsid w:val="000B5B02"/>
    <w:rsid w:val="000C000A"/>
    <w:rsid w:val="000C1317"/>
    <w:rsid w:val="000C313C"/>
    <w:rsid w:val="000D6DD2"/>
    <w:rsid w:val="000D79A0"/>
    <w:rsid w:val="000F1493"/>
    <w:rsid w:val="000F71A8"/>
    <w:rsid w:val="00101EEC"/>
    <w:rsid w:val="00111F5F"/>
    <w:rsid w:val="00112925"/>
    <w:rsid w:val="001143D8"/>
    <w:rsid w:val="00121568"/>
    <w:rsid w:val="0012643B"/>
    <w:rsid w:val="001428C2"/>
    <w:rsid w:val="001477D7"/>
    <w:rsid w:val="00155EF1"/>
    <w:rsid w:val="00160F1B"/>
    <w:rsid w:val="00163866"/>
    <w:rsid w:val="00167FDD"/>
    <w:rsid w:val="001711BC"/>
    <w:rsid w:val="00173D57"/>
    <w:rsid w:val="001817C9"/>
    <w:rsid w:val="001C4B11"/>
    <w:rsid w:val="001C5F57"/>
    <w:rsid w:val="001E0BDA"/>
    <w:rsid w:val="001E30D5"/>
    <w:rsid w:val="001E7E15"/>
    <w:rsid w:val="00200AB8"/>
    <w:rsid w:val="00202A0B"/>
    <w:rsid w:val="00210BD9"/>
    <w:rsid w:val="00221189"/>
    <w:rsid w:val="00221531"/>
    <w:rsid w:val="002277A4"/>
    <w:rsid w:val="00230B99"/>
    <w:rsid w:val="00233002"/>
    <w:rsid w:val="0028450A"/>
    <w:rsid w:val="00290D25"/>
    <w:rsid w:val="002959D2"/>
    <w:rsid w:val="002A4BF5"/>
    <w:rsid w:val="002A53D4"/>
    <w:rsid w:val="002B0F75"/>
    <w:rsid w:val="002B2822"/>
    <w:rsid w:val="002B2A14"/>
    <w:rsid w:val="002B42CE"/>
    <w:rsid w:val="002C2BB1"/>
    <w:rsid w:val="002C4685"/>
    <w:rsid w:val="002D2C46"/>
    <w:rsid w:val="002D2FDD"/>
    <w:rsid w:val="002D3018"/>
    <w:rsid w:val="002E7CF7"/>
    <w:rsid w:val="002F3ACC"/>
    <w:rsid w:val="002F6198"/>
    <w:rsid w:val="0030548D"/>
    <w:rsid w:val="00311F5E"/>
    <w:rsid w:val="003140BA"/>
    <w:rsid w:val="00316344"/>
    <w:rsid w:val="00324146"/>
    <w:rsid w:val="00325E7D"/>
    <w:rsid w:val="003330BB"/>
    <w:rsid w:val="003342B4"/>
    <w:rsid w:val="00345ACA"/>
    <w:rsid w:val="00350967"/>
    <w:rsid w:val="00375B2B"/>
    <w:rsid w:val="003770A0"/>
    <w:rsid w:val="00381E4C"/>
    <w:rsid w:val="00392270"/>
    <w:rsid w:val="00394D47"/>
    <w:rsid w:val="003965C9"/>
    <w:rsid w:val="0039759A"/>
    <w:rsid w:val="003C070A"/>
    <w:rsid w:val="003C42B7"/>
    <w:rsid w:val="003C6DE1"/>
    <w:rsid w:val="003C6E37"/>
    <w:rsid w:val="003C7E63"/>
    <w:rsid w:val="003D6599"/>
    <w:rsid w:val="003E40F8"/>
    <w:rsid w:val="003E4558"/>
    <w:rsid w:val="003E5197"/>
    <w:rsid w:val="003F220D"/>
    <w:rsid w:val="003F57EB"/>
    <w:rsid w:val="004029C7"/>
    <w:rsid w:val="00402CD9"/>
    <w:rsid w:val="00403635"/>
    <w:rsid w:val="00404A28"/>
    <w:rsid w:val="0040648A"/>
    <w:rsid w:val="004214E7"/>
    <w:rsid w:val="0043044D"/>
    <w:rsid w:val="004338B2"/>
    <w:rsid w:val="00435123"/>
    <w:rsid w:val="00437F86"/>
    <w:rsid w:val="00443823"/>
    <w:rsid w:val="004537BA"/>
    <w:rsid w:val="00462775"/>
    <w:rsid w:val="0046677C"/>
    <w:rsid w:val="004669E4"/>
    <w:rsid w:val="0046725D"/>
    <w:rsid w:val="004705ED"/>
    <w:rsid w:val="004B002D"/>
    <w:rsid w:val="004B10BD"/>
    <w:rsid w:val="004C1B54"/>
    <w:rsid w:val="004C396D"/>
    <w:rsid w:val="004D349A"/>
    <w:rsid w:val="004E0E6A"/>
    <w:rsid w:val="004E1651"/>
    <w:rsid w:val="004E200F"/>
    <w:rsid w:val="004E21C4"/>
    <w:rsid w:val="004E6754"/>
    <w:rsid w:val="004E7AA5"/>
    <w:rsid w:val="004F0F91"/>
    <w:rsid w:val="004F2C8A"/>
    <w:rsid w:val="004F5957"/>
    <w:rsid w:val="0050365A"/>
    <w:rsid w:val="0050590E"/>
    <w:rsid w:val="00512289"/>
    <w:rsid w:val="00531EFB"/>
    <w:rsid w:val="00536BBA"/>
    <w:rsid w:val="00536E5A"/>
    <w:rsid w:val="00536EF2"/>
    <w:rsid w:val="005419A6"/>
    <w:rsid w:val="0055061D"/>
    <w:rsid w:val="00555BD0"/>
    <w:rsid w:val="00585561"/>
    <w:rsid w:val="00586FBE"/>
    <w:rsid w:val="0059759B"/>
    <w:rsid w:val="00597823"/>
    <w:rsid w:val="005A27A0"/>
    <w:rsid w:val="005A5338"/>
    <w:rsid w:val="005A78E6"/>
    <w:rsid w:val="005B51FC"/>
    <w:rsid w:val="005B5F0B"/>
    <w:rsid w:val="005C0F49"/>
    <w:rsid w:val="005C764B"/>
    <w:rsid w:val="005D05A2"/>
    <w:rsid w:val="005E0FC9"/>
    <w:rsid w:val="005E163C"/>
    <w:rsid w:val="005E35D7"/>
    <w:rsid w:val="005F3147"/>
    <w:rsid w:val="0060357F"/>
    <w:rsid w:val="0060626A"/>
    <w:rsid w:val="00607C0D"/>
    <w:rsid w:val="006107CA"/>
    <w:rsid w:val="0061477F"/>
    <w:rsid w:val="00614D24"/>
    <w:rsid w:val="00620067"/>
    <w:rsid w:val="00622501"/>
    <w:rsid w:val="006258C5"/>
    <w:rsid w:val="00652B19"/>
    <w:rsid w:val="00657336"/>
    <w:rsid w:val="006731AE"/>
    <w:rsid w:val="006848CF"/>
    <w:rsid w:val="0068494C"/>
    <w:rsid w:val="0068547D"/>
    <w:rsid w:val="00691EF7"/>
    <w:rsid w:val="006A1FBE"/>
    <w:rsid w:val="006A2248"/>
    <w:rsid w:val="006A272D"/>
    <w:rsid w:val="006A58BF"/>
    <w:rsid w:val="006A6B3F"/>
    <w:rsid w:val="006A7852"/>
    <w:rsid w:val="006B0363"/>
    <w:rsid w:val="006B180E"/>
    <w:rsid w:val="006D18EB"/>
    <w:rsid w:val="006D7FD4"/>
    <w:rsid w:val="006E4D26"/>
    <w:rsid w:val="006E5493"/>
    <w:rsid w:val="006E5B38"/>
    <w:rsid w:val="006F56A8"/>
    <w:rsid w:val="00703DEC"/>
    <w:rsid w:val="007075C6"/>
    <w:rsid w:val="0071597B"/>
    <w:rsid w:val="0073368A"/>
    <w:rsid w:val="007409BB"/>
    <w:rsid w:val="00740B10"/>
    <w:rsid w:val="007562A4"/>
    <w:rsid w:val="00761C25"/>
    <w:rsid w:val="007657A6"/>
    <w:rsid w:val="00772667"/>
    <w:rsid w:val="00775645"/>
    <w:rsid w:val="00775F10"/>
    <w:rsid w:val="00790512"/>
    <w:rsid w:val="00790A1A"/>
    <w:rsid w:val="007925FE"/>
    <w:rsid w:val="007958D6"/>
    <w:rsid w:val="007A0D4D"/>
    <w:rsid w:val="007B4E0D"/>
    <w:rsid w:val="007C01BF"/>
    <w:rsid w:val="007C1AD9"/>
    <w:rsid w:val="007C750A"/>
    <w:rsid w:val="007D4141"/>
    <w:rsid w:val="007E4471"/>
    <w:rsid w:val="007F34DF"/>
    <w:rsid w:val="00803A68"/>
    <w:rsid w:val="00843C6B"/>
    <w:rsid w:val="0084410F"/>
    <w:rsid w:val="00860FB6"/>
    <w:rsid w:val="00861CB0"/>
    <w:rsid w:val="00866D08"/>
    <w:rsid w:val="00871846"/>
    <w:rsid w:val="0087693F"/>
    <w:rsid w:val="0088477C"/>
    <w:rsid w:val="00892B26"/>
    <w:rsid w:val="008A00A1"/>
    <w:rsid w:val="008A5459"/>
    <w:rsid w:val="008B62CE"/>
    <w:rsid w:val="008D088F"/>
    <w:rsid w:val="008D0D7B"/>
    <w:rsid w:val="008D2945"/>
    <w:rsid w:val="008D474C"/>
    <w:rsid w:val="008D5721"/>
    <w:rsid w:val="008E0845"/>
    <w:rsid w:val="008E5880"/>
    <w:rsid w:val="008E59A3"/>
    <w:rsid w:val="008F25EB"/>
    <w:rsid w:val="0090322E"/>
    <w:rsid w:val="00913124"/>
    <w:rsid w:val="00921644"/>
    <w:rsid w:val="009226D0"/>
    <w:rsid w:val="009304E6"/>
    <w:rsid w:val="00931C79"/>
    <w:rsid w:val="00933412"/>
    <w:rsid w:val="0093670A"/>
    <w:rsid w:val="00947E9C"/>
    <w:rsid w:val="00954253"/>
    <w:rsid w:val="00955F7F"/>
    <w:rsid w:val="00956A47"/>
    <w:rsid w:val="00957574"/>
    <w:rsid w:val="009668CA"/>
    <w:rsid w:val="0097252D"/>
    <w:rsid w:val="00977BE3"/>
    <w:rsid w:val="00980D61"/>
    <w:rsid w:val="00982DCC"/>
    <w:rsid w:val="00983711"/>
    <w:rsid w:val="00986F14"/>
    <w:rsid w:val="0098792B"/>
    <w:rsid w:val="009957EF"/>
    <w:rsid w:val="009A51A8"/>
    <w:rsid w:val="009C58F9"/>
    <w:rsid w:val="009C5FA1"/>
    <w:rsid w:val="009D32EE"/>
    <w:rsid w:val="009D3DCF"/>
    <w:rsid w:val="009E07C0"/>
    <w:rsid w:val="009E539D"/>
    <w:rsid w:val="00A070D9"/>
    <w:rsid w:val="00A14056"/>
    <w:rsid w:val="00A20A50"/>
    <w:rsid w:val="00A25E0D"/>
    <w:rsid w:val="00A25FEE"/>
    <w:rsid w:val="00A27267"/>
    <w:rsid w:val="00A4159C"/>
    <w:rsid w:val="00A424D9"/>
    <w:rsid w:val="00A4617E"/>
    <w:rsid w:val="00A51204"/>
    <w:rsid w:val="00A53792"/>
    <w:rsid w:val="00A53C58"/>
    <w:rsid w:val="00A612C6"/>
    <w:rsid w:val="00A71E76"/>
    <w:rsid w:val="00A758F1"/>
    <w:rsid w:val="00A835A9"/>
    <w:rsid w:val="00A874D2"/>
    <w:rsid w:val="00A87663"/>
    <w:rsid w:val="00A87E63"/>
    <w:rsid w:val="00A91869"/>
    <w:rsid w:val="00A94EB4"/>
    <w:rsid w:val="00A96A52"/>
    <w:rsid w:val="00AA3ACC"/>
    <w:rsid w:val="00AA6200"/>
    <w:rsid w:val="00AB2AE5"/>
    <w:rsid w:val="00AD0DA2"/>
    <w:rsid w:val="00AE0720"/>
    <w:rsid w:val="00AE6F77"/>
    <w:rsid w:val="00AF1255"/>
    <w:rsid w:val="00AF2D60"/>
    <w:rsid w:val="00AF2F7C"/>
    <w:rsid w:val="00AF37F3"/>
    <w:rsid w:val="00AF6D3F"/>
    <w:rsid w:val="00B02D56"/>
    <w:rsid w:val="00B06562"/>
    <w:rsid w:val="00B10D34"/>
    <w:rsid w:val="00B16F6A"/>
    <w:rsid w:val="00B17DD6"/>
    <w:rsid w:val="00B20287"/>
    <w:rsid w:val="00B20BBA"/>
    <w:rsid w:val="00B22DCB"/>
    <w:rsid w:val="00B2376F"/>
    <w:rsid w:val="00B23B93"/>
    <w:rsid w:val="00B25FE8"/>
    <w:rsid w:val="00B36A22"/>
    <w:rsid w:val="00B477B4"/>
    <w:rsid w:val="00B47C5D"/>
    <w:rsid w:val="00B53B09"/>
    <w:rsid w:val="00B567B0"/>
    <w:rsid w:val="00B5765C"/>
    <w:rsid w:val="00B65A55"/>
    <w:rsid w:val="00B673F4"/>
    <w:rsid w:val="00B67BC8"/>
    <w:rsid w:val="00B72234"/>
    <w:rsid w:val="00B76906"/>
    <w:rsid w:val="00B816D8"/>
    <w:rsid w:val="00B92293"/>
    <w:rsid w:val="00B96741"/>
    <w:rsid w:val="00BA56D4"/>
    <w:rsid w:val="00BB0A0D"/>
    <w:rsid w:val="00BB6ED6"/>
    <w:rsid w:val="00BC1265"/>
    <w:rsid w:val="00BC2B98"/>
    <w:rsid w:val="00BC51C5"/>
    <w:rsid w:val="00BC7987"/>
    <w:rsid w:val="00BD6141"/>
    <w:rsid w:val="00BD68BD"/>
    <w:rsid w:val="00BE5D73"/>
    <w:rsid w:val="00BE6331"/>
    <w:rsid w:val="00BF0F1F"/>
    <w:rsid w:val="00BF2E93"/>
    <w:rsid w:val="00BF30CC"/>
    <w:rsid w:val="00BF3D89"/>
    <w:rsid w:val="00BF3F52"/>
    <w:rsid w:val="00BF4D60"/>
    <w:rsid w:val="00C0127C"/>
    <w:rsid w:val="00C0163D"/>
    <w:rsid w:val="00C12B10"/>
    <w:rsid w:val="00C17A54"/>
    <w:rsid w:val="00C311F3"/>
    <w:rsid w:val="00C443B2"/>
    <w:rsid w:val="00C46358"/>
    <w:rsid w:val="00C5186C"/>
    <w:rsid w:val="00C52F93"/>
    <w:rsid w:val="00C53418"/>
    <w:rsid w:val="00C61C79"/>
    <w:rsid w:val="00C63565"/>
    <w:rsid w:val="00C675A9"/>
    <w:rsid w:val="00C759AF"/>
    <w:rsid w:val="00C854D7"/>
    <w:rsid w:val="00C96BB5"/>
    <w:rsid w:val="00C96EA6"/>
    <w:rsid w:val="00C977B1"/>
    <w:rsid w:val="00CB1B53"/>
    <w:rsid w:val="00CB4A65"/>
    <w:rsid w:val="00CC54BD"/>
    <w:rsid w:val="00CC5B68"/>
    <w:rsid w:val="00CC772E"/>
    <w:rsid w:val="00CC7F3A"/>
    <w:rsid w:val="00CD62C9"/>
    <w:rsid w:val="00CD6B1A"/>
    <w:rsid w:val="00CD7BD2"/>
    <w:rsid w:val="00CE0640"/>
    <w:rsid w:val="00CE4699"/>
    <w:rsid w:val="00CE774E"/>
    <w:rsid w:val="00CF2478"/>
    <w:rsid w:val="00CF33B5"/>
    <w:rsid w:val="00D026DF"/>
    <w:rsid w:val="00D029A7"/>
    <w:rsid w:val="00D21058"/>
    <w:rsid w:val="00D4092D"/>
    <w:rsid w:val="00D40A85"/>
    <w:rsid w:val="00D421F0"/>
    <w:rsid w:val="00D5289E"/>
    <w:rsid w:val="00D5422D"/>
    <w:rsid w:val="00D5564C"/>
    <w:rsid w:val="00D61A4E"/>
    <w:rsid w:val="00D70BF5"/>
    <w:rsid w:val="00D843ED"/>
    <w:rsid w:val="00D94F46"/>
    <w:rsid w:val="00D95208"/>
    <w:rsid w:val="00DA4192"/>
    <w:rsid w:val="00DA4EC9"/>
    <w:rsid w:val="00DA56AF"/>
    <w:rsid w:val="00DB07AA"/>
    <w:rsid w:val="00DB7064"/>
    <w:rsid w:val="00DC00F7"/>
    <w:rsid w:val="00DD5457"/>
    <w:rsid w:val="00DE0E54"/>
    <w:rsid w:val="00DE2A44"/>
    <w:rsid w:val="00DE2B7B"/>
    <w:rsid w:val="00DE431D"/>
    <w:rsid w:val="00DE6D87"/>
    <w:rsid w:val="00DF21B2"/>
    <w:rsid w:val="00DF397A"/>
    <w:rsid w:val="00DF6EFA"/>
    <w:rsid w:val="00E00131"/>
    <w:rsid w:val="00E01C8F"/>
    <w:rsid w:val="00E0799C"/>
    <w:rsid w:val="00E2617A"/>
    <w:rsid w:val="00E26FC3"/>
    <w:rsid w:val="00E33157"/>
    <w:rsid w:val="00E4011E"/>
    <w:rsid w:val="00E4206E"/>
    <w:rsid w:val="00E450D2"/>
    <w:rsid w:val="00E52A31"/>
    <w:rsid w:val="00E538BE"/>
    <w:rsid w:val="00E650A7"/>
    <w:rsid w:val="00E71EF2"/>
    <w:rsid w:val="00E72225"/>
    <w:rsid w:val="00E819A3"/>
    <w:rsid w:val="00E83118"/>
    <w:rsid w:val="00E86CF0"/>
    <w:rsid w:val="00EA26C4"/>
    <w:rsid w:val="00EA49C9"/>
    <w:rsid w:val="00EB193C"/>
    <w:rsid w:val="00EB5C39"/>
    <w:rsid w:val="00EC6EFC"/>
    <w:rsid w:val="00ED218A"/>
    <w:rsid w:val="00ED59FD"/>
    <w:rsid w:val="00ED7098"/>
    <w:rsid w:val="00EE4EB2"/>
    <w:rsid w:val="00EF0F11"/>
    <w:rsid w:val="00EF1F1D"/>
    <w:rsid w:val="00EF2D9B"/>
    <w:rsid w:val="00EF5252"/>
    <w:rsid w:val="00EF53B6"/>
    <w:rsid w:val="00EF5EC9"/>
    <w:rsid w:val="00F06694"/>
    <w:rsid w:val="00F16689"/>
    <w:rsid w:val="00F32D38"/>
    <w:rsid w:val="00F33AC5"/>
    <w:rsid w:val="00F42F04"/>
    <w:rsid w:val="00F42F41"/>
    <w:rsid w:val="00F45188"/>
    <w:rsid w:val="00F51EC9"/>
    <w:rsid w:val="00F66950"/>
    <w:rsid w:val="00F765C9"/>
    <w:rsid w:val="00F93427"/>
    <w:rsid w:val="00FA3E12"/>
    <w:rsid w:val="00FA41C8"/>
    <w:rsid w:val="00FA4EC0"/>
    <w:rsid w:val="00FB1DFE"/>
    <w:rsid w:val="00FB2FE7"/>
    <w:rsid w:val="00FB67DE"/>
    <w:rsid w:val="00FC0E92"/>
    <w:rsid w:val="00FC0FF3"/>
    <w:rsid w:val="00FC28B2"/>
    <w:rsid w:val="00FD4B16"/>
    <w:rsid w:val="00FD7331"/>
    <w:rsid w:val="00FE6D76"/>
    <w:rsid w:val="00FF12CC"/>
    <w:rsid w:val="00FF12EF"/>
    <w:rsid w:val="00FF1A06"/>
    <w:rsid w:val="00FF2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FAEB6"/>
  <w15:chartTrackingRefBased/>
  <w15:docId w15:val="{236E6B20-CC0D-49A9-BC4F-9B6E148DC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sz w:val="24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93C"/>
    <w:pPr>
      <w:spacing w:line="480" w:lineRule="auto"/>
    </w:pPr>
    <w:rPr>
      <w:rFonts w:eastAsiaTheme="minorEastAsia" w:cstheme="minorBidi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626A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4A28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193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04A28"/>
    <w:rPr>
      <w:rFonts w:eastAsiaTheme="majorEastAsia" w:cstheme="majorBidi"/>
      <w:b/>
      <w:szCs w:val="26"/>
    </w:rPr>
  </w:style>
  <w:style w:type="table" w:styleId="TableGrid">
    <w:name w:val="Table Grid"/>
    <w:basedOn w:val="TableNormal"/>
    <w:uiPriority w:val="39"/>
    <w:rsid w:val="00404A28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04A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4A28"/>
    <w:rPr>
      <w:rFonts w:ascii="Segoe UI" w:eastAsiaTheme="minorEastAsia" w:hAnsi="Segoe UI" w:cs="Segoe UI"/>
      <w:sz w:val="18"/>
      <w:szCs w:val="18"/>
    </w:rPr>
  </w:style>
  <w:style w:type="character" w:styleId="LineNumber">
    <w:name w:val="line number"/>
    <w:basedOn w:val="DefaultParagraphFont"/>
    <w:uiPriority w:val="99"/>
    <w:semiHidden/>
    <w:unhideWhenUsed/>
    <w:rsid w:val="00404A28"/>
  </w:style>
  <w:style w:type="table" w:customStyle="1" w:styleId="TableGrid3">
    <w:name w:val="Table Grid3"/>
    <w:basedOn w:val="TableNormal"/>
    <w:next w:val="TableGrid"/>
    <w:uiPriority w:val="39"/>
    <w:rsid w:val="005B5F0B"/>
    <w:pPr>
      <w:spacing w:after="0" w:line="240" w:lineRule="auto"/>
    </w:pPr>
    <w:rPr>
      <w:rFonts w:ascii="Calibri" w:eastAsia="DengXian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next w:val="TableGridLight"/>
    <w:uiPriority w:val="40"/>
    <w:rsid w:val="00913124"/>
    <w:pPr>
      <w:spacing w:after="0" w:line="240" w:lineRule="auto"/>
    </w:pPr>
    <w:rPr>
      <w:rFonts w:asciiTheme="minorHAnsi" w:eastAsia="Calibri" w:hAnsiTheme="minorHAnsi" w:cstheme="minorBidi"/>
      <w:sz w:val="22"/>
      <w:lang w:eastAsia="en-US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TableGridLight">
    <w:name w:val="Grid Table Light"/>
    <w:basedOn w:val="TableNormal"/>
    <w:uiPriority w:val="40"/>
    <w:rsid w:val="0091312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1">
    <w:name w:val="Table Grid1"/>
    <w:basedOn w:val="TableNormal"/>
    <w:next w:val="TableGrid"/>
    <w:uiPriority w:val="39"/>
    <w:rsid w:val="008E0845"/>
    <w:pPr>
      <w:spacing w:after="0" w:line="240" w:lineRule="auto"/>
    </w:pPr>
    <w:rPr>
      <w:rFonts w:ascii="Calibri" w:eastAsia="DengXian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8E0845"/>
    <w:pPr>
      <w:spacing w:after="0" w:line="240" w:lineRule="auto"/>
    </w:pPr>
    <w:rPr>
      <w:rFonts w:ascii="Calibri" w:eastAsia="DengXian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5C0F49"/>
    <w:pPr>
      <w:spacing w:after="0" w:line="240" w:lineRule="auto"/>
    </w:pPr>
    <w:rPr>
      <w:rFonts w:ascii="Calibri" w:eastAsia="DengXian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1E7E15"/>
    <w:pPr>
      <w:spacing w:after="200" w:line="240" w:lineRule="auto"/>
    </w:pPr>
    <w:rPr>
      <w:rFonts w:ascii="Arial" w:eastAsia="SimSun" w:hAnsi="Arial" w:cs="Arial"/>
      <w:i/>
      <w:iCs/>
      <w:color w:val="44546A" w:themeColor="text2"/>
      <w:sz w:val="18"/>
      <w:szCs w:val="18"/>
      <w:lang w:val="en"/>
    </w:rPr>
  </w:style>
  <w:style w:type="character" w:styleId="CommentReference">
    <w:name w:val="annotation reference"/>
    <w:basedOn w:val="DefaultParagraphFont"/>
    <w:uiPriority w:val="99"/>
    <w:semiHidden/>
    <w:unhideWhenUsed/>
    <w:rsid w:val="008B62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B62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B62CE"/>
    <w:rPr>
      <w:rFonts w:eastAsiaTheme="minorEastAsia" w:cstheme="minorBid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62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62CE"/>
    <w:rPr>
      <w:rFonts w:eastAsiaTheme="minorEastAsia" w:cstheme="minorBidi"/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8A545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506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61D"/>
    <w:rPr>
      <w:rFonts w:eastAsiaTheme="minorEastAsia" w:cstheme="minorBidi"/>
    </w:rPr>
  </w:style>
  <w:style w:type="paragraph" w:styleId="Footer">
    <w:name w:val="footer"/>
    <w:basedOn w:val="Normal"/>
    <w:link w:val="FooterChar"/>
    <w:uiPriority w:val="99"/>
    <w:unhideWhenUsed/>
    <w:rsid w:val="005506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61D"/>
    <w:rPr>
      <w:rFonts w:eastAsiaTheme="minorEastAsia" w:cstheme="minorBidi"/>
    </w:rPr>
  </w:style>
  <w:style w:type="paragraph" w:styleId="NormalWeb">
    <w:name w:val="Normal (Web)"/>
    <w:basedOn w:val="Normal"/>
    <w:uiPriority w:val="99"/>
    <w:unhideWhenUsed/>
    <w:rsid w:val="00A8766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US"/>
    </w:rPr>
  </w:style>
  <w:style w:type="paragraph" w:styleId="Revision">
    <w:name w:val="Revision"/>
    <w:hidden/>
    <w:uiPriority w:val="99"/>
    <w:semiHidden/>
    <w:rsid w:val="00F66950"/>
    <w:pPr>
      <w:spacing w:after="0" w:line="240" w:lineRule="auto"/>
    </w:pPr>
    <w:rPr>
      <w:rFonts w:eastAsiaTheme="minorEastAsia" w:cstheme="minorBidi"/>
    </w:rPr>
  </w:style>
  <w:style w:type="character" w:customStyle="1" w:styleId="Heading1Char">
    <w:name w:val="Heading 1 Char"/>
    <w:basedOn w:val="DefaultParagraphFont"/>
    <w:link w:val="Heading1"/>
    <w:uiPriority w:val="9"/>
    <w:rsid w:val="0060626A"/>
    <w:rPr>
      <w:rFonts w:eastAsiaTheme="majorEastAsia" w:cstheme="majorBidi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4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mailto:lol087@hsph.harvard.edu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561D75-0DE8-47FD-BC9E-2B5D78D87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31</Pages>
  <Words>4872</Words>
  <Characters>27774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Longxiang</dc:creator>
  <cp:keywords/>
  <dc:description/>
  <cp:lastModifiedBy>Li, Longxiang</cp:lastModifiedBy>
  <cp:revision>101</cp:revision>
  <dcterms:created xsi:type="dcterms:W3CDTF">2021-11-02T21:03:00Z</dcterms:created>
  <dcterms:modified xsi:type="dcterms:W3CDTF">2021-11-30T14:42:00Z</dcterms:modified>
</cp:coreProperties>
</file>