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Xero Credit Risk</w:t>
      </w:r>
    </w:p>
    <w:p>
      <w:r>
        <w:t xml:space="preserve">A credit-risk monitoring dashboard built on top of Xero. It connects to a Xero organisation via OAuth 2.0, reads sales invoice and contact data, and turns it into a live-updating risk dashboard - enriched with UK company data from Companies House and pushed in real time via Xero webhooks.</w:t>
      </w:r>
    </w:p>
    <w:p>
      <w:pPr>
        <w:pStyle w:val="Heading2"/>
      </w:pPr>
      <w:r>
        <w:t xml:space="preserve">Connecting to Xero</w:t>
      </w:r>
    </w:p>
    <w:p>
      <w:pPr>
        <w:ind w:left="720" w:hanging="360"/>
      </w:pPr>
      <w:r>
        <w:t xml:space="preserve">1. </w:t>
      </w:r>
      <w:r>
        <w:rPr>
          <w:rFonts w:ascii="Consolas" w:hAnsi="Consolas" w:cs="Consolas"/>
          <w:shd w:val="clear" w:fill="F0F0F0"/>
        </w:rPr>
        <w:t xml:space="preserve">GET /auth/xero/connect</w:t>
      </w:r>
      <w:r>
        <w:t xml:space="preserve"> - redirects to Xero's login/consent screen.</w:t>
      </w:r>
    </w:p>
    <w:p>
      <w:pPr>
        <w:ind w:left="720" w:hanging="360"/>
      </w:pPr>
      <w:r>
        <w:t xml:space="preserve">2. </w:t>
      </w:r>
      <w:r>
        <w:t xml:space="preserve">Xero redirects back to </w:t>
      </w:r>
      <w:r>
        <w:rPr>
          <w:rFonts w:ascii="Consolas" w:hAnsi="Consolas" w:cs="Consolas"/>
          <w:shd w:val="clear" w:fill="F0F0F0"/>
        </w:rPr>
        <w:t xml:space="preserve">GET /auth/xero/callback?code=...</w:t>
      </w:r>
      <w:r>
        <w:t xml:space="preserve">, which exchanges the code for tokens and stores them (in-memory; resets on app restart).</w:t>
      </w:r>
    </w:p>
    <w:p>
      <w:pPr>
        <w:ind w:left="720" w:hanging="360"/>
      </w:pPr>
      <w:r>
        <w:t xml:space="preserve">3. </w:t>
      </w:r>
      <w:r>
        <w:rPr>
          <w:rFonts w:ascii="Consolas" w:hAnsi="Consolas" w:cs="Consolas"/>
          <w:shd w:val="clear" w:fill="F0F0F0"/>
        </w:rPr>
        <w:t xml:space="preserve">DELETE /auth/xero/disconnect</w:t>
      </w:r>
      <w:r>
        <w:t xml:space="preserve"> - clears the stored tokens.</w:t>
      </w:r>
    </w:p>
    <w:p>
      <w:r>
        <w:t xml:space="preserve">Tokens are held against a single hardcoded </w:t>
      </w:r>
      <w:r>
        <w:rPr>
          <w:rFonts w:ascii="Consolas" w:hAnsi="Consolas" w:cs="Consolas"/>
          <w:shd w:val="clear" w:fill="F0F0F0"/>
        </w:rPr>
        <w:t xml:space="preserve">default-user</w:t>
      </w:r>
      <w:r>
        <w:t xml:space="preserve"> - see the Key Extension Points section of CLAUDE.md for what a multi-user deployment would need to change.</w:t>
      </w:r>
    </w:p>
    <w:p>
      <w:pPr>
        <w:pStyle w:val="Heading2"/>
      </w:pPr>
      <w:r>
        <w:t xml:space="preserve">Credit Risk Dashboard</w:t>
      </w:r>
    </w:p>
    <w:p>
      <w:r>
        <w:rPr>
          <w:rFonts w:ascii="Consolas" w:hAnsi="Consolas" w:cs="Consolas"/>
          <w:shd w:val="clear" w:fill="F0F0F0"/>
        </w:rPr>
        <w:t xml:space="preserve">GET /dashboard?tenantId={id}</w:t>
      </w:r>
      <w:r>
        <w:t xml:space="preserve"> - an HTML page, one row per counterparty with outstanding sales invoices, sortable by clicking any column header: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00"/>
        <w:gridCol w:w="6900"/>
      </w:tblGrid>
      <w:tr>
        <w:tc>
          <w:tcPr>
            <w:tcW w:w="2600" w:type="dxa"/>
            <w:shd w:val="clear" w:fill="DDEBF7"/>
          </w:tcPr>
          <w:p>
            <w:r>
              <w:rPr>
                <w:b/>
              </w:rPr>
              <w:t xml:space="preserve">Column</w:t>
            </w:r>
          </w:p>
        </w:tc>
        <w:tc>
          <w:tcPr>
            <w:tcW w:w="6900" w:type="dxa"/>
            <w:shd w:val="clear" w:fill="DDEBF7"/>
          </w:tcPr>
          <w:p>
            <w:r>
              <w:rPr>
                <w:b/>
              </w:rPr>
              <w:t xml:space="preserve">Meaning</w:t>
            </w:r>
          </w:p>
        </w:tc>
      </w:tr>
      <w:tr>
        <w:tc>
          <w:tcPr>
            <w:tcW w:w="2600" w:type="dxa"/>
          </w:tcPr>
          <w:p>
            <w:r>
              <w:t xml:space="preserve">Contact</w:t>
            </w:r>
          </w:p>
        </w:tc>
        <w:tc>
          <w:tcPr>
            <w:tcW w:w="6900" w:type="dxa"/>
          </w:tcPr>
          <w:p>
            <w:r>
              <w:t xml:space="preserve">Name, links out to the contact record in Xero</w:t>
            </w:r>
          </w:p>
        </w:tc>
      </w:tr>
      <w:tr>
        <w:tc>
          <w:tcPr>
            <w:tcW w:w="2600" w:type="dxa"/>
          </w:tcPr>
          <w:p>
            <w:r>
              <w:t xml:space="preserve">Score</w:t>
            </w:r>
          </w:p>
        </w:tc>
        <w:tc>
          <w:tcPr>
            <w:tcW w:w="6900" w:type="dxa"/>
          </w:tcPr>
          <w:p>
            <w:r>
              <w:t xml:space="preserve">0-100 credit score + A-F grade; click to expand the breakdown</w:t>
            </w:r>
          </w:p>
        </w:tc>
      </w:tr>
      <w:tr>
        <w:tc>
          <w:tcPr>
            <w:tcW w:w="2600" w:type="dxa"/>
          </w:tcPr>
          <w:p>
            <w:r>
              <w:t xml:space="preserve">Outstanding</w:t>
            </w:r>
          </w:p>
        </w:tc>
        <w:tc>
          <w:tcPr>
            <w:tcW w:w="6900" w:type="dxa"/>
          </w:tcPr>
          <w:p>
            <w:r>
              <w:t xml:space="preserve">Total unpaid AUTHORISED invoice value</w:t>
            </w:r>
          </w:p>
        </w:tc>
      </w:tr>
      <w:tr>
        <w:tc>
          <w:tcPr>
            <w:tcW w:w="2600" w:type="dxa"/>
          </w:tcPr>
          <w:p>
            <w:r>
              <w:t xml:space="preserve">Concentration</w:t>
            </w:r>
          </w:p>
        </w:tc>
        <w:tc>
          <w:tcPr>
            <w:tcW w:w="6900" w:type="dxa"/>
          </w:tcPr>
          <w:p>
            <w:r>
              <w:t xml:space="preserve">This contact's share of total outstanding receivables across all contacts</w:t>
            </w:r>
          </w:p>
        </w:tc>
      </w:tr>
      <w:tr>
        <w:tc>
          <w:tcPr>
            <w:tcW w:w="2600" w:type="dxa"/>
          </w:tcPr>
          <w:p>
            <w:r>
              <w:t xml:space="preserve">Overdue</w:t>
            </w:r>
          </w:p>
        </w:tc>
        <w:tc>
          <w:tcPr>
            <w:tcW w:w="6900" w:type="dxa"/>
          </w:tcPr>
          <w:p>
            <w:r>
              <w:t xml:space="preserve">Portion of Outstanding that's past its due date</w:t>
            </w:r>
          </w:p>
        </w:tc>
      </w:tr>
      <w:tr>
        <w:tc>
          <w:tcPr>
            <w:tcW w:w="2600" w:type="dxa"/>
          </w:tcPr>
          <w:p>
            <w:r>
              <w:t xml:space="preserve">Oldest Overdue (days)</w:t>
            </w:r>
          </w:p>
        </w:tc>
        <w:tc>
          <w:tcPr>
            <w:tcW w:w="6900" w:type="dxa"/>
          </w:tcPr>
          <w:p>
            <w:r>
              <w:t xml:space="preserve">Age of the single oldest overdue invoice</w:t>
            </w:r>
          </w:p>
        </w:tc>
      </w:tr>
      <w:tr>
        <w:tc>
          <w:tcPr>
            <w:tcW w:w="2600" w:type="dxa"/>
          </w:tcPr>
          <w:p>
            <w:r>
              <w:t xml:space="preserve">Risk</w:t>
            </w:r>
          </w:p>
        </w:tc>
        <w:tc>
          <w:tcPr>
            <w:tcW w:w="6900" w:type="dxa"/>
          </w:tcPr>
          <w:p>
            <w:r>
              <w:t xml:space="preserve">Current / Low / Medium / High, derived from oldest-overdue-days (&gt;=60 -&gt; High, &gt;=30 -&gt; Medium, else Low, none overdue -&gt; Current), escalated to High if Companies House shows the company as distressed</w:t>
            </w:r>
          </w:p>
        </w:tc>
      </w:tr>
      <w:tr>
        <w:tc>
          <w:tcPr>
            <w:tcW w:w="2600" w:type="dxa"/>
          </w:tcPr>
          <w:p>
            <w:r>
              <w:t xml:space="preserve">Payment Trend</w:t>
            </w:r>
          </w:p>
        </w:tc>
        <w:tc>
          <w:tcPr>
            <w:tcW w:w="6900" w:type="dxa"/>
          </w:tcPr>
          <w:p>
            <w:r>
              <w:t xml:space="preserve">Average days late on paid invoices, plus a trend arrow (comparing the second half of payment history against the first half)</w:t>
            </w:r>
          </w:p>
        </w:tc>
      </w:tr>
      <w:tr>
        <w:tc>
          <w:tcPr>
            <w:tcW w:w="2600" w:type="dxa"/>
          </w:tcPr>
          <w:p>
            <w:r>
              <w:t xml:space="preserve">Recommended Limit</w:t>
            </w:r>
          </w:p>
        </w:tc>
        <w:tc>
          <w:tcPr>
            <w:tcW w:w="6900" w:type="dxa"/>
          </w:tcPr>
          <w:p>
            <w:r>
              <w:t xml:space="preserve">Suggested credit limit; click to expand the breakdown</w:t>
            </w:r>
          </w:p>
        </w:tc>
      </w:tr>
      <w:tr>
        <w:tc>
          <w:tcPr>
            <w:tcW w:w="2600" w:type="dxa"/>
          </w:tcPr>
          <w:p>
            <w:r>
              <w:t xml:space="preserve">Companies House</w:t>
            </w:r>
          </w:p>
        </w:tc>
        <w:tc>
          <w:tcPr>
            <w:tcW w:w="6900" w:type="dxa"/>
          </w:tcPr>
          <w:p>
            <w:r>
              <w:t xml:space="preserve">Company status, incorporation age, insolvency history, registered charges, overdue filings</w:t>
            </w:r>
          </w:p>
        </w:tc>
      </w:tr>
    </w:tbl>
    <w:p/>
    <w:p>
      <w:r>
        <w:t xml:space="preserve">An </w:t>
      </w:r>
      <w:r>
        <w:rPr>
          <w:b/>
        </w:rPr>
        <w:t xml:space="preserve">Early Warnings</w:t>
      </w:r>
      <w:r>
        <w:t xml:space="preserve"> banner above the table lists issues not yet reflected in a contact's risk tier - a reliable payer's first late payment, accelerating lateness, exceeding their recommended limit, Companies House distress signals, prior insolvency history, or concentration risk. It's collapsible (defaults collapsed, state persisted per browser session) and can be grouped either by counterparty or by warning type.</w:t>
      </w:r>
    </w:p>
    <w:p>
      <w:pPr>
        <w:pStyle w:val="Heading3"/>
      </w:pPr>
      <w:r>
        <w:t xml:space="preserve">Credit Score</w:t>
      </w:r>
    </w:p>
    <w:p>
      <w:r>
        <w:rPr>
          <w:rFonts w:ascii="Consolas" w:hAnsi="Consolas" w:cs="Consolas"/>
          <w:shd w:val="clear" w:fill="F0F0F0"/>
        </w:rPr>
        <w:t xml:space="preserve">GET /api/xero/credit-risk/score?tenantId={id}</w:t>
      </w:r>
    </w:p>
    <w:p>
      <w:r>
        <w:t xml:space="preserve">A single 0-100 number (higher = safer) with an A-F grade, built by applying deductions/bonuses to a baseline of 100:</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00"/>
        <w:gridCol w:w="6900"/>
      </w:tblGrid>
      <w:tr>
        <w:tc>
          <w:tcPr>
            <w:tcW w:w="2600" w:type="dxa"/>
            <w:shd w:val="clear" w:fill="DDEBF7"/>
          </w:tcPr>
          <w:p>
            <w:r>
              <w:rPr>
                <w:b/>
              </w:rPr>
              <w:t xml:space="preserve">Factor</w:t>
            </w:r>
          </w:p>
        </w:tc>
        <w:tc>
          <w:tcPr>
            <w:tcW w:w="6900" w:type="dxa"/>
            <w:shd w:val="clear" w:fill="DDEBF7"/>
          </w:tcPr>
          <w:p>
            <w:r>
              <w:rPr>
                <w:b/>
              </w:rPr>
              <w:t xml:space="preserve">Effect</w:t>
            </w:r>
          </w:p>
        </w:tc>
      </w:tr>
      <w:tr>
        <w:tc>
          <w:tcPr>
            <w:tcW w:w="2600" w:type="dxa"/>
          </w:tcPr>
          <w:p>
            <w:r>
              <w:t xml:space="preserve">Baseline</w:t>
            </w:r>
          </w:p>
        </w:tc>
        <w:tc>
          <w:tcPr>
            <w:tcW w:w="6900" w:type="dxa"/>
          </w:tcPr>
          <w:p>
            <w:r>
              <w:t xml:space="preserve">+100</w:t>
            </w:r>
          </w:p>
        </w:tc>
      </w:tr>
      <w:tr>
        <w:tc>
          <w:tcPr>
            <w:tcW w:w="2600" w:type="dxa"/>
          </w:tcPr>
          <w:p>
            <w:r>
              <w:t xml:space="preserve">Risk tier</w:t>
            </w:r>
          </w:p>
        </w:tc>
        <w:tc>
          <w:tcPr>
            <w:tcW w:w="6900" w:type="dxa"/>
          </w:tcPr>
          <w:p>
            <w:r>
              <w:t xml:space="preserve">High -40, Medium -25, Low -10, Current 0</w:t>
            </w:r>
          </w:p>
        </w:tc>
      </w:tr>
      <w:tr>
        <w:tc>
          <w:tcPr>
            <w:tcW w:w="2600" w:type="dxa"/>
          </w:tcPr>
          <w:p>
            <w:r>
              <w:t xml:space="preserve">Payment trend</w:t>
            </w:r>
          </w:p>
        </w:tc>
        <w:tc>
          <w:tcPr>
            <w:tcW w:w="6900" w:type="dxa"/>
          </w:tcPr>
          <w:p>
            <w:r>
              <w:t xml:space="preserve">Worsening &gt;7 days -15, worsening 2-7 days -7, improving &lt;-2 days +5</w:t>
            </w:r>
          </w:p>
        </w:tc>
      </w:tr>
      <w:tr>
        <w:tc>
          <w:tcPr>
            <w:tcW w:w="2600" w:type="dxa"/>
          </w:tcPr>
          <w:p>
            <w:r>
              <w:t xml:space="preserve">Concentration</w:t>
            </w:r>
          </w:p>
        </w:tc>
        <w:tc>
          <w:tcPr>
            <w:tcW w:w="6900" w:type="dxa"/>
          </w:tcPr>
          <w:p>
            <w:r>
              <w:t xml:space="preserve">&gt;25% of receivables -10, &gt;10% -5</w:t>
            </w:r>
          </w:p>
        </w:tc>
      </w:tr>
      <w:tr>
        <w:tc>
          <w:tcPr>
            <w:tcW w:w="2600" w:type="dxa"/>
          </w:tcPr>
          <w:p>
            <w:r>
              <w:t xml:space="preserve">Companies House: distressed status</w:t>
            </w:r>
          </w:p>
        </w:tc>
        <w:tc>
          <w:tcPr>
            <w:tcW w:w="6900" w:type="dxa"/>
          </w:tcPr>
          <w:p>
            <w:r>
              <w:t xml:space="preserve">-30</w:t>
            </w:r>
          </w:p>
        </w:tc>
      </w:tr>
      <w:tr>
        <w:tc>
          <w:tcPr>
            <w:tcW w:w="2600" w:type="dxa"/>
          </w:tcPr>
          <w:p>
            <w:r>
              <w:t xml:space="preserve">Companies House: overdue statutory filings</w:t>
            </w:r>
          </w:p>
        </w:tc>
        <w:tc>
          <w:tcPr>
            <w:tcW w:w="6900" w:type="dxa"/>
          </w:tcPr>
          <w:p>
            <w:r>
              <w:t xml:space="preserve">-10</w:t>
            </w:r>
          </w:p>
        </w:tc>
      </w:tr>
      <w:tr>
        <w:tc>
          <w:tcPr>
            <w:tcW w:w="2600" w:type="dxa"/>
          </w:tcPr>
          <w:p>
            <w:r>
              <w:t xml:space="preserve">Companies House: prior insolvency history</w:t>
            </w:r>
          </w:p>
        </w:tc>
        <w:tc>
          <w:tcPr>
            <w:tcW w:w="6900" w:type="dxa"/>
          </w:tcPr>
          <w:p>
            <w:r>
              <w:t xml:space="preserve">-10</w:t>
            </w:r>
          </w:p>
        </w:tc>
      </w:tr>
    </w:tbl>
    <w:p/>
    <w:p>
      <w:r>
        <w:t xml:space="preserve">Result is clamped to 0-100. Grade: A &gt;=80, B &gt;=60, C &gt;=40, D &gt;=20, F &lt;20. Each contact's score cell expands (click) to show exactly which of the above factors applied and by how much.</w:t>
      </w:r>
    </w:p>
    <w:p>
      <w:pPr>
        <w:pStyle w:val="Heading3"/>
      </w:pPr>
      <w:r>
        <w:t xml:space="preserve">Recommended Credit Limit</w:t>
      </w:r>
    </w:p>
    <w:p>
      <w:r>
        <w:rPr>
          <w:rFonts w:ascii="Consolas" w:hAnsi="Consolas" w:cs="Consolas"/>
          <w:shd w:val="clear" w:fill="F0F0F0"/>
        </w:rPr>
        <w:t xml:space="preserve">GET /api/xero/credit-risk/limit-recommendations?tenantId={id}</w:t>
      </w:r>
    </w:p>
    <w:p>
      <w:r>
        <w:t xml:space="preserve">Xero has no native credit limit field, so this is a computed suggestion only (never written back to Xero):</w:t>
      </w:r>
    </w:p>
    <w:p>
      <w:pPr>
        <w:shd w:val="clear" w:fill="F5F5F5"/>
      </w:pPr>
      <w:r>
        <w:rPr>
          <w:rFonts w:ascii="Consolas" w:hAnsi="Consolas" w:cs="Consolas"/>
          <w:shd w:val="clear" w:fill="F0F0F0"/>
        </w:rPr>
        <w:t xml:space="preserve">multiplier = (credit score / 100) x 3.0</w:t>
      </w:r>
    </w:p>
    <w:p>
      <w:pPr>
        <w:shd w:val="clear" w:fill="F5F5F5"/>
      </w:pPr>
      <w:r>
        <w:rPr>
          <w:rFonts w:ascii="Consolas" w:hAnsi="Consolas" w:cs="Consolas"/>
          <w:shd w:val="clear" w:fill="F0F0F0"/>
        </w:rPr>
        <w:t xml:space="preserve">recommended limit = ceil(average sales invoice amount x multiplier / 100) x 100</w:t>
      </w:r>
    </w:p>
    <w:p>
      <w:r>
        <w:t xml:space="preserve">A perfect score of 100 caps the limit at 3x the contact's average invoice size; a score of 0 recommends no further credit. The limit cell expands to show the average invoice amount, the score-derived multiplier, and the rounding. A contact currently owing more than their recommended limit is flagged with a warning icon and surfaced as an Early Warning.</w:t>
      </w:r>
    </w:p>
    <w:p>
      <w:pPr>
        <w:pStyle w:val="Heading3"/>
      </w:pPr>
      <w:r>
        <w:t xml:space="preserve">Syncing risk tiers back to Xero</w:t>
      </w:r>
    </w:p>
    <w:p>
      <w:r>
        <w:rPr>
          <w:rFonts w:ascii="Consolas" w:hAnsi="Consolas" w:cs="Consolas"/>
          <w:shd w:val="clear" w:fill="F0F0F0"/>
        </w:rPr>
        <w:t xml:space="preserve">POST /api/xero/credit-risk/sync?tenantId={id}</w:t>
      </w:r>
      <w:r>
        <w:t xml:space="preserve"> - writes each contact's current risk tier back to Xero as Contact Group membership (</w:t>
      </w:r>
      <w:r>
        <w:rPr>
          <w:rFonts w:ascii="Consolas" w:hAnsi="Consolas" w:cs="Consolas"/>
          <w:shd w:val="clear" w:fill="F0F0F0"/>
        </w:rPr>
        <w:t xml:space="preserve">Risk: High</w:t>
      </w:r>
      <w:r>
        <w:t xml:space="preserve"> / </w:t>
      </w:r>
      <w:r>
        <w:rPr>
          <w:rFonts w:ascii="Consolas" w:hAnsi="Consolas" w:cs="Consolas"/>
          <w:shd w:val="clear" w:fill="F0F0F0"/>
        </w:rPr>
        <w:t xml:space="preserve">Risk: Medium</w:t>
      </w:r>
      <w:r>
        <w:t xml:space="preserve"> / </w:t>
      </w:r>
      <w:r>
        <w:rPr>
          <w:rFonts w:ascii="Consolas" w:hAnsi="Consolas" w:cs="Consolas"/>
          <w:shd w:val="clear" w:fill="F0F0F0"/>
        </w:rPr>
        <w:t xml:space="preserve">Risk: Low</w:t>
      </w:r>
      <w:r>
        <w:t xml:space="preserve"> / </w:t>
      </w:r>
      <w:r>
        <w:rPr>
          <w:rFonts w:ascii="Consolas" w:hAnsi="Consolas" w:cs="Consolas"/>
          <w:shd w:val="clear" w:fill="F0F0F0"/>
        </w:rPr>
        <w:t xml:space="preserve">Risk: Current</w:t>
      </w:r>
      <w:r>
        <w:t xml:space="preserve">), visible natively in Xero's Contacts -&gt; Groups UI.</w:t>
      </w:r>
    </w:p>
    <w:p>
      <w:pPr>
        <w:pStyle w:val="Heading2"/>
      </w:pPr>
      <w:r>
        <w:t xml:space="preserve">Companies House enrichment</w:t>
      </w:r>
    </w:p>
    <w:p>
      <w:r>
        <w:t xml:space="preserve">Contacts with a </w:t>
      </w:r>
      <w:r>
        <w:rPr>
          <w:rFonts w:ascii="Consolas" w:hAnsi="Consolas" w:cs="Consolas"/>
          <w:shd w:val="clear" w:fill="F0F0F0"/>
        </w:rPr>
        <w:t xml:space="preserve">CompanyNumber</w:t>
      </w:r>
      <w:r>
        <w:t xml:space="preserve"> set in Xero are looked up against the Companies House Public Data API (developer.company-information.service.gov.uk) for status, incorporation date, whether statutory filings (accounts / confirmation statement) are overdue, and whether the company has ever been through insolvency proceedings or has registered charges. A company is treated as "distressed" if its status is dissolved, in liquidation, receivership, administration, a voluntary arrangement, or insolvency proceedings, or has converted/closed.</w:t>
      </w:r>
    </w:p>
    <w:p>
      <w:pPr>
        <w:pStyle w:val="Heading2"/>
      </w:pPr>
      <w:r>
        <w:t xml:space="preserve">Real-time updates</w:t>
      </w:r>
    </w:p>
    <w:p>
      <w:pPr>
        <w:ind w:left="720" w:hanging="360"/>
      </w:pPr>
      <w:r>
        <w:t xml:space="preserve"/>
      </w:r>
      <w:r>
        <w:rPr>
          <w:rFonts w:ascii="Consolas" w:hAnsi="Consolas" w:cs="Consolas"/>
          <w:shd w:val="clear" w:fill="F0F0F0"/>
        </w:rPr>
        <w:t xml:space="preserve">POST /webhooks/xero</w:t>
      </w:r>
      <w:r>
        <w:t xml:space="preserve"> - receives Xero's webhook notifications for invoice and contact changes. Every request's HMAC-SHA256 signature (</w:t>
      </w:r>
      <w:r>
        <w:rPr>
          <w:rFonts w:ascii="Consolas" w:hAnsi="Consolas" w:cs="Consolas"/>
          <w:shd w:val="clear" w:fill="F0F0F0"/>
        </w:rPr>
        <w:t xml:space="preserve">x-xero-signature</w:t>
      </w:r>
      <w:r>
        <w:t xml:space="preserve"> header, keyed with </w:t>
      </w:r>
      <w:r>
        <w:rPr>
          <w:rFonts w:ascii="Consolas" w:hAnsi="Consolas" w:cs="Consolas"/>
          <w:shd w:val="clear" w:fill="F0F0F0"/>
        </w:rPr>
        <w:t xml:space="preserve">Xero:WebhookKey</w:t>
      </w:r>
      <w:r>
        <w:t xml:space="preserve">) is validated before anything is trusted; an invalid signature returns 401 (required for Xero's "Intent to Receive" verification check).</w:t>
      </w:r>
    </w:p>
    <w:p>
      <w:pPr>
        <w:ind w:left="720" w:hanging="360"/>
      </w:pPr>
      <w:r>
        <w:t xml:space="preserve"/>
      </w:r>
      <w:r>
        <w:rPr>
          <w:rFonts w:ascii="Consolas" w:hAnsi="Consolas" w:cs="Consolas"/>
          <w:shd w:val="clear" w:fill="F0F0F0"/>
        </w:rPr>
        <w:t xml:space="preserve">GET /dashboard/events</w:t>
      </w:r>
      <w:r>
        <w:t xml:space="preserve"> - a Server-Sent Events stream. When a webhook resolves to one or more affected contact IDs, connected dashboard tabs receive the list and reload themselves, briefly highlighting the affected rows.</w:t>
      </w:r>
    </w:p>
    <w:p>
      <w:r>
        <w:t xml:space="preserve">Requires a public HTTPS URL for Xero to deliver webhooks to (a tunnel such as </w:t>
      </w:r>
      <w:r>
        <w:rPr>
          <w:rFonts w:ascii="Consolas" w:hAnsi="Consolas" w:cs="Consolas"/>
          <w:shd w:val="clear" w:fill="F0F0F0"/>
        </w:rPr>
        <w:t xml:space="preserve">devtunnel</w:t>
      </w:r>
      <w:r>
        <w:t xml:space="preserve"> in local development).</w:t>
      </w:r>
    </w:p>
    <w:p>
      <w:pPr>
        <w:pStyle w:val="Heading2"/>
      </w:pPr>
      <w:r>
        <w:t xml:space="preserve">Dev tooling</w:t>
      </w:r>
    </w:p>
    <w:p>
      <w:r>
        <w:rPr>
          <w:rFonts w:ascii="Consolas" w:hAnsi="Consolas" w:cs="Consolas"/>
          <w:shd w:val="clear" w:fill="F0F0F0"/>
        </w:rPr>
        <w:t xml:space="preserve">/dev</w:t>
      </w:r>
      <w:r>
        <w:t xml:space="preserve"> (</w:t>
      </w:r>
      <w:r>
        <w:rPr>
          <w:rFonts w:ascii="Consolas" w:hAnsi="Consolas" w:cs="Consolas"/>
          <w:shd w:val="clear" w:fill="F0F0F0"/>
        </w:rPr>
        <w:t xml:space="preserve">DevController</w:t>
      </w:r>
      <w:r>
        <w:t xml:space="preserve">) is demo/testing-only, not part of the real feature set:</w:t>
      </w:r>
    </w:p>
    <w:p>
      <w:pPr>
        <w:ind w:left="720" w:hanging="360"/>
      </w:pPr>
      <w:r>
        <w:t xml:space="preserve"/>
      </w:r>
      <w:r>
        <w:rPr>
          <w:rFonts w:ascii="Consolas" w:hAnsi="Consolas" w:cs="Consolas"/>
          <w:shd w:val="clear" w:fill="F0F0F0"/>
        </w:rPr>
        <w:t xml:space="preserve">GET /dev?tenantId={id}</w:t>
      </w:r>
      <w:r>
        <w:t xml:space="preserve"> - a grid of every counterparty with an editable "invoices to seed" count.</w:t>
      </w:r>
    </w:p>
    <w:p>
      <w:pPr>
        <w:ind w:left="720" w:hanging="360"/>
      </w:pPr>
      <w:r>
        <w:t xml:space="preserve"/>
      </w:r>
      <w:r>
        <w:rPr>
          <w:rFonts w:ascii="Consolas" w:hAnsi="Consolas" w:cs="Consolas"/>
          <w:shd w:val="clear" w:fill="F0F0F0"/>
        </w:rPr>
        <w:t xml:space="preserve">POST /dev/seed-invoices-bulk</w:t>
      </w:r>
      <w:r>
        <w:t xml:space="preserve"> - creates the requested number of test sales invoices per contact, with due dates spread across a fixed offset pattern (</w:t>
      </w:r>
      <w:r>
        <w:rPr>
          <w:rFonts w:ascii="Consolas" w:hAnsi="Consolas" w:cs="Consolas"/>
          <w:shd w:val="clear" w:fill="F0F0F0"/>
        </w:rPr>
        <w:t xml:space="preserve">-75, -45, -20, -5, 10, 25</w:t>
      </w:r>
      <w:r>
        <w:t xml:space="preserve"> days) so seeded data spans every risk tier.</w:t>
      </w:r>
    </w:p>
    <w:p>
      <w:pPr>
        <w:ind w:left="720" w:hanging="360"/>
      </w:pPr>
      <w:r>
        <w:t xml:space="preserve"/>
      </w:r>
      <w:r>
        <w:rPr>
          <w:rFonts w:ascii="Consolas" w:hAnsi="Consolas" w:cs="Consolas"/>
          <w:shd w:val="clear" w:fill="F0F0F0"/>
        </w:rPr>
        <w:t xml:space="preserve">POST /dev/populate-company-numbers</w:t>
      </w:r>
      <w:r>
        <w:t xml:space="preserve"> - assigns a Companies House number to every contact (except a small preserved set kept as intentional problem cases) from a pool of verified, clean, active companies.</w:t>
      </w:r>
    </w:p>
    <w:p>
      <w:pPr>
        <w:ind w:left="720" w:hanging="360"/>
      </w:pPr>
      <w:r>
        <w:t xml:space="preserve"/>
      </w:r>
      <w:r>
        <w:rPr>
          <w:rFonts w:ascii="Consolas" w:hAnsi="Consolas" w:cs="Consolas"/>
          <w:shd w:val="clear" w:fill="F0F0F0"/>
        </w:rPr>
        <w:t xml:space="preserve">POST /dev/set-company-number</w:t>
      </w:r>
      <w:r>
        <w:t xml:space="preserve"> - one-off override of a single contact's company number.</w:t>
      </w:r>
    </w:p>
    <w:p>
      <w:pPr>
        <w:pStyle w:val="Heading2"/>
      </w:pPr>
      <w:r>
        <w:t xml:space="preserve">Configuration</w:t>
      </w:r>
    </w:p>
    <w:p>
      <w:r>
        <w:t xml:space="preserve">See </w:t>
      </w:r>
      <w:r>
        <w:rPr>
          <w:rFonts w:ascii="Consolas" w:hAnsi="Consolas" w:cs="Consolas"/>
          <w:shd w:val="clear" w:fill="F0F0F0"/>
        </w:rPr>
        <w:t xml:space="preserve">appsettings.json</w:t>
      </w:r>
      <w:r>
        <w:t xml:space="preserve"> / user-secrets for </w:t>
      </w:r>
      <w:r>
        <w:rPr>
          <w:rFonts w:ascii="Consolas" w:hAnsi="Consolas" w:cs="Consolas"/>
          <w:shd w:val="clear" w:fill="F0F0F0"/>
        </w:rPr>
        <w:t xml:space="preserve">Xero:ClientId</w:t>
      </w:r>
      <w:r>
        <w:t xml:space="preserve">, </w:t>
      </w:r>
      <w:r>
        <w:rPr>
          <w:rFonts w:ascii="Consolas" w:hAnsi="Consolas" w:cs="Consolas"/>
          <w:shd w:val="clear" w:fill="F0F0F0"/>
        </w:rPr>
        <w:t xml:space="preserve">Xero:ClientSecret</w:t>
      </w:r>
      <w:r>
        <w:t xml:space="preserve">, </w:t>
      </w:r>
      <w:r>
        <w:rPr>
          <w:rFonts w:ascii="Consolas" w:hAnsi="Consolas" w:cs="Consolas"/>
          <w:shd w:val="clear" w:fill="F0F0F0"/>
        </w:rPr>
        <w:t xml:space="preserve">Xero:CallbackUri</w:t>
      </w:r>
      <w:r>
        <w:t xml:space="preserve">, </w:t>
      </w:r>
      <w:r>
        <w:rPr>
          <w:rFonts w:ascii="Consolas" w:hAnsi="Consolas" w:cs="Consolas"/>
          <w:shd w:val="clear" w:fill="F0F0F0"/>
        </w:rPr>
        <w:t xml:space="preserve">Xero:Scope</w:t>
      </w:r>
      <w:r>
        <w:t xml:space="preserve">, </w:t>
      </w:r>
      <w:r>
        <w:rPr>
          <w:rFonts w:ascii="Consolas" w:hAnsi="Consolas" w:cs="Consolas"/>
          <w:shd w:val="clear" w:fill="F0F0F0"/>
        </w:rPr>
        <w:t xml:space="preserve">Xero:WebhookKey</w:t>
      </w:r>
      <w:r>
        <w:t xml:space="preserve">, and </w:t>
      </w:r>
      <w:r>
        <w:rPr>
          <w:rFonts w:ascii="Consolas" w:hAnsi="Consolas" w:cs="Consolas"/>
          <w:shd w:val="clear" w:fill="F0F0F0"/>
        </w:rPr>
        <w:t xml:space="preserve">CompaniesHouse:ApiKey</w:t>
      </w:r>
      <w:r>
        <w:t xml:space="preserve">. See CLAUDE.md for the full stack, project structure, and setup instructions.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60" w:line="276" w:lineRule="auto"/>
    </w:pPr>
  </w:style>
  <w:style w:type="paragraph" w:styleId="Heading1">
    <w:name w:val="heading 1"/>
    <w:basedOn w:val="Normal"/>
    <w:pPr>
      <w:spacing w:before="360" w:after="200"/>
    </w:pPr>
    <w:rPr>
      <w:b/>
      <w:sz w:val="36"/>
      <w:color w:val="1F3864"/>
    </w:rPr>
  </w:style>
  <w:style w:type="paragraph" w:styleId="Heading2">
    <w:name w:val="heading 2"/>
    <w:basedOn w:val="Normal"/>
    <w:pPr>
      <w:spacing w:before="280" w:after="160"/>
    </w:pPr>
    <w:rPr>
      <w:b/>
      <w:sz w:val="28"/>
      <w:color w:val="2E5395"/>
    </w:rPr>
  </w:style>
  <w:style w:type="paragraph" w:styleId="Heading3">
    <w:name w:val="heading 3"/>
    <w:basedOn w:val="Normal"/>
    <w:pPr>
      <w:spacing w:before="200" w:after="120"/>
    </w:pPr>
    <w:rPr>
      <w:b/>
      <w:sz w:val="24"/>
      <w:color w:val="4444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