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Architecture &amp; Codebase Guide</w:t>
      </w:r>
    </w:p>
    <w:p>
      <w:r>
        <w:t xml:space="preserve">Technical reference for how </w:t>
      </w:r>
      <w:r>
        <w:rPr>
          <w:rFonts w:ascii="Consolas" w:hAnsi="Consolas" w:cs="Consolas"/>
          <w:shd w:val="clear" w:fill="F0F0F0"/>
        </w:rPr>
        <w:t xml:space="preserve">XeroExtension.Web</w:t>
      </w:r>
      <w:r>
        <w:t xml:space="preserve"> is put together. See </w:t>
      </w:r>
      <w:r>
        <w:rPr>
          <w:rFonts w:ascii="Consolas" w:hAnsi="Consolas" w:cs="Consolas"/>
          <w:shd w:val="clear" w:fill="F0F0F0"/>
        </w:rPr>
        <w:t xml:space="preserve">FEATURES.md</w:t>
      </w:r>
      <w:r>
        <w:t xml:space="preserve"> for what it does and </w:t>
      </w:r>
      <w:r>
        <w:rPr>
          <w:rFonts w:ascii="Consolas" w:hAnsi="Consolas" w:cs="Consolas"/>
          <w:shd w:val="clear" w:fill="F0F0F0"/>
        </w:rPr>
        <w:t xml:space="preserve">CLAUDE.md</w:t>
      </w:r>
      <w:r>
        <w:t xml:space="preserve"> for stack/setup basics.</w:t>
      </w:r>
    </w:p>
    <w:p>
      <w:pPr>
        <w:pStyle w:val="Heading2"/>
      </w:pPr>
      <w:r>
        <w:t xml:space="preserve">Stack</w:t>
      </w:r>
    </w:p>
    <w:p>
      <w:pPr>
        <w:ind w:left="720" w:hanging="360"/>
      </w:pPr>
      <w:r>
        <w:t xml:space="preserve">- </w:t>
      </w:r>
      <w:r>
        <w:t xml:space="preserve">.NET 10 / ASP.NET Core Web API, controller-based (no MVC views — every HTML response is a hand-built string returned as </w:t>
      </w:r>
      <w:r>
        <w:rPr>
          <w:rFonts w:ascii="Consolas" w:hAnsi="Consolas" w:cs="Consolas"/>
          <w:shd w:val="clear" w:fill="F0F0F0"/>
        </w:rPr>
        <w:t xml:space="preserve">ContentResult</w:t>
      </w:r>
      <w:r>
        <w:t xml:space="preserve">)</w:t>
      </w:r>
    </w:p>
    <w:p>
      <w:pPr>
        <w:ind w:left="720" w:hanging="360"/>
      </w:pPr>
      <w:r>
        <w:t xml:space="preserve">- </w:t>
      </w:r>
      <w:r>
        <w:rPr>
          <w:rFonts w:ascii="Consolas" w:hAnsi="Consolas" w:cs="Consolas"/>
          <w:shd w:val="clear" w:fill="F0F0F0"/>
        </w:rPr>
        <w:t xml:space="preserve">Xero.NetStandard.OAuth2</w:t>
      </w:r>
      <w:r>
        <w:t xml:space="preserve"> SDK (v14+) for OAuth 2.0 and the Accounting API</w:t>
      </w:r>
    </w:p>
    <w:p>
      <w:pPr>
        <w:ind w:left="720" w:hanging="360"/>
      </w:pPr>
      <w:r>
        <w:t xml:space="preserve">- </w:t>
      </w:r>
      <w:r>
        <w:rPr>
          <w:rFonts w:ascii="Consolas" w:hAnsi="Consolas" w:cs="Consolas"/>
          <w:shd w:val="clear" w:fill="F0F0F0"/>
        </w:rPr>
        <w:t xml:space="preserve">Microsoft.Extensions.Caching.Memory</w:t>
      </w:r>
      <w:r>
        <w:t xml:space="preserve"> for the token store and nothing else persistent — there is no database in this project</w:t>
      </w:r>
    </w:p>
    <w:p>
      <w:pPr>
        <w:pStyle w:val="Heading2"/>
      </w:pPr>
      <w:r>
        <w:t xml:space="preserve">Project layout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src/XeroExtension.Web/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Controllers/    HTTP endpoints — thin, delegate to Services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Services/       All business logic and external API calls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Models/         Plain data classes passed between Services and Controllers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Program.cs      DI container wiring, middleware pipeline</w:t>
      </w:r>
    </w:p>
    <w:p/>
    <w:p>
      <w:r>
        <w:t xml:space="preserve">Standard three-layer separation: Controllers never call Xero or Companies House directly, and Services never touch </w:t>
      </w:r>
      <w:r>
        <w:rPr>
          <w:rFonts w:ascii="Consolas" w:hAnsi="Consolas" w:cs="Consolas"/>
          <w:shd w:val="clear" w:fill="F0F0F0"/>
        </w:rPr>
        <w:t xml:space="preserve">HttpContext</w:t>
      </w:r>
      <w:r>
        <w:t xml:space="preserve"> or build HTML.</w:t>
      </w:r>
    </w:p>
    <w:p>
      <w:pPr>
        <w:pStyle w:val="Heading2"/>
      </w:pPr>
      <w:r>
        <w:t xml:space="preserve">Dependency injection (</w:t>
      </w:r>
      <w:r>
        <w:rPr>
          <w:rFonts w:ascii="Consolas" w:hAnsi="Consolas" w:cs="Consolas"/>
          <w:shd w:val="clear" w:fill="F0F0F0"/>
        </w:rPr>
        <w:t xml:space="preserve">Program.cs</w:t>
      </w:r>
      <w:r>
        <w:t xml:space="preserve">)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40"/>
        <w:gridCol w:w="3230"/>
        <w:gridCol w:w="3230"/>
      </w:tblGrid>
      <w:tr>
        <w:tc>
          <w:tcPr>
            <w:tcW w:w="3040" w:type="dxa"/>
            <w:shd w:val="clear" w:fill="DDEBF7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3230" w:type="dxa"/>
            <w:shd w:val="clear" w:fill="DDEBF7"/>
          </w:tcPr>
          <w:p>
            <w:r>
              <w:rPr>
                <w:b/>
              </w:rPr>
              <w:t xml:space="preserve">Lifetime</w:t>
            </w:r>
          </w:p>
        </w:tc>
        <w:tc>
          <w:tcPr>
            <w:tcW w:w="3230" w:type="dxa"/>
            <w:shd w:val="clear" w:fill="DDEBF7"/>
          </w:tcPr>
          <w:p>
            <w:r>
              <w:rPr>
                <w:b/>
              </w:rPr>
              <w:t xml:space="preserve">Why</w:t>
            </w:r>
          </w:p>
        </w:tc>
      </w:tr>
      <w:tr>
        <w:tc>
          <w:tcPr>
            <w:tcW w:w="3040" w:type="dxa"/>
          </w:tcPr>
          <w:p>
            <w:r>
              <w:t xml:space="preserve">ITokenStore → InMemoryTokenStore</w:t>
            </w:r>
          </w:p>
        </w:tc>
        <w:tc>
          <w:tcPr>
            <w:tcW w:w="3230" w:type="dxa"/>
          </w:tcPr>
          <w:p>
            <w:r>
              <w:t xml:space="preserve">Singleton</w:t>
            </w:r>
          </w:p>
        </w:tc>
        <w:tc>
          <w:tcPr>
            <w:tcW w:w="3230" w:type="dxa"/>
          </w:tcPr>
          <w:p>
            <w:r>
              <w:t xml:space="preserve">Backed by IMemoryCache; needs to persist across requests within the process</w:t>
            </w:r>
          </w:p>
        </w:tc>
      </w:tr>
      <w:tr>
        <w:tc>
          <w:tcPr>
            <w:tcW w:w="3040" w:type="dxa"/>
          </w:tcPr>
          <w:p>
            <w:r>
              <w:t xml:space="preserve">IXeroClient (SDK)</w:t>
            </w:r>
          </w:p>
        </w:tc>
        <w:tc>
          <w:tcPr>
            <w:tcW w:w="3230" w:type="dxa"/>
          </w:tcPr>
          <w:p>
            <w:r>
              <w:t xml:space="preserve">via AddHttpClient</w:t>
            </w:r>
          </w:p>
        </w:tc>
        <w:tc>
          <w:tcPr>
            <w:tcW w:w="3230" w:type="dxa"/>
          </w:tcPr>
          <w:p>
            <w:r>
              <w:t xml:space="preserve">One HttpClient per client type, standard pattern</w:t>
            </w:r>
          </w:p>
        </w:tc>
      </w:tr>
      <w:tr>
        <w:tc>
          <w:tcPr>
            <w:tcW w:w="3040" w:type="dxa"/>
          </w:tcPr>
          <w:p>
            <w:r>
              <w:t xml:space="preserve">IXeroService → XeroService</w:t>
            </w:r>
          </w:p>
        </w:tc>
        <w:tc>
          <w:tcPr>
            <w:tcW w:w="3230" w:type="dxa"/>
          </w:tcPr>
          <w:p>
            <w:r>
              <w:t xml:space="preserve">Scoped</w:t>
            </w:r>
          </w:p>
        </w:tc>
        <w:tc>
          <w:tcPr>
            <w:tcW w:w="3230" w:type="dxa"/>
          </w:tcPr>
          <w:p>
            <w:r>
              <w:t xml:space="preserve">Talks to Xero using the current request's token</w:t>
            </w:r>
          </w:p>
        </w:tc>
      </w:tr>
      <w:tr>
        <w:tc>
          <w:tcPr>
            <w:tcW w:w="3040" w:type="dxa"/>
          </w:tcPr>
          <w:p>
            <w:r>
              <w:t xml:space="preserve">ICreditRiskService → CreditRiskService</w:t>
            </w:r>
          </w:p>
        </w:tc>
        <w:tc>
          <w:tcPr>
            <w:tcW w:w="3230" w:type="dxa"/>
          </w:tcPr>
          <w:p>
            <w:r>
              <w:t xml:space="preserve">Scoped</w:t>
            </w:r>
          </w:p>
        </w:tc>
        <w:tc>
          <w:tcPr>
            <w:tcW w:w="3230" w:type="dxa"/>
          </w:tcPr>
          <w:p>
            <w:r>
              <w:t xml:space="preserve">See caching below — the scoping is load-bearing, not incidental</w:t>
            </w:r>
          </w:p>
        </w:tc>
      </w:tr>
      <w:tr>
        <w:tc>
          <w:tcPr>
            <w:tcW w:w="3040" w:type="dxa"/>
          </w:tcPr>
          <w:p>
            <w:r>
              <w:t xml:space="preserve">ICompaniesHouseService → CompaniesHouseService</w:t>
            </w:r>
          </w:p>
        </w:tc>
        <w:tc>
          <w:tcPr>
            <w:tcW w:w="3230" w:type="dxa"/>
          </w:tcPr>
          <w:p>
            <w:r>
              <w:t xml:space="preserve">via AddHttpClient</w:t>
            </w:r>
          </w:p>
        </w:tc>
        <w:tc>
          <w:tcPr>
            <w:tcW w:w="3230" w:type="dxa"/>
          </w:tcPr>
          <w:p>
            <w:r>
              <w:t xml:space="preserve">HttpClient pre-configured with Basic-auth header built from CompaniesHouse:ApiKey</w:t>
            </w:r>
          </w:p>
        </w:tc>
      </w:tr>
      <w:tr>
        <w:tc>
          <w:tcPr>
            <w:tcW w:w="3040" w:type="dxa"/>
          </w:tcPr>
          <w:p>
            <w:r>
              <w:t xml:space="preserve">DashboardNotifier</w:t>
            </w:r>
          </w:p>
        </w:tc>
        <w:tc>
          <w:tcPr>
            <w:tcW w:w="3230" w:type="dxa"/>
          </w:tcPr>
          <w:p>
            <w:r>
              <w:t xml:space="preserve">Singleton</w:t>
            </w:r>
          </w:p>
        </w:tc>
        <w:tc>
          <w:tcPr>
            <w:tcW w:w="3230" w:type="dxa"/>
          </w:tcPr>
          <w:p>
            <w:r>
              <w:t xml:space="preserve">Must be shared across all requests/connections to fan out webhook events to every open SSE connection</w:t>
            </w:r>
          </w:p>
        </w:tc>
      </w:tr>
    </w:tbl>
    <w:p/>
    <w:p>
      <w:r>
        <w:rPr>
          <w:rFonts w:ascii="Consolas" w:hAnsi="Consolas" w:cs="Consolas"/>
          <w:shd w:val="clear" w:fill="F0F0F0"/>
        </w:rPr>
        <w:t xml:space="preserve">AddJsonOptions</w:t>
      </w:r>
      <w:r>
        <w:t xml:space="preserve"> registers a global </w:t>
      </w:r>
      <w:r>
        <w:rPr>
          <w:rFonts w:ascii="Consolas" w:hAnsi="Consolas" w:cs="Consolas"/>
          <w:shd w:val="clear" w:fill="F0F0F0"/>
        </w:rPr>
        <w:t xml:space="preserve">JsonStringEnumConverter</w:t>
      </w:r>
      <w:r>
        <w:t xml:space="preserve"> so every enum (</w:t>
      </w:r>
      <w:r>
        <w:rPr>
          <w:rFonts w:ascii="Consolas" w:hAnsi="Consolas" w:cs="Consolas"/>
          <w:shd w:val="clear" w:fill="F0F0F0"/>
        </w:rPr>
        <w:t xml:space="preserve">CreditRiskLevel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EarlyWarningType</w:t>
      </w:r>
      <w:r>
        <w:t xml:space="preserve">) serialises as its name, not a number.</w:t>
      </w:r>
    </w:p>
    <w:p>
      <w:r>
        <w:t xml:space="preserve">A single </w:t>
      </w:r>
      <w:r>
        <w:rPr>
          <w:rFonts w:ascii="Consolas" w:hAnsi="Consolas" w:cs="Consolas"/>
          <w:shd w:val="clear" w:fill="F0F0F0"/>
        </w:rPr>
        <w:t xml:space="preserve">app.UseExceptionHandler(...)</w:t>
      </w:r>
      <w:r>
        <w:t xml:space="preserve"> middleware maps </w:t>
      </w:r>
      <w:r>
        <w:rPr>
          <w:rFonts w:ascii="Consolas" w:hAnsi="Consolas" w:cs="Consolas"/>
          <w:shd w:val="clear" w:fill="F0F0F0"/>
        </w:rPr>
        <w:t xml:space="preserve">NotConnectedException</w:t>
      </w:r>
      <w:r>
        <w:t xml:space="preserve"> to HTTP 401 and anything else to a generic 500 — this is the only centralised error handling in the app; controllers don't try/catch.</w:t>
      </w:r>
    </w:p>
    <w:p>
      <w:pPr>
        <w:pStyle w:val="Heading2"/>
      </w:pPr>
      <w:r>
        <w:t xml:space="preserve">Authentication &amp; token lifecycle</w:t>
      </w:r>
    </w:p>
    <w:p>
      <w:pPr>
        <w:ind w:left="720" w:hanging="360"/>
      </w:pPr>
      <w:r>
        <w:t xml:space="preserve">- </w:t>
      </w:r>
      <w:r>
        <w:rPr>
          <w:rFonts w:ascii="Consolas" w:hAnsi="Consolas" w:cs="Consolas"/>
          <w:shd w:val="clear" w:fill="F0F0F0"/>
        </w:rPr>
        <w:t xml:space="preserve">AuthController</w:t>
      </w:r>
      <w:r>
        <w:t xml:space="preserve"> — three endpoints (</w:t>
      </w:r>
      <w:r>
        <w:rPr>
          <w:rFonts w:ascii="Consolas" w:hAnsi="Consolas" w:cs="Consolas"/>
          <w:shd w:val="clear" w:fill="F0F0F0"/>
        </w:rPr>
        <w:t xml:space="preserve">connect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callback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disconnect</w:t>
      </w:r>
      <w:r>
        <w:t xml:space="preserve">) that drive the OAuth 2.0 Authorization Code flow using the SDK's </w:t>
      </w:r>
      <w:r>
        <w:rPr>
          <w:rFonts w:ascii="Consolas" w:hAnsi="Consolas" w:cs="Consolas"/>
          <w:shd w:val="clear" w:fill="F0F0F0"/>
        </w:rPr>
        <w:t xml:space="preserve">IXeroClient</w:t>
      </w:r>
      <w:r>
        <w:t xml:space="preserve">.</w:t>
      </w:r>
    </w:p>
    <w:p>
      <w:pPr>
        <w:ind w:left="720" w:hanging="360"/>
      </w:pPr>
      <w:r>
        <w:t xml:space="preserve">- </w:t>
      </w:r>
      <w:r>
        <w:t xml:space="preserve">Tokens are stored via </w:t>
      </w:r>
      <w:r>
        <w:rPr>
          <w:rFonts w:ascii="Consolas" w:hAnsi="Consolas" w:cs="Consolas"/>
          <w:shd w:val="clear" w:fill="F0F0F0"/>
        </w:rPr>
        <w:t xml:space="preserve">ITokenStore</w:t>
      </w:r>
      <w:r>
        <w:t xml:space="preserve"> keyed by a </w:t>
      </w:r>
      <w:r>
        <w:rPr>
          <w:b/>
        </w:rPr>
        <w:t xml:space="preserve">hardcoded `UserId` constant</w:t>
      </w:r>
      <w:r>
        <w:t xml:space="preserve"> (</w:t>
      </w:r>
      <w:r>
        <w:rPr>
          <w:rFonts w:ascii="Consolas" w:hAnsi="Consolas" w:cs="Consolas"/>
          <w:shd w:val="clear" w:fill="F0F0F0"/>
        </w:rPr>
        <w:t xml:space="preserve">"default-user"</w:t>
      </w:r>
      <w:r>
        <w:t xml:space="preserve">) — this is a single-tenant/single-user demo design. A real multi-user deployment replaces every </w:t>
      </w:r>
      <w:r>
        <w:rPr>
          <w:rFonts w:ascii="Consolas" w:hAnsi="Consolas" w:cs="Consolas"/>
          <w:shd w:val="clear" w:fill="F0F0F0"/>
        </w:rPr>
        <w:t xml:space="preserve">UserId</w:t>
      </w:r>
      <w:r>
        <w:t xml:space="preserve"> constant (there's one each in </w:t>
      </w:r>
      <w:r>
        <w:rPr>
          <w:rFonts w:ascii="Consolas" w:hAnsi="Consolas" w:cs="Consolas"/>
          <w:shd w:val="clear" w:fill="F0F0F0"/>
        </w:rPr>
        <w:t xml:space="preserve">AuthController</w:t>
      </w:r>
      <w:r>
        <w:t xml:space="preserve"> and </w:t>
      </w:r>
      <w:r>
        <w:rPr>
          <w:rFonts w:ascii="Consolas" w:hAnsi="Consolas" w:cs="Consolas"/>
          <w:shd w:val="clear" w:fill="F0F0F0"/>
        </w:rPr>
        <w:t xml:space="preserve">XeroService</w:t>
      </w:r>
      <w:r>
        <w:t xml:space="preserve">) with a value derived from </w:t>
      </w:r>
      <w:r>
        <w:rPr>
          <w:rFonts w:ascii="Consolas" w:hAnsi="Consolas" w:cs="Consolas"/>
          <w:shd w:val="clear" w:fill="F0F0F0"/>
        </w:rPr>
        <w:t xml:space="preserve">HttpContext.User</w:t>
      </w:r>
      <w:r>
        <w:t xml:space="preserve"> claims, and swaps </w:t>
      </w:r>
      <w:r>
        <w:rPr>
          <w:rFonts w:ascii="Consolas" w:hAnsi="Consolas" w:cs="Consolas"/>
          <w:shd w:val="clear" w:fill="F0F0F0"/>
        </w:rPr>
        <w:t xml:space="preserve">InMemoryTokenStore</w:t>
      </w:r>
      <w:r>
        <w:t xml:space="preserve"> for a persistent, per-user store.</w:t>
      </w:r>
    </w:p>
    <w:p>
      <w:pPr>
        <w:ind w:left="720" w:hanging="360"/>
      </w:pPr>
      <w:r>
        <w:t xml:space="preserve">- </w:t>
      </w:r>
      <w:r>
        <w:rPr>
          <w:rFonts w:ascii="Consolas" w:hAnsi="Consolas" w:cs="Consolas"/>
          <w:shd w:val="clear" w:fill="F0F0F0"/>
        </w:rPr>
        <w:t xml:space="preserve">InMemoryTokenStore</w:t>
      </w:r>
      <w:r>
        <w:t xml:space="preserve"> wraps </w:t>
      </w:r>
      <w:r>
        <w:rPr>
          <w:rFonts w:ascii="Consolas" w:hAnsi="Consolas" w:cs="Consolas"/>
          <w:shd w:val="clear" w:fill="F0F0F0"/>
        </w:rPr>
        <w:t xml:space="preserve">IMemoryCache</w:t>
      </w:r>
      <w:r>
        <w:t xml:space="preserve"> with a 24-hour absolute expiration — but in practice tokens vanish immediately whenever the app process restarts (</w:t>
      </w:r>
      <w:r>
        <w:rPr>
          <w:rFonts w:ascii="Consolas" w:hAnsi="Consolas" w:cs="Consolas"/>
          <w:shd w:val="clear" w:fill="F0F0F0"/>
        </w:rPr>
        <w:t xml:space="preserve">dotnet run</w:t>
      </w:r>
      <w:r>
        <w:t xml:space="preserve"> during development), which is why reconnecting via </w:t>
      </w:r>
      <w:r>
        <w:rPr>
          <w:rFonts w:ascii="Consolas" w:hAnsi="Consolas" w:cs="Consolas"/>
          <w:shd w:val="clear" w:fill="F0F0F0"/>
        </w:rPr>
        <w:t xml:space="preserve">/auth/xero/connect</w:t>
      </w:r>
      <w:r>
        <w:t xml:space="preserve"> is needed after every restart.</w:t>
      </w:r>
    </w:p>
    <w:p>
      <w:pPr>
        <w:ind w:left="720" w:hanging="360"/>
      </w:pPr>
      <w:r>
        <w:t xml:space="preserve">- </w:t>
      </w:r>
      <w:r>
        <w:t xml:space="preserve">Token refresh is handled transparently: </w:t>
      </w:r>
      <w:r>
        <w:rPr>
          <w:rFonts w:ascii="Consolas" w:hAnsi="Consolas" w:cs="Consolas"/>
          <w:shd w:val="clear" w:fill="F0F0F0"/>
        </w:rPr>
        <w:t xml:space="preserve">XeroService.GetValidTokenAsync()</w:t>
      </w:r>
      <w:r>
        <w:t xml:space="preserve"> is the single choke point every API call goes through. It checks </w:t>
      </w:r>
      <w:r>
        <w:rPr>
          <w:rFonts w:ascii="Consolas" w:hAnsi="Consolas" w:cs="Consolas"/>
          <w:shd w:val="clear" w:fill="F0F0F0"/>
        </w:rPr>
        <w:t xml:space="preserve">XeroTokenSet.IsExpired</w:t>
      </w:r>
      <w:r>
        <w:t xml:space="preserve"> (a 1-minute safety margin before the real expiry) and, if expired, calls the SDK's refresh-token flow and writes the new token set back to the store before returning it. Callers never see or handle expiry themselves.</w:t>
      </w:r>
    </w:p>
    <w:p>
      <w:pPr>
        <w:pStyle w:val="Heading2"/>
      </w:pPr>
      <w:r>
        <w:t xml:space="preserve">Xero SDK integration notes</w:t>
      </w:r>
    </w:p>
    <w:p>
      <w:pPr>
        <w:ind w:left="720" w:hanging="360"/>
      </w:pPr>
      <w:r>
        <w:t xml:space="preserve">- </w:t>
      </w:r>
      <w:r>
        <w:t xml:space="preserve">All Accounting API calls go through a single </w:t>
      </w:r>
      <w:r>
        <w:rPr>
          <w:rFonts w:ascii="Consolas" w:hAnsi="Consolas" w:cs="Consolas"/>
          <w:shd w:val="clear" w:fill="F0F0F0"/>
        </w:rPr>
        <w:t xml:space="preserve">AccountingApi</w:t>
      </w:r>
      <w:r>
        <w:t xml:space="preserve"> instance held by </w:t>
      </w:r>
      <w:r>
        <w:rPr>
          <w:rFonts w:ascii="Consolas" w:hAnsi="Consolas" w:cs="Consolas"/>
          <w:shd w:val="clear" w:fill="F0F0F0"/>
        </w:rPr>
        <w:t xml:space="preserve">XeroService</w:t>
      </w:r>
      <w:r>
        <w:t xml:space="preserve">.</w:t>
      </w:r>
    </w:p>
    <w:p>
      <w:pPr>
        <w:ind w:left="720" w:hanging="360"/>
      </w:pPr>
      <w:r>
        <w:t xml:space="preserve">- </w:t>
      </w:r>
      <w:r>
        <w:t xml:space="preserve">The SDK's generated response wrapper types expose their collections through </w:t>
      </w:r>
      <w:r>
        <w:rPr>
          <w:b/>
        </w:rPr>
        <w:t xml:space="preserve">underscore-prefixed properties</w:t>
      </w:r>
      <w:r>
        <w:t xml:space="preserve"> — </w:t>
      </w:r>
      <w:r>
        <w:rPr>
          <w:rFonts w:ascii="Consolas" w:hAnsi="Consolas" w:cs="Consolas"/>
          <w:shd w:val="clear" w:fill="F0F0F0"/>
        </w:rPr>
        <w:t xml:space="preserve">_Invoices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_Contacts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_Accounts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_ContactGroups</w:t>
      </w:r>
      <w:r>
        <w:t xml:space="preserve"> — an artefact of the swagger-codegen generator, not a typo. Every call site null-coalesces to </w:t>
      </w:r>
      <w:r>
        <w:rPr>
          <w:rFonts w:ascii="Consolas" w:hAnsi="Consolas" w:cs="Consolas"/>
          <w:shd w:val="clear" w:fill="F0F0F0"/>
        </w:rPr>
        <w:t xml:space="preserve">[]</w:t>
      </w:r>
      <w:r>
        <w:t xml:space="preserve"> since the SDK returns </w:t>
      </w:r>
      <w:r>
        <w:rPr>
          <w:rFonts w:ascii="Consolas" w:hAnsi="Consolas" w:cs="Consolas"/>
          <w:shd w:val="clear" w:fill="F0F0F0"/>
        </w:rPr>
        <w:t xml:space="preserve">null</w:t>
      </w:r>
      <w:r>
        <w:t xml:space="preserve"> collections rather than empty ones on some responses.</w:t>
      </w:r>
    </w:p>
    <w:p>
      <w:pPr>
        <w:ind w:left="720" w:hanging="360"/>
      </w:pPr>
      <w:r>
        <w:t xml:space="preserve">- </w:t>
      </w:r>
      <w:r>
        <w:rPr>
          <w:rFonts w:ascii="Consolas" w:hAnsi="Consolas" w:cs="Consolas"/>
          <w:shd w:val="clear" w:fill="F0F0F0"/>
        </w:rPr>
        <w:t xml:space="preserve">XeroService</w:t>
      </w:r>
      <w:r>
        <w:t xml:space="preserve"> also does a few things beyond plain passthroughs:</w:t>
      </w:r>
    </w:p>
    <w:p>
      <w:pPr>
        <w:ind w:left="1080" w:hanging="360"/>
      </w:pPr>
      <w:r>
        <w:t xml:space="preserve">o </w:t>
      </w:r>
      <w:r>
        <w:rPr>
          <w:rFonts w:ascii="Consolas" w:hAnsi="Consolas" w:cs="Consolas"/>
          <w:shd w:val="clear" w:fill="F0F0F0"/>
        </w:rPr>
        <w:t xml:space="preserve">EnsureContactGroupAsync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ReplaceContactGroupMembersAsync</w:t>
      </w:r>
      <w:r>
        <w:t xml:space="preserve"> — find-or-create a named Contact Group, then wholesale-replace its membership (delete all existing group-contact links, then re-add). Used to sync computed risk tiers back into Xero as native groups.</w:t>
      </w:r>
    </w:p>
    <w:p>
      <w:pPr>
        <w:ind w:left="1080" w:hanging="360"/>
      </w:pPr>
      <w:r>
        <w:t xml:space="preserve">o </w:t>
      </w:r>
      <w:r>
        <w:rPr>
          <w:rFonts w:ascii="Consolas" w:hAnsi="Consolas" w:cs="Consolas"/>
          <w:shd w:val="clear" w:fill="F0F0F0"/>
        </w:rPr>
        <w:t xml:space="preserve">GetInvoiceContactIdAsync</w:t>
      </w:r>
      <w:r>
        <w:t xml:space="preserve"> — looks up a single invoice by ID to resolve which contact a webhook INVOICE event affects.</w:t>
      </w:r>
    </w:p>
    <w:p>
      <w:pPr>
        <w:ind w:left="1080" w:hanging="360"/>
      </w:pPr>
      <w:r>
        <w:t xml:space="preserve">o </w:t>
      </w:r>
      <w:r>
        <w:rPr>
          <w:rFonts w:ascii="Consolas" w:hAnsi="Consolas" w:cs="Consolas"/>
          <w:shd w:val="clear" w:fill="F0F0F0"/>
        </w:rPr>
        <w:t xml:space="preserve">CreateSalesInvoiceAsync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SetContactCompanyNumberAsync</w:t>
      </w:r>
      <w:r>
        <w:t xml:space="preserve"> — write operations used only by the dev/demo seeding tooling, not the real feature set.</w:t>
      </w:r>
    </w:p>
    <w:p>
      <w:pPr>
        <w:pStyle w:val="Heading2"/>
      </w:pPr>
      <w:r>
        <w:t xml:space="preserve">The credit risk domain layer (</w:t>
      </w:r>
      <w:r>
        <w:rPr>
          <w:rFonts w:ascii="Consolas" w:hAnsi="Consolas" w:cs="Consolas"/>
          <w:shd w:val="clear" w:fill="F0F0F0"/>
        </w:rPr>
        <w:t xml:space="preserve">CreditRiskService</w:t>
      </w:r>
      <w:r>
        <w:t xml:space="preserve">)</w:t>
      </w:r>
    </w:p>
    <w:p>
      <w:r>
        <w:t xml:space="preserve">This is where almost all of the actual logic lives. It's registered </w:t>
      </w:r>
      <w:r>
        <w:rPr>
          <w:b/>
        </w:rPr>
        <w:t xml:space="preserve">Scoped</w:t>
      </w:r>
      <w:r>
        <w:t xml:space="preserve">, meaning one instance per HTTP request — and that's deliberate: several of its public methods depend on each other, and without request-scoped caching each dependent call would independently re-fetch invoices and re-run the (rate-limited, network-bound) Companies House lookups from scratch.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private List&lt;Invoice&gt;?            _cachedInvoices;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private List&lt;ContactCreditRisk&gt;?  _cachedRisk;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private List&lt;ContactPaymentTrend&gt;? _cachedTrend;</w:t>
      </w:r>
    </w:p>
    <w:p/>
    <w:p>
      <w:r>
        <w:rPr>
          <w:rFonts w:ascii="Consolas" w:hAnsi="Consolas" w:cs="Consolas"/>
          <w:shd w:val="clear" w:fill="F0F0F0"/>
        </w:rPr>
        <w:t xml:space="preserve">GetInvoicesCachedAsync</w:t>
      </w:r>
      <w:r>
        <w:t xml:space="preserve"> and the </w:t>
      </w:r>
      <w:r>
        <w:rPr>
          <w:rFonts w:ascii="Consolas" w:hAnsi="Consolas" w:cs="Consolas"/>
          <w:shd w:val="clear" w:fill="F0F0F0"/>
        </w:rPr>
        <w:t xml:space="preserve">_cachedRisk</w:t>
      </w:r>
      <w:r>
        <w:t xml:space="preserve">/</w:t>
      </w:r>
      <w:r>
        <w:rPr>
          <w:rFonts w:ascii="Consolas" w:hAnsi="Consolas" w:cs="Consolas"/>
          <w:shd w:val="clear" w:fill="F0F0F0"/>
        </w:rPr>
        <w:t xml:space="preserve">_cachedTrend</w:t>
      </w:r>
      <w:r>
        <w:t xml:space="preserve"> null-checks at the top of </w:t>
      </w:r>
      <w:r>
        <w:rPr>
          <w:rFonts w:ascii="Consolas" w:hAnsi="Consolas" w:cs="Consolas"/>
          <w:shd w:val="clear" w:fill="F0F0F0"/>
        </w:rPr>
        <w:t xml:space="preserve">GetContactRiskAsync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GetPaymentTrendAsync</w:t>
      </w:r>
      <w:r>
        <w:t xml:space="preserve"> are a simple memoize-once-per-request pattern — safe only because the service itself doesn't outlive one request.</w:t>
      </w:r>
    </w:p>
    <w:p>
      <w:pPr>
        <w:pStyle w:val="Heading3"/>
      </w:pPr>
      <w:r>
        <w:t xml:space="preserve">Method dependency graph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GetContactRiskAsync            (invoices, contacts, Companies House)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├──&gt; GetPaymentTrendAsync        (invoices only)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├──&gt; GetCreditScoresAsync        (risk + trend)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 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         └──&gt; GetCreditLimitRecommendationsAsync  (invoices + risk + score)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               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└───────────────────────┴──&gt; GetEarlyWarningsAsync (risk + trend + recommendations)</w:t>
      </w:r>
    </w:p>
    <w:p/>
    <w:p>
      <w:r>
        <w:t xml:space="preserve">This shape matters: </w:t>
      </w:r>
      <w:r>
        <w:rPr>
          <w:rFonts w:ascii="Consolas" w:hAnsi="Consolas" w:cs="Consolas"/>
          <w:shd w:val="clear" w:fill="F0F0F0"/>
        </w:rPr>
        <w:t xml:space="preserve">GetCreditScoresAsync</w:t>
      </w:r>
      <w:r>
        <w:t xml:space="preserve"> deliberately does </w:t>
      </w:r>
      <w:r>
        <w:rPr>
          <w:b/>
        </w:rPr>
        <w:t xml:space="preserve">not</w:t>
      </w:r>
      <w:r>
        <w:t xml:space="preserve"> depend on </w:t>
      </w:r>
      <w:r>
        <w:rPr>
          <w:rFonts w:ascii="Consolas" w:hAnsi="Consolas" w:cs="Consolas"/>
          <w:shd w:val="clear" w:fill="F0F0F0"/>
        </w:rPr>
        <w:t xml:space="preserve">GetCreditLimitRecommendationsAsync</w:t>
      </w:r>
      <w:r>
        <w:t xml:space="preserve"> (it used to, via an "exceeds recommended limit" score deduction, which was removed once the limit itself became score-driven — that would otherwise have created a circular dependency: limit needs score, score needs limit).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GetContactRiskAsync</w:t>
      </w:r>
    </w:p>
    <w:p>
      <w:pPr>
        <w:ind w:left="720" w:hanging="360"/>
      </w:pPr>
      <w:r>
        <w:t xml:space="preserve">1. </w:t>
      </w:r>
      <w:r>
        <w:t xml:space="preserve">Filters invoices to outstanding </w:t>
      </w:r>
      <w:r>
        <w:rPr>
          <w:rFonts w:ascii="Consolas" w:hAnsi="Consolas" w:cs="Consolas"/>
          <w:shd w:val="clear" w:fill="F0F0F0"/>
        </w:rPr>
        <w:t xml:space="preserve">ACCREC</w:t>
      </w:r>
      <w:r>
        <w:t xml:space="preserve"> (sales) invoices with </w:t>
      </w:r>
      <w:r>
        <w:rPr>
          <w:rFonts w:ascii="Consolas" w:hAnsi="Consolas" w:cs="Consolas"/>
          <w:shd w:val="clear" w:fill="F0F0F0"/>
        </w:rPr>
        <w:t xml:space="preserve">AmountDue &gt; 0</w:t>
      </w:r>
      <w:r>
        <w:t xml:space="preserve">, groups by contact.</w:t>
      </w:r>
    </w:p>
    <w:p>
      <w:pPr>
        <w:ind w:left="720" w:hanging="360"/>
      </w:pPr>
      <w:r>
        <w:t xml:space="preserve">2. </w:t>
      </w:r>
      <w:r>
        <w:t xml:space="preserve">For each group, computes </w:t>
      </w:r>
      <w:r>
        <w:rPr>
          <w:rFonts w:ascii="Consolas" w:hAnsi="Consolas" w:cs="Consolas"/>
          <w:shd w:val="clear" w:fill="F0F0F0"/>
        </w:rPr>
        <w:t xml:space="preserve">OldestOverdueDays</w:t>
      </w:r>
      <w:r>
        <w:t xml:space="preserve"> and buckets it into a </w:t>
      </w:r>
      <w:r>
        <w:rPr>
          <w:rFonts w:ascii="Consolas" w:hAnsi="Consolas" w:cs="Consolas"/>
          <w:shd w:val="clear" w:fill="F0F0F0"/>
        </w:rPr>
        <w:t xml:space="preserve">CreditRiskLevel</w:t>
      </w:r>
      <w:r>
        <w:t xml:space="preserve"> (</w:t>
      </w:r>
      <w:r>
        <w:rPr>
          <w:rFonts w:ascii="Consolas" w:hAnsi="Consolas" w:cs="Consolas"/>
          <w:shd w:val="clear" w:fill="F0F0F0"/>
        </w:rPr>
        <w:t xml:space="preserve">Current</w:t>
      </w:r>
      <w:r>
        <w:t xml:space="preserve"> if nothing's overdue, else </w:t>
      </w:r>
      <w:r>
        <w:rPr>
          <w:rFonts w:ascii="Consolas" w:hAnsi="Consolas" w:cs="Consolas"/>
          <w:shd w:val="clear" w:fill="F0F0F0"/>
        </w:rPr>
        <w:t xml:space="preserve">Low</w:t>
      </w:r>
      <w:r>
        <w:t xml:space="preserve"> &lt;30 days, </w:t>
      </w:r>
      <w:r>
        <w:rPr>
          <w:rFonts w:ascii="Consolas" w:hAnsi="Consolas" w:cs="Consolas"/>
          <w:shd w:val="clear" w:fill="F0F0F0"/>
        </w:rPr>
        <w:t xml:space="preserve">Medium</w:t>
      </w:r>
      <w:r>
        <w:t xml:space="preserve"> &lt;60, </w:t>
      </w:r>
      <w:r>
        <w:rPr>
          <w:rFonts w:ascii="Consolas" w:hAnsi="Consolas" w:cs="Consolas"/>
          <w:shd w:val="clear" w:fill="F0F0F0"/>
        </w:rPr>
        <w:t xml:space="preserve">High</w:t>
      </w:r>
      <w:r>
        <w:t xml:space="preserve"> ≥60).</w:t>
      </w:r>
    </w:p>
    <w:p>
      <w:pPr>
        <w:ind w:left="720" w:hanging="360"/>
      </w:pPr>
      <w:r>
        <w:t xml:space="preserve">3. </w:t>
      </w:r>
      <w:r>
        <w:t xml:space="preserve">Resolves each contact's </w:t>
      </w:r>
      <w:r>
        <w:rPr>
          <w:rFonts w:ascii="Consolas" w:hAnsi="Consolas" w:cs="Consolas"/>
          <w:shd w:val="clear" w:fill="F0F0F0"/>
        </w:rPr>
        <w:t xml:space="preserve">CompanyNumber</w:t>
      </w:r>
      <w:r>
        <w:t xml:space="preserve"> (if set in Xero) and fires off Companies House lookups for every </w:t>
      </w:r>
      <w:r>
        <w:rPr>
          <w:b/>
        </w:rPr>
        <w:t xml:space="preserve">distinct</w:t>
      </w:r>
      <w:r>
        <w:t xml:space="preserve"> company number in parallel via </w:t>
      </w:r>
      <w:r>
        <w:rPr>
          <w:rFonts w:ascii="Consolas" w:hAnsi="Consolas" w:cs="Consolas"/>
          <w:shd w:val="clear" w:fill="F0F0F0"/>
        </w:rPr>
        <w:t xml:space="preserve">Task.WhenAll</w:t>
      </w:r>
      <w:r>
        <w:t xml:space="preserve"> — not one lookup per contact, since several contacts can share a company number pattern in demo data.</w:t>
      </w:r>
    </w:p>
    <w:p>
      <w:pPr>
        <w:ind w:left="720" w:hanging="360"/>
      </w:pPr>
      <w:r>
        <w:t xml:space="preserve">4. </w:t>
      </w:r>
      <w:r>
        <w:t xml:space="preserve">If Companies House reports the company as distressed, the risk level is force-escalated to </w:t>
      </w:r>
      <w:r>
        <w:rPr>
          <w:rFonts w:ascii="Consolas" w:hAnsi="Consolas" w:cs="Consolas"/>
          <w:shd w:val="clear" w:fill="F0F0F0"/>
        </w:rPr>
        <w:t xml:space="preserve">High</w:t>
      </w:r>
      <w:r>
        <w:t xml:space="preserve"> regardless of the invoice-age calculation.</w:t>
      </w:r>
    </w:p>
    <w:p>
      <w:pPr>
        <w:ind w:left="720" w:hanging="360"/>
      </w:pPr>
      <w:r>
        <w:t xml:space="preserve">5. </w:t>
      </w:r>
      <w:r>
        <w:t xml:space="preserve">Computes </w:t>
      </w:r>
      <w:r>
        <w:rPr>
          <w:rFonts w:ascii="Consolas" w:hAnsi="Consolas" w:cs="Consolas"/>
          <w:shd w:val="clear" w:fill="F0F0F0"/>
        </w:rPr>
        <w:t xml:space="preserve">ConcentrationPercent</w:t>
      </w:r>
      <w:r>
        <w:t xml:space="preserve"> per contact as a share of total outstanding across all at-risk contacts.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GetPaymentTrendAsync</w:t>
      </w:r>
    </w:p>
    <w:p>
      <w:r>
        <w:t xml:space="preserve">Looks only at </w:t>
      </w:r>
      <w:r>
        <w:rPr>
          <w:rFonts w:ascii="Consolas" w:hAnsi="Consolas" w:cs="Consolas"/>
          <w:shd w:val="clear" w:fill="F0F0F0"/>
        </w:rPr>
        <w:t xml:space="preserve">PAID</w:t>
      </w:r>
      <w:r>
        <w:t xml:space="preserve"> invoices with both a due date and a paid date. Splits each contact's chronological payment history in half and compares the average lateness of the second half against the first — a positive </w:t>
      </w:r>
      <w:r>
        <w:rPr>
          <w:rFonts w:ascii="Consolas" w:hAnsi="Consolas" w:cs="Consolas"/>
          <w:shd w:val="clear" w:fill="F0F0F0"/>
        </w:rPr>
        <w:t xml:space="preserve">TrendDelta</w:t>
      </w:r>
      <w:r>
        <w:t xml:space="preserve"> means payments are getting later, negative means earlier. Contacts with fewer than 2 paid invoices get </w:t>
      </w:r>
      <w:r>
        <w:rPr>
          <w:rFonts w:ascii="Consolas" w:hAnsi="Consolas" w:cs="Consolas"/>
          <w:shd w:val="clear" w:fill="F0F0F0"/>
        </w:rPr>
        <w:t xml:space="preserve">TrendDelta = 0</w:t>
      </w:r>
      <w:r>
        <w:t xml:space="preserve"> (not enough signal).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GetCreditScoresAsync</w:t>
      </w:r>
    </w:p>
    <w:p>
      <w:r>
        <w:t xml:space="preserve">Starts every contact at a baseline of 100 and applies a fixed set of deductions/bonuses (risk tier, payment trend, concentration, three Companies House signals), clamps to 0–100, and buckets into an A–F grade. Each deduction is recorded as a human-readable string in </w:t>
      </w:r>
      <w:r>
        <w:rPr>
          <w:rFonts w:ascii="Consolas" w:hAnsi="Consolas" w:cs="Consolas"/>
          <w:shd w:val="clear" w:fill="F0F0F0"/>
        </w:rPr>
        <w:t xml:space="preserve">ContactCreditScore.Reasons</w:t>
      </w:r>
      <w:r>
        <w:t xml:space="preserve">, in application order, which is what the dashboard's score drilldown renders verbatim — the reasons list isn't a separate explanation generated after the fact, it's produced by the same </w:t>
      </w:r>
      <w:r>
        <w:rPr>
          <w:rFonts w:ascii="Consolas" w:hAnsi="Consolas" w:cs="Consolas"/>
          <w:shd w:val="clear" w:fill="F0F0F0"/>
        </w:rPr>
        <w:t xml:space="preserve">Apply(delta, label)</w:t>
      </w:r>
      <w:r>
        <w:t xml:space="preserve"> local function that mutates the running score, so it can never drift out of sync with the number it explains.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GetCreditLimitRecommendationsAsync</w:t>
      </w:r>
    </w:p>
    <w:p>
      <w:r>
        <w:t xml:space="preserve">Groups sales invoices (</w:t>
      </w:r>
      <w:r>
        <w:rPr>
          <w:rFonts w:ascii="Consolas" w:hAnsi="Consolas" w:cs="Consolas"/>
          <w:shd w:val="clear" w:fill="F0F0F0"/>
        </w:rPr>
        <w:t xml:space="preserve">AUTHORISED</w:t>
      </w:r>
      <w:r>
        <w:t xml:space="preserve"> or </w:t>
      </w:r>
      <w:r>
        <w:rPr>
          <w:rFonts w:ascii="Consolas" w:hAnsi="Consolas" w:cs="Consolas"/>
          <w:shd w:val="clear" w:fill="F0F0F0"/>
        </w:rPr>
        <w:t xml:space="preserve">PAID</w:t>
      </w:r>
      <w:r>
        <w:t xml:space="preserve">) by contact, takes the average invoice value, and scales it by </w:t>
      </w:r>
      <w:r>
        <w:rPr>
          <w:rFonts w:ascii="Consolas" w:hAnsi="Consolas" w:cs="Consolas"/>
          <w:shd w:val="clear" w:fill="F0F0F0"/>
        </w:rPr>
        <w:t xml:space="preserve">(score / 100) × 3.0</w:t>
      </w:r>
      <w:r>
        <w:t xml:space="preserve"> — a continuous multiplier rather than the four discrete risk-tier multipliers used before scoring existed. Rounds up to the nearest £100. Builds the same kind of </w:t>
      </w:r>
      <w:r>
        <w:rPr>
          <w:rFonts w:ascii="Consolas" w:hAnsi="Consolas" w:cs="Consolas"/>
          <w:shd w:val="clear" w:fill="F0F0F0"/>
        </w:rPr>
        <w:t xml:space="preserve">Reasons</w:t>
      </w:r>
      <w:r>
        <w:t xml:space="preserve"> breakdown as the score, for its own drilldown. Contacts with no outstanding invoices (so absent from the risk/score lists) default to a score of 100, matching the "Current, no issues" treatment used elsewhere.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GetEarlyWarningsAsync</w:t>
      </w:r>
    </w:p>
    <w:p>
      <w:r>
        <w:t xml:space="preserve">Not a scoring model — a flat list of independently-triggered </w:t>
      </w:r>
      <w:r>
        <w:rPr>
          <w:rFonts w:ascii="Consolas" w:hAnsi="Consolas" w:cs="Consolas"/>
          <w:shd w:val="clear" w:fill="F0F0F0"/>
        </w:rPr>
        <w:t xml:space="preserve">EarlyWarningTrigger</w:t>
      </w:r>
      <w:r>
        <w:t xml:space="preserve"> records, aggregated from risk, trend, and recommendation data: first-ever late payment, accelerating lateness, exceeding the recommended limit, Companies House distress/insolvency signals, and concentration risk. Each warning carries a free-text </w:t>
      </w:r>
      <w:r>
        <w:rPr>
          <w:rFonts w:ascii="Consolas" w:hAnsi="Consolas" w:cs="Consolas"/>
          <w:shd w:val="clear" w:fill="F0F0F0"/>
        </w:rPr>
        <w:t xml:space="preserve">Message</w:t>
      </w:r>
      <w:r>
        <w:t xml:space="preserve"> composed at trigger time.</w:t>
      </w:r>
    </w:p>
    <w:p>
      <w:pPr>
        <w:pStyle w:val="Heading3"/>
      </w:pPr>
      <w:r>
        <w:rPr>
          <w:rFonts w:ascii="Consolas" w:hAnsi="Consolas" w:cs="Consolas"/>
          <w:shd w:val="clear" w:fill="F0F0F0"/>
        </w:rPr>
        <w:t xml:space="preserve">SyncRiskGroupsToXeroAsync</w:t>
      </w:r>
    </w:p>
    <w:p>
      <w:r>
        <w:t xml:space="preserve">The only method in this service that writes anything back to Xero. Maps each </w:t>
      </w:r>
      <w:r>
        <w:rPr>
          <w:rFonts w:ascii="Consolas" w:hAnsi="Consolas" w:cs="Consolas"/>
          <w:shd w:val="clear" w:fill="F0F0F0"/>
        </w:rPr>
        <w:t xml:space="preserve">CreditRiskLevel</w:t>
      </w:r>
      <w:r>
        <w:t xml:space="preserve"> to a fixed group name (</w:t>
      </w:r>
      <w:r>
        <w:rPr>
          <w:rFonts w:ascii="Consolas" w:hAnsi="Consolas" w:cs="Consolas"/>
          <w:shd w:val="clear" w:fill="F0F0F0"/>
        </w:rPr>
        <w:t xml:space="preserve">Risk: High</w:t>
      </w:r>
      <w:r>
        <w:t xml:space="preserve"> etc.) and calls </w:t>
      </w:r>
      <w:r>
        <w:rPr>
          <w:rFonts w:ascii="Consolas" w:hAnsi="Consolas" w:cs="Consolas"/>
          <w:shd w:val="clear" w:fill="F0F0F0"/>
        </w:rPr>
        <w:t xml:space="preserve">XeroService.EnsureContactGroupAsync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ReplaceContactGroupMembersAsync</w:t>
      </w:r>
      <w:r>
        <w:t xml:space="preserve"> once per tier.</w:t>
      </w:r>
    </w:p>
    <w:p>
      <w:pPr>
        <w:pStyle w:val="Heading2"/>
      </w:pPr>
      <w:r>
        <w:t xml:space="preserve">Companies House integration</w:t>
      </w:r>
    </w:p>
    <w:p>
      <w:r>
        <w:rPr>
          <w:rFonts w:ascii="Consolas" w:hAnsi="Consolas" w:cs="Consolas"/>
          <w:shd w:val="clear" w:fill="F0F0F0"/>
        </w:rPr>
        <w:t xml:space="preserve">CompaniesHouseService</w:t>
      </w:r>
      <w:r>
        <w:t xml:space="preserve"> wraps a single </w:t>
      </w:r>
      <w:r>
        <w:rPr>
          <w:rFonts w:ascii="Consolas" w:hAnsi="Consolas" w:cs="Consolas"/>
          <w:shd w:val="clear" w:fill="F0F0F0"/>
        </w:rPr>
        <w:t xml:space="preserve">HttpClient</w:t>
      </w:r>
      <w:r>
        <w:t xml:space="preserve"> (Basic-auth header built once in </w:t>
      </w:r>
      <w:r>
        <w:rPr>
          <w:rFonts w:ascii="Consolas" w:hAnsi="Consolas" w:cs="Consolas"/>
          <w:shd w:val="clear" w:fill="F0F0F0"/>
        </w:rPr>
        <w:t xml:space="preserve">Program.cs</w:t>
      </w:r>
      <w:r>
        <w:t xml:space="preserve"> from </w:t>
      </w:r>
      <w:r>
        <w:rPr>
          <w:rFonts w:ascii="Consolas" w:hAnsi="Consolas" w:cs="Consolas"/>
          <w:shd w:val="clear" w:fill="F0F0F0"/>
        </w:rPr>
        <w:t xml:space="preserve">CompaniesHouse:ApiKey</w:t>
      </w:r>
      <w:r>
        <w:t xml:space="preserve">, base address </w:t>
      </w:r>
      <w:r>
        <w:rPr>
          <w:rFonts w:ascii="Consolas" w:hAnsi="Consolas" w:cs="Consolas"/>
          <w:shd w:val="clear" w:fill="F0F0F0"/>
        </w:rPr>
        <w:t xml:space="preserve">api.company-information.service.gov.uk</w:t>
      </w:r>
      <w:r>
        <w:t xml:space="preserve">). Deliberately </w:t>
      </w:r>
      <w:r>
        <w:rPr>
          <w:b/>
        </w:rPr>
        <w:t xml:space="preserve">fail-soft</w:t>
      </w:r>
      <w:r>
        <w:t xml:space="preserve">: any non-success status code or exception (network failure, malformed JSON) is logged and returns </w:t>
      </w:r>
      <w:r>
        <w:rPr>
          <w:rFonts w:ascii="Consolas" w:hAnsi="Consolas" w:cs="Consolas"/>
          <w:shd w:val="clear" w:fill="F0F0F0"/>
        </w:rPr>
        <w:t xml:space="preserve">null</w:t>
      </w:r>
      <w:r>
        <w:t xml:space="preserve">, never thrown — a Companies House outage degrades the risk pipeline (less enrichment) rather than breaking it. </w:t>
      </w:r>
      <w:r>
        <w:rPr>
          <w:rFonts w:ascii="Consolas" w:hAnsi="Consolas" w:cs="Consolas"/>
          <w:shd w:val="clear" w:fill="F0F0F0"/>
        </w:rPr>
        <w:t xml:space="preserve">CompanyProfile.HasInsolvencyHistory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HasCharges</w:t>
      </w:r>
      <w:r>
        <w:t xml:space="preserve"> are derived from whether the API's </w:t>
      </w:r>
      <w:r>
        <w:rPr>
          <w:rFonts w:ascii="Consolas" w:hAnsi="Consolas" w:cs="Consolas"/>
          <w:shd w:val="clear" w:fill="F0F0F0"/>
        </w:rPr>
        <w:t xml:space="preserve">links.insolvency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links.charges</w:t>
      </w:r>
      <w:r>
        <w:t xml:space="preserve"> fields are *present*, not from a boolean field — that's how the Companies House API signals these facts.</w:t>
      </w:r>
    </w:p>
    <w:p>
      <w:pPr>
        <w:pStyle w:val="Heading2"/>
      </w:pPr>
      <w:r>
        <w:t xml:space="preserve">Real-time update pipeline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Xero organisation change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▼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POST /webhooks/xero  (XeroWebhookController)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reads raw body, validates HMAC-SHA256 signature against Xero:WebhookKey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invalid signature → 401 (required for Xero's "Intent to Receive" check)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valid → parses events, resolves each to an affected contact ID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▼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DashboardNotifier.NotifyChanged(contactIds)   (Singleton, in-process event)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▼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GET /dashboard/events   (DashboardController, one SSE stream per browser tab)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awaits the Changed event via a TaskCompletionSource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sends `data: {"contactIds":[...]}\n\n`, or a keep-alive comment every 25s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▼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Browser: EventSource.onmessage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stores contactIds + a 15s expiry in sessionStorage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- location.reload()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│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        ▼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Next page load: inline &lt;script&gt; reads sessionStorage, applies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.highlight-updated to the affected rows, clears itself after the</w:t>
      </w:r>
    </w:p>
    <w:p>
      <w:pPr>
        <w:shd w:val="clear" w:fill="F5F5F5"/>
      </w:pPr>
      <w:r>
        <w:rPr>
          <w:rFonts w:ascii="Consolas" w:hAnsi="Consolas" w:cs="Consolas"/>
          <w:shd w:val="clear" w:fill="F0F0F0"/>
        </w:rPr>
        <w:t xml:space="preserve">remaining time</w:t>
      </w:r>
    </w:p>
    <w:p/>
    <w:p>
      <w:r>
        <w:t xml:space="preserve">Signature validation matters more than it looks: Xero's own webhook setup flow deliberately sends one request with a bad signature and expects 401 back, to confirm the endpoint actually checks it rather than blindly accepting everything.</w:t>
      </w:r>
    </w:p>
    <w:p>
      <w:r>
        <w:t xml:space="preserve">Requires a public HTTPS URL for Xero to deliver to — a tunnel (e.g. </w:t>
      </w:r>
      <w:r>
        <w:rPr>
          <w:rFonts w:ascii="Consolas" w:hAnsi="Consolas" w:cs="Consolas"/>
          <w:shd w:val="clear" w:fill="F0F0F0"/>
        </w:rPr>
        <w:t xml:space="preserve">devtunnel</w:t>
      </w:r>
      <w:r>
        <w:t xml:space="preserve">) in local development, since Xero can't reach </w:t>
      </w:r>
      <w:r>
        <w:rPr>
          <w:rFonts w:ascii="Consolas" w:hAnsi="Consolas" w:cs="Consolas"/>
          <w:shd w:val="clear" w:fill="F0F0F0"/>
        </w:rPr>
        <w:t xml:space="preserve">localhost</w:t>
      </w:r>
      <w:r>
        <w:t xml:space="preserve">.</w:t>
      </w:r>
    </w:p>
    <w:p>
      <w:pPr>
        <w:pStyle w:val="Heading2"/>
      </w:pPr>
      <w:r>
        <w:t xml:space="preserve">Dashboard rendering (</w:t>
      </w:r>
      <w:r>
        <w:rPr>
          <w:rFonts w:ascii="Consolas" w:hAnsi="Consolas" w:cs="Consolas"/>
          <w:shd w:val="clear" w:fill="F0F0F0"/>
        </w:rPr>
        <w:t xml:space="preserve">DashboardController</w:t>
      </w:r>
      <w:r>
        <w:t xml:space="preserve">)</w:t>
      </w:r>
    </w:p>
    <w:p>
      <w:r>
        <w:t xml:space="preserve">There's no view engine. </w:t>
      </w:r>
      <w:r>
        <w:rPr>
          <w:rFonts w:ascii="Consolas" w:hAnsi="Consolas" w:cs="Consolas"/>
          <w:shd w:val="clear" w:fill="F0F0F0"/>
        </w:rPr>
        <w:t xml:space="preserve">Index</w:t>
      </w:r>
      <w:r>
        <w:t xml:space="preserve"> builds the entire HTML document as one big C# string and returns it via </w:t>
      </w:r>
      <w:r>
        <w:rPr>
          <w:rFonts w:ascii="Consolas" w:hAnsi="Consolas" w:cs="Consolas"/>
          <w:shd w:val="clear" w:fill="F0F0F0"/>
        </w:rPr>
        <w:t xml:space="preserve">Content(html, "text/html")</w:t>
      </w:r>
      <w:r>
        <w:t xml:space="preserve">. A few conventions worth knowing before touching this file:</w:t>
      </w:r>
    </w:p>
    <w:p>
      <w:pPr>
        <w:ind w:left="720" w:hanging="360"/>
      </w:pPr>
      <w:r>
        <w:t xml:space="preserve">- </w:t>
      </w:r>
      <w:r>
        <w:t xml:space="preserve">Raw string literals (</w:t>
      </w:r>
      <w:r>
        <w:rPr>
          <w:rFonts w:ascii="Consolas" w:hAnsi="Consolas" w:cs="Consolas"/>
          <w:shd w:val="clear" w:fill="F0F0F0"/>
        </w:rPr>
        <w:t xml:space="preserve">$"""..."""</w:t>
      </w:r>
      <w:r>
        <w:t xml:space="preserve"> / </w:t>
      </w:r>
      <w:r>
        <w:rPr>
          <w:rFonts w:ascii="Consolas" w:hAnsi="Consolas" w:cs="Consolas"/>
          <w:shd w:val="clear" w:fill="F0F0F0"/>
        </w:rPr>
        <w:t xml:space="preserve">$$"""..."""</w:t>
      </w:r>
      <w:r>
        <w:t xml:space="preserve">) are used throughout. Blocks containing literal CSS braces need the double-</w:t>
      </w:r>
      <w:r>
        <w:rPr>
          <w:rFonts w:ascii="Consolas" w:hAnsi="Consolas" w:cs="Consolas"/>
          <w:shd w:val="clear" w:fill="F0F0F0"/>
        </w:rPr>
        <w:t xml:space="preserve">$</w:t>
      </w:r>
      <w:r>
        <w:t xml:space="preserve"> form (</w:t>
      </w:r>
      <w:r>
        <w:rPr>
          <w:rFonts w:ascii="Consolas" w:hAnsi="Consolas" w:cs="Consolas"/>
          <w:shd w:val="clear" w:fill="F0F0F0"/>
        </w:rPr>
        <w:t xml:space="preserve">$$"""..."""</w:t>
      </w:r>
      <w:r>
        <w:t xml:space="preserve">), with interpolation holes written as </w:t>
      </w:r>
      <w:r>
        <w:rPr>
          <w:rFonts w:ascii="Consolas" w:hAnsi="Consolas" w:cs="Consolas"/>
          <w:shd w:val="clear" w:fill="F0F0F0"/>
        </w:rPr>
        <w:t xml:space="preserve">{{expr}}</w:t>
      </w:r>
      <w:r>
        <w:t xml:space="preserve"> instead of </w:t>
      </w:r>
      <w:r>
        <w:rPr>
          <w:rFonts w:ascii="Consolas" w:hAnsi="Consolas" w:cs="Consolas"/>
          <w:shd w:val="clear" w:fill="F0F0F0"/>
        </w:rPr>
        <w:t xml:space="preserve">{expr}</w:t>
      </w:r>
      <w:r>
        <w:t xml:space="preserve"> — mixing the two is a compile error (CS9006).</w:t>
      </w:r>
    </w:p>
    <w:p>
      <w:pPr>
        <w:ind w:left="720" w:hanging="360"/>
      </w:pPr>
      <w:r>
        <w:t xml:space="preserve">- </w:t>
      </w:r>
      <w:r>
        <w:t xml:space="preserve">Every sortable </w:t>
      </w:r>
      <w:r>
        <w:rPr>
          <w:rFonts w:ascii="Consolas" w:hAnsi="Consolas" w:cs="Consolas"/>
          <w:shd w:val="clear" w:fill="F0F0F0"/>
        </w:rPr>
        <w:t xml:space="preserve">&lt;td&gt;</w:t>
      </w:r>
      <w:r>
        <w:t xml:space="preserve"> carries a </w:t>
      </w:r>
      <w:r>
        <w:rPr>
          <w:rFonts w:ascii="Consolas" w:hAnsi="Consolas" w:cs="Consolas"/>
          <w:shd w:val="clear" w:fill="F0F0F0"/>
        </w:rPr>
        <w:t xml:space="preserve">data-sort-value</w:t>
      </w:r>
      <w:r>
        <w:t xml:space="preserve"> attribute holding the raw comparable value (decimal, int, or an ordinal), kept deliberately separate from the formatted display text inside the cell. Client-side JS sorts on that attribute, not on </w:t>
      </w:r>
      <w:r>
        <w:rPr>
          <w:rFonts w:ascii="Consolas" w:hAnsi="Consolas" w:cs="Consolas"/>
          <w:shd w:val="clear" w:fill="F0F0F0"/>
        </w:rPr>
        <w:t xml:space="preserve">textContent</w:t>
      </w:r>
      <w:r>
        <w:t xml:space="preserve">.</w:t>
      </w:r>
    </w:p>
    <w:p>
      <w:pPr>
        <w:ind w:left="720" w:hanging="360"/>
      </w:pPr>
      <w:r>
        <w:t xml:space="preserve">- </w:t>
      </w:r>
      <w:r>
        <w:t xml:space="preserve">Drilldowns (Score, Recommended Limit) are plain </w:t>
      </w:r>
      <w:r>
        <w:rPr>
          <w:rFonts w:ascii="Consolas" w:hAnsi="Consolas" w:cs="Consolas"/>
          <w:shd w:val="clear" w:fill="F0F0F0"/>
        </w:rPr>
        <w:t xml:space="preserve">&lt;details&gt;/&lt;summary&gt;</w:t>
      </w:r>
      <w:r>
        <w:t xml:space="preserve"> — no JS needed for expand/collapse, browser-native.</w:t>
      </w:r>
    </w:p>
    <w:p>
      <w:pPr>
        <w:ind w:left="720" w:hanging="360"/>
      </w:pPr>
      <w:r>
        <w:t xml:space="preserve">- </w:t>
      </w:r>
      <w:r>
        <w:t xml:space="preserve">The Early Warnings panel's collapse state and the highlight-after-reload state both live in </w:t>
      </w:r>
      <w:r>
        <w:rPr>
          <w:rFonts w:ascii="Consolas" w:hAnsi="Consolas" w:cs="Consolas"/>
          <w:shd w:val="clear" w:fill="F0F0F0"/>
        </w:rPr>
        <w:t xml:space="preserve">sessionStorage</w:t>
      </w:r>
      <w:r>
        <w:t xml:space="preserve">, not component state, because a webhook-triggered update does a full </w:t>
      </w:r>
      <w:r>
        <w:rPr>
          <w:rFonts w:ascii="Consolas" w:hAnsi="Consolas" w:cs="Consolas"/>
          <w:shd w:val="clear" w:fill="F0F0F0"/>
        </w:rPr>
        <w:t xml:space="preserve">location.reload()</w:t>
      </w:r>
      <w:r>
        <w:t xml:space="preserve"> rather than a partial DOM patch.</w:t>
      </w:r>
    </w:p>
    <w:p>
      <w:pPr>
        <w:pStyle w:val="Heading2"/>
      </w:pPr>
      <w:r>
        <w:t xml:space="preserve">Dev/demo tooling (</w:t>
      </w:r>
      <w:r>
        <w:rPr>
          <w:rFonts w:ascii="Consolas" w:hAnsi="Consolas" w:cs="Consolas"/>
          <w:shd w:val="clear" w:fill="F0F0F0"/>
        </w:rPr>
        <w:t xml:space="preserve">DevController</w:t>
      </w:r>
      <w:r>
        <w:t xml:space="preserve">)</w:t>
      </w:r>
    </w:p>
    <w:p>
      <w:r>
        <w:t xml:space="preserve">Explicitly out-of-scope for the real feature set (see its doc comment). Provides a UI and endpoints for seeding test invoices across a fixed due- date offset pattern (so seeded data spans every risk tier by construction) and for assigning Companies House company numbers to demo contacts from a pool of verified real companies. Two contacts (</w:t>
      </w:r>
      <w:r>
        <w:rPr>
          <w:rFonts w:ascii="Consolas" w:hAnsi="Consolas" w:cs="Consolas"/>
          <w:shd w:val="clear" w:fill="F0F0F0"/>
        </w:rPr>
        <w:t xml:space="preserve">City Limousines</w:t>
      </w:r>
      <w:r>
        <w:t xml:space="preserve">, </w:t>
      </w:r>
      <w:r>
        <w:rPr>
          <w:rFonts w:ascii="Consolas" w:hAnsi="Consolas" w:cs="Consolas"/>
          <w:shd w:val="clear" w:fill="F0F0F0"/>
        </w:rPr>
        <w:t xml:space="preserve">Ridgeway University</w:t>
      </w:r>
      <w:r>
        <w:t xml:space="preserve">) are hardcoded as permanent problem-scenario demo cases; everything else in the bulk-populate pool is genuinely clean.</w:t>
      </w:r>
    </w:p>
    <w:p>
      <w:pPr>
        <w:pStyle w:val="Heading2"/>
      </w:pPr>
      <w:r>
        <w:t xml:space="preserve">Where to extend</w:t>
      </w:r>
    </w:p>
    <w:p>
      <w:pPr>
        <w:ind w:left="720" w:hanging="360"/>
      </w:pPr>
      <w:r>
        <w:t xml:space="preserve">- </w:t>
      </w:r>
      <w:r>
        <w:rPr>
          <w:b/>
        </w:rPr>
        <w:t xml:space="preserve">Multi-tenancy</w:t>
      </w:r>
      <w:r>
        <w:t xml:space="preserve">: replace the </w:t>
      </w:r>
      <w:r>
        <w:rPr>
          <w:rFonts w:ascii="Consolas" w:hAnsi="Consolas" w:cs="Consolas"/>
          <w:shd w:val="clear" w:fill="F0F0F0"/>
        </w:rPr>
        <w:t xml:space="preserve">UserId</w:t>
      </w:r>
      <w:r>
        <w:t xml:space="preserve"> constant in </w:t>
      </w:r>
      <w:r>
        <w:rPr>
          <w:rFonts w:ascii="Consolas" w:hAnsi="Consolas" w:cs="Consolas"/>
          <w:shd w:val="clear" w:fill="F0F0F0"/>
        </w:rPr>
        <w:t xml:space="preserve">AuthController</w:t>
      </w:r>
      <w:r>
        <w:t xml:space="preserve"> and </w:t>
      </w:r>
      <w:r>
        <w:rPr>
          <w:rFonts w:ascii="Consolas" w:hAnsi="Consolas" w:cs="Consolas"/>
          <w:shd w:val="clear" w:fill="F0F0F0"/>
        </w:rPr>
        <w:t xml:space="preserve">XeroService</w:t>
      </w:r>
      <w:r>
        <w:t xml:space="preserve"> with a value from </w:t>
      </w:r>
      <w:r>
        <w:rPr>
          <w:rFonts w:ascii="Consolas" w:hAnsi="Consolas" w:cs="Consolas"/>
          <w:shd w:val="clear" w:fill="F0F0F0"/>
        </w:rPr>
        <w:t xml:space="preserve">HttpContext.User</w:t>
      </w:r>
      <w:r>
        <w:t xml:space="preserve"> claims.</w:t>
      </w:r>
    </w:p>
    <w:p>
      <w:pPr>
        <w:ind w:left="720" w:hanging="360"/>
      </w:pPr>
      <w:r>
        <w:t xml:space="preserve">- </w:t>
      </w:r>
      <w:r>
        <w:rPr>
          <w:b/>
        </w:rPr>
        <w:t xml:space="preserve">Persistent tokens</w:t>
      </w:r>
      <w:r>
        <w:t xml:space="preserve">: implement </w:t>
      </w:r>
      <w:r>
        <w:rPr>
          <w:rFonts w:ascii="Consolas" w:hAnsi="Consolas" w:cs="Consolas"/>
          <w:shd w:val="clear" w:fill="F0F0F0"/>
        </w:rPr>
        <w:t xml:space="preserve">ITokenStore</w:t>
      </w:r>
      <w:r>
        <w:t xml:space="preserve"> against a real store and swap the </w:t>
      </w:r>
      <w:r>
        <w:rPr>
          <w:rFonts w:ascii="Consolas" w:hAnsi="Consolas" w:cs="Consolas"/>
          <w:shd w:val="clear" w:fill="F0F0F0"/>
        </w:rPr>
        <w:t xml:space="preserve">AddSingleton&lt;ITokenStore, InMemoryTokenStore&gt;()</w:t>
      </w:r>
      <w:r>
        <w:t xml:space="preserve"> registration.</w:t>
      </w:r>
    </w:p>
    <w:p>
      <w:pPr>
        <w:ind w:left="720" w:hanging="360"/>
      </w:pPr>
      <w:r>
        <w:t xml:space="preserve">- </w:t>
      </w:r>
      <w:r>
        <w:rPr>
          <w:b/>
        </w:rPr>
        <w:t xml:space="preserve">New Xero data</w:t>
      </w:r>
      <w:r>
        <w:t xml:space="preserve">: add methods to </w:t>
      </w:r>
      <w:r>
        <w:rPr>
          <w:rFonts w:ascii="Consolas" w:hAnsi="Consolas" w:cs="Consolas"/>
          <w:shd w:val="clear" w:fill="F0F0F0"/>
        </w:rPr>
        <w:t xml:space="preserve">IXeroService</w:t>
      </w:r>
      <w:r>
        <w:t xml:space="preserve">/</w:t>
      </w:r>
      <w:r>
        <w:rPr>
          <w:rFonts w:ascii="Consolas" w:hAnsi="Consolas" w:cs="Consolas"/>
          <w:shd w:val="clear" w:fill="F0F0F0"/>
        </w:rPr>
        <w:t xml:space="preserve">XeroService</w:t>
      </w:r>
      <w:r>
        <w:t xml:space="preserve"> — any class under </w:t>
      </w:r>
      <w:r>
        <w:rPr>
          <w:rFonts w:ascii="Consolas" w:hAnsi="Consolas" w:cs="Consolas"/>
          <w:shd w:val="clear" w:fill="F0F0F0"/>
        </w:rPr>
        <w:t xml:space="preserve">Xero.NetStandard.OAuth2.Api</w:t>
      </w:r>
      <w:r>
        <w:t xml:space="preserve"> is available via the SDK.</w:t>
      </w:r>
    </w:p>
    <w:p>
      <w:pPr>
        <w:ind w:left="720" w:hanging="360"/>
      </w:pPr>
      <w:r>
        <w:t xml:space="preserve">- </w:t>
      </w:r>
      <w:r>
        <w:rPr>
          <w:b/>
        </w:rPr>
        <w:t xml:space="preserve">New risk signals</w:t>
      </w:r>
      <w:r>
        <w:t xml:space="preserve">: add a factor inside </w:t>
      </w:r>
      <w:r>
        <w:rPr>
          <w:rFonts w:ascii="Consolas" w:hAnsi="Consolas" w:cs="Consolas"/>
          <w:shd w:val="clear" w:fill="F0F0F0"/>
        </w:rPr>
        <w:t xml:space="preserve">GetCreditScoresAsync</w:t>
      </w:r>
      <w:r>
        <w:t xml:space="preserve">'s </w:t>
      </w:r>
      <w:r>
        <w:rPr>
          <w:rFonts w:ascii="Consolas" w:hAnsi="Consolas" w:cs="Consolas"/>
          <w:shd w:val="clear" w:fill="F0F0F0"/>
        </w:rPr>
        <w:t xml:space="preserve">Apply(...)</w:t>
      </w:r>
      <w:r>
        <w:t xml:space="preserve"> calls — it automatically appears in every score's </w:t>
      </w:r>
      <w:r>
        <w:rPr>
          <w:rFonts w:ascii="Consolas" w:hAnsi="Consolas" w:cs="Consolas"/>
          <w:shd w:val="clear" w:fill="F0F0F0"/>
        </w:rPr>
        <w:t xml:space="preserve">Reasons</w:t>
      </w:r>
      <w:r>
        <w:t xml:space="preserve"> drilldown with no other changes needed.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  <w:pPr>
      <w:spacing w:after="140" w:line="264" w:lineRule="auto"/>
    </w:pPr>
  </w:style>
  <w:style w:type="paragraph" w:styleId="Heading1">
    <w:name w:val="heading 1"/>
    <w:basedOn w:val="Normal"/>
    <w:pPr>
      <w:spacing w:before="360" w:after="200"/>
    </w:pPr>
    <w:rPr>
      <w:b/>
      <w:sz w:val="34"/>
      <w:color w:val="1F3864"/>
    </w:rPr>
  </w:style>
  <w:style w:type="paragraph" w:styleId="Heading2">
    <w:name w:val="heading 2"/>
    <w:basedOn w:val="Normal"/>
    <w:pPr>
      <w:spacing w:before="280" w:after="140"/>
    </w:pPr>
    <w:rPr>
      <w:b/>
      <w:sz w:val="26"/>
      <w:color w:val="2E5395"/>
    </w:rPr>
  </w:style>
  <w:style w:type="paragraph" w:styleId="Heading3">
    <w:name w:val="heading 3"/>
    <w:basedOn w:val="Normal"/>
    <w:pPr>
      <w:spacing w:before="200" w:after="100"/>
    </w:pPr>
    <w:rPr>
      <w:b/>
      <w:sz w:val="22"/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