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Hugo Cordoba Leal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Lab 03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Digital &amp; Web Analytics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6388" cy="35700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57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Descripción del Dashboard: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dashboard muestra métricas clave de tráfico web para un periodo específico, incluyendo: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Gráfico de evolución temporal que muestra transacciones diarias y una media móvil de 123 días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Pico notable de transacciones a mediados de noviembre 2022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KPIs principales: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- 8,449 Transacciones totales (+92%)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- 228,375 Usuarios totales (+81%)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Tabla de fuentes de tráfico que detalla: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Medios de adquisición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Número de sesiones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Usuarios por canal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Transacciones generadas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canales principales son: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Referral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CPC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Organic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Email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Paid social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 dashboard proporciona una visión clara del rendimiento de los diferentes canales de adquisición y su impacto en las conversiones.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