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BBEC95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Órdenes parciales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62329CD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Concepto ejemplos</w:t>
      </w:r>
      <w:r>
        <w:rPr>
          <w:sz w:val="28"/>
          <w:szCs w:val="28"/>
          <w:highlight w:val="none"/>
        </w:rPr>
        <w:t xml:space="preserve"> (def preorden) </w:t>
        <w:tab/>
        <w:tab/>
        <w:tab/>
        <w:t xml:space="preserve">H</w:t>
      </w:r>
      <w:r>
        <w:rPr>
          <w:sz w:val="28"/>
          <w:szCs w:val="28"/>
          <w:highlight w:val="none"/>
        </w:rPr>
      </w:r>
    </w:p>
    <w:p w14:paraId="3D218662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Separativo, frondoso, morfismos y fuertes</w:t>
        <w:tab/>
        <w:tab/>
        <w:t xml:space="preserve">H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CA37346">
      <w:pPr>
        <w:pBdr/>
        <w:spacing/>
        <w:ind w:firstLine="708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Filtros, densos, genérico, teo ultrafiltro</w:t>
        <w:tab/>
        <w:tab/>
        <w:tab/>
        <w:t xml:space="preserve">L</w:t>
      </w:r>
      <w:r>
        <w:rPr>
          <w:sz w:val="28"/>
          <w:szCs w:val="28"/>
          <w:highlight w:val="none"/>
        </w:rPr>
      </w:r>
    </w:p>
    <w:p w14:paraId="02CAB483">
      <w:pPr>
        <w:pBdr/>
        <w:spacing/>
        <w:ind w:firstLine="708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Cociente</w:t>
      </w:r>
      <w:r>
        <w:rPr>
          <w:sz w:val="28"/>
          <w:szCs w:val="28"/>
          <w:highlight w:val="none"/>
        </w:rPr>
        <w:t xml:space="preserve">s</w:t>
        <w:tab/>
        <w:tab/>
        <w:tab/>
        <w:tab/>
        <w:tab/>
        <w:tab/>
      </w:r>
      <w:r>
        <w:rPr>
          <w:sz w:val="28"/>
          <w:szCs w:val="28"/>
          <w:highlight w:val="none"/>
        </w:rPr>
        <w:tab/>
        <w:tab/>
        <w:t xml:space="preserve">H</w:t>
      </w:r>
      <w:r>
        <w:rPr>
          <w:sz w:val="28"/>
          <w:szCs w:val="28"/>
          <w:highlight w:val="none"/>
        </w:rPr>
      </w:r>
    </w:p>
    <w:p w14:paraId="63066C46">
      <w:pPr>
        <w:pBdr/>
        <w:spacing/>
        <w:ind w:firstLine="708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Álgebras de Boole</w:t>
      </w:r>
      <w:r>
        <w:rPr>
          <w:sz w:val="28"/>
          <w:szCs w:val="28"/>
          <w:highlight w:val="none"/>
        </w:rPr>
        <w:tab/>
        <w:tab/>
        <w:tab/>
        <w:tab/>
        <w:tab/>
        <w:tab/>
        <w:t xml:space="preserve">H</w:t>
      </w:r>
      <w:r>
        <w:rPr>
          <w:sz w:val="28"/>
          <w:szCs w:val="28"/>
          <w:highlight w:val="none"/>
        </w:rPr>
      </w:r>
    </w:p>
    <w:p w14:paraId="0887EB76">
      <w:pPr>
        <w:pBdr/>
        <w:spacing/>
        <w:ind w:firstLine="708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Encaje Denso</w:t>
        <w:tab/>
        <w:tab/>
        <w:tab/>
        <w:tab/>
        <w:tab/>
        <w:tab/>
        <w:tab/>
        <w:t xml:space="preserve">L</w:t>
      </w:r>
      <w:r>
        <w:rPr>
          <w:sz w:val="28"/>
          <w:szCs w:val="28"/>
          <w:highlight w:val="none"/>
        </w:rPr>
      </w:r>
    </w:p>
    <w:p w14:paraId="40F41958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Consistencia relativa</w:t>
      </w:r>
      <w:r>
        <w:rPr>
          <w:sz w:val="28"/>
          <w:szCs w:val="28"/>
          <w:highlight w:val="none"/>
        </w:rPr>
      </w:r>
    </w:p>
    <w:p w14:paraId="4F8DF1C2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Terminología, modelos internos, de Ackerman*</w:t>
      </w:r>
      <w:r>
        <w:rPr>
          <w:sz w:val="28"/>
          <w:szCs w:val="28"/>
          <w:highlight w:val="none"/>
        </w:rPr>
        <w:tab/>
        <w:t xml:space="preserve">L</w:t>
      </w:r>
      <w:r>
        <w:rPr>
          <w:sz w:val="28"/>
          <w:szCs w:val="28"/>
          <w:highlight w:val="none"/>
        </w:rPr>
      </w:r>
    </w:p>
    <w:p w14:paraId="24AF8C09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Recordatorio de teoremones lógicos</w:t>
      </w:r>
      <w:r>
        <w:rPr>
          <w:sz w:val="28"/>
          <w:szCs w:val="28"/>
          <w:highlight w:val="none"/>
        </w:rPr>
        <w:t xml:space="preserve">, Skolem y mencionar ETM y problemas con esetos “modelos”, teos reflexión</w:t>
        <w:tab/>
        <w:tab/>
        <w:t xml:space="preserve">L</w:t>
      </w:r>
      <w:r>
        <w:rPr>
          <w:sz w:val="28"/>
          <w:szCs w:val="28"/>
          <w:highlight w:val="none"/>
        </w:rPr>
      </w:r>
    </w:p>
    <w:p w14:paraId="13087FEE">
      <w:pPr>
        <w:pBdr/>
        <w:spacing/>
        <w:ind w:firstLine="708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Menciones a: consistencia BF, H_\kappa, V=L</w:t>
        <w:tab/>
        <w:t xml:space="preserve">H</w:t>
      </w:r>
      <w:r>
        <w:rPr>
          <w:sz w:val="28"/>
          <w:szCs w:val="28"/>
          <w:highlight w:val="none"/>
        </w:rPr>
      </w:r>
    </w:p>
    <w:p w14:paraId="04017816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MA y HC, reales de Cohen</w:t>
        <w:tab/>
        <w:tab/>
        <w:tab/>
        <w:tab/>
        <w:tab/>
        <w:t xml:space="preserve">H</w:t>
        <w:br/>
        <w:tab/>
      </w:r>
      <w:r>
        <w:rPr>
          <w:sz w:val="28"/>
          <w:szCs w:val="28"/>
          <w:highlight w:val="none"/>
        </w:rPr>
        <w:t xml:space="preserve">Consecuencias de que sean consistentes</w:t>
      </w:r>
      <w:r>
        <w:rPr>
          <w:sz w:val="28"/>
          <w:szCs w:val="28"/>
          <w:highlight w:val="none"/>
        </w:rPr>
      </w:r>
    </w:p>
    <w:p w14:paraId="71615F90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Forcing</w:t>
      </w:r>
      <w:r>
        <w:rPr>
          <w:sz w:val="28"/>
          <w:szCs w:val="28"/>
          <w:highlight w:val="none"/>
        </w:rPr>
      </w:r>
    </w:p>
    <w:p w14:paraId="64CD6248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Estructuras booleano-valuadas y V^(B)</w:t>
        <w:tab/>
        <w:tab/>
        <w:tab/>
        <w:tab/>
        <w:tab/>
        <w:t xml:space="preserve">L</w:t>
      </w:r>
      <w:r>
        <w:rPr>
          <w:sz w:val="28"/>
          <w:szCs w:val="28"/>
          <w:highlight w:val="none"/>
        </w:rPr>
      </w:r>
    </w:p>
    <w:p w14:paraId="01A546EF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V^(B) es modelo de ZFC y equivalencia con forcing de copos</w:t>
        <w:tab/>
        <w:t xml:space="preserve">L</w:t>
      </w:r>
      <w:r>
        <w:rPr>
          <w:sz w:val="28"/>
          <w:szCs w:val="28"/>
          <w:highlight w:val="none"/>
        </w:rPr>
      </w:r>
    </w:p>
    <w:p w14:paraId="2778E5E6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Cuatro teoremas del forcing</w:t>
        <w:tab/>
        <w:tab/>
        <w:tab/>
        <w:t xml:space="preserve">H</w:t>
      </w:r>
      <w:r>
        <w:rPr>
          <w:sz w:val="28"/>
          <w:szCs w:val="28"/>
          <w:highlight w:val="none"/>
        </w:rPr>
      </w:r>
    </w:p>
    <w:p w14:paraId="548A1A68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Aplicaciones</w:t>
      </w:r>
      <w:r>
        <w:rPr>
          <w:sz w:val="28"/>
          <w:szCs w:val="28"/>
          <w:highlight w:val="none"/>
        </w:rPr>
      </w:r>
    </w:p>
    <w:p w14:paraId="464BC0AA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 xml:space="preserve">No HC y colapso de cardinales</w:t>
      </w:r>
      <w:r>
        <w:rPr>
          <w:sz w:val="28"/>
          <w:szCs w:val="28"/>
          <w:highlight w:val="none"/>
        </w:rPr>
        <w:tab/>
        <w:tab/>
        <w:t xml:space="preserve">H</w:t>
      </w:r>
      <w:r>
        <w:rPr>
          <w:sz w:val="28"/>
          <w:szCs w:val="28"/>
          <w:highlight w:val="none"/>
        </w:rPr>
      </w:r>
    </w:p>
    <w:p w14:paraId="7A985BD0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No AC</w:t>
      </w:r>
      <w:r>
        <w:rPr>
          <w:sz w:val="28"/>
          <w:szCs w:val="28"/>
          <w:highlight w:val="none"/>
        </w:rPr>
        <w:tab/>
        <w:tab/>
        <w:tab/>
        <w:tab/>
        <w:tab/>
        <w:tab/>
        <w:t xml:space="preserve">L</w:t>
      </w:r>
      <w:r>
        <w:rPr>
          <w:sz w:val="28"/>
          <w:szCs w:val="28"/>
          <w:highlight w:val="none"/>
        </w:rPr>
      </w:r>
    </w:p>
    <w:p w14:paraId="1C4D4154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E4446F2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B4BD417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Evaluación, cambiar en la presentación (AI)</w:t>
      </w:r>
      <w:r>
        <w:rPr>
          <w:sz w:val="28"/>
          <w:szCs w:val="28"/>
          <w:highlight w:val="none"/>
        </w:rPr>
      </w:r>
    </w:p>
    <w:p w14:paraId="0B31AAB1">
      <w:pPr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F978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2026-01-21T18:27:10Z</dcterms:modified>
</cp:coreProperties>
</file>