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3FCF8019" w:rsidR="00F15EA7" w:rsidRPr="00BB1692" w:rsidRDefault="001E7CB8" w:rsidP="0020357B">
      <w:pPr>
        <w:pStyle w:val="HeadingEULA"/>
      </w:pPr>
      <w:bookmarkStart w:id="0" w:name="_GoBack"/>
      <w:bookmarkEnd w:id="0"/>
      <w:r w:rsidRPr="00BB1692">
        <w:t>MICROSOFT PROGRAMMATŪRAS LICENCES NOSACĪJUMI</w:t>
      </w:r>
    </w:p>
    <w:p w14:paraId="7781957D" w14:textId="6ECBF834" w:rsidR="0046467A" w:rsidRPr="00BB1692" w:rsidRDefault="24E09967" w:rsidP="0046467A">
      <w:pPr>
        <w:pStyle w:val="HeadingSoftwareTitle"/>
        <w:pBdr>
          <w:bottom w:val="none" w:sz="0" w:space="0" w:color="auto"/>
        </w:pBdr>
      </w:pPr>
      <w:r>
        <w:rPr/>
        <w:t xml:space="preserve">MICROSOFT SHAREPOINT FRAMEWORK</w:t>
      </w:r>
    </w:p>
    <w:p w14:paraId="58B29C81" w14:textId="38A5772F" w:rsidR="0046467A" w:rsidRPr="00BB1692" w:rsidRDefault="00C62187" w:rsidP="00463AA0">
      <w:pPr>
        <w:pStyle w:val="Preamble"/>
        <w:spacing w:after="0"/>
      </w:pPr>
      <w:r>
        <w:pict w14:anchorId="47171B36">
          <v:rect id="_x0000_i1025" style="width:0;height:1.5pt" o:hralign="center" o:hrstd="t" o:hr="t" fillcolor="#a0a0a0" stroked="f"/>
        </w:pict>
      </w:r>
    </w:p>
    <w:p w14:paraId="306FC705" w14:textId="74CD1EFC" w:rsidR="00F15EA7" w:rsidRPr="00BB1692" w:rsidRDefault="24E09967" w:rsidP="00463AA0">
      <w:pPr>
        <w:pStyle w:val="Preamble"/>
        <w:spacing w:before="0"/>
      </w:pPr>
      <w:r>
        <w:t>Šie licences nosacījumi ir līgums starp jums un korporāciju Microsoft (vai kādu tās saistīto uzņēmumu). Tie attiecas uz iepriekš norādīto programmatūru un jebkuriem Microsoft pakalpojumiem vai programmatūras atjauninājumiem (izņemot gadījumus, kad šādos pakalpojumos vai atjauninājumos ir iekļauti jauni vai papildu nosacījumi, — šādā gadījumā turpmāk ir piemērojami šie citi nosacījumi un tie nemaina jūsu vai korporācijas Microsoft tiesības saistībā ar iepriekš atjauninātu programmatūru vai pakalpojumiem). JA IEVĒROJAT ŠOS LICENCES NOSACĪJUMUS, JUMS IR TĀLĀK APRAKSTĪTĀS TIESĪBAS. IZMANTOJOT PROGRAMMATŪRU, JŪS PIEKRĪTAT ŠIEM NOSACĪJUMIEM.</w:t>
      </w:r>
    </w:p>
    <w:p w14:paraId="4B32D79E" w14:textId="045847B5" w:rsidR="00B406AF" w:rsidRPr="00BB1692" w:rsidRDefault="24E09967" w:rsidP="0020357B">
      <w:pPr>
        <w:pStyle w:val="Heading1"/>
        <w:numPr>
          <w:ilvl w:val="0"/>
          <w:numId w:val="26"/>
        </w:numPr>
      </w:pPr>
      <w:r w:rsidRPr="24E09967">
        <w:rPr>
          <w:b/>
        </w:rPr>
        <w:t>INSTALĒŠANAS UN LIETOŠANAS TIESĪBAS.</w:t>
      </w:r>
    </w:p>
    <w:p w14:paraId="7886A934" w14:textId="69FA0A3D" w:rsidR="00F15EA7" w:rsidRPr="00BB1692" w:rsidRDefault="00681DF1" w:rsidP="00A70A34">
      <w:pPr>
        <w:pStyle w:val="Heading2"/>
        <w:numPr>
          <w:ilvl w:val="1"/>
          <w:numId w:val="21"/>
        </w:numPr>
      </w:pPr>
      <w:bookmarkStart w:id="1" w:name="OLE_LINK7"/>
      <w:bookmarkStart w:id="2" w:name="OLE_LINK8"/>
      <w:r w:rsidRPr="24E09967">
        <w:rPr>
          <w:b/>
        </w:rPr>
        <w:t xml:space="preserve">Vispārīgi nosacījumi. </w:t>
      </w:r>
      <w:r w:rsidRPr="00BB1692">
        <w:t xml:space="preserve">Jums ir tiesības instalēt un lietot </w:t>
      </w:r>
      <w:r w:rsidRPr="00BB1692">
        <w:t>neierobežotu skaitu</w:t>
      </w:r>
      <w:r w:rsidRPr="00BB1692">
        <w:t xml:space="preserve"> </w:t>
      </w:r>
      <w:r w:rsidRPr="00BB1692">
        <w:t>programmatūras kopijas</w:t>
      </w:r>
      <w:r w:rsidRPr="00BB1692">
        <w:t>.</w:t>
      </w:r>
    </w:p>
    <w:bookmarkEnd w:id="1"/>
    <w:bookmarkEnd w:id="2"/>
    <w:p w14:paraId="29686FAD" w14:textId="762085FC" w:rsidR="005B381B" w:rsidRPr="00BB1692" w:rsidRDefault="00D808E7" w:rsidP="005D334D">
      <w:pPr>
        <w:pStyle w:val="Heading2"/>
        <w:numPr>
          <w:ilvl w:val="1"/>
          <w:numId w:val="21"/>
        </w:numPr>
      </w:pPr>
      <w:r w:rsidRPr="24E09967">
        <w:rPr>
          <w:b/>
        </w:rPr>
        <w:t>Iekļautās Microsoft lietojumprogrammas.</w:t>
      </w:r>
      <w:r>
        <w:t xml:space="preserve"> Šajā programmatūrā ir iekļauti komponenti no </w:t>
      </w:r>
      <w:r>
        <w:rPr/>
        <w:t xml:space="preserve">SharePoint</w:t>
      </w:r>
      <w:r>
        <w:t xml:space="preserve">. Uz šiem komponentiem attiecas atsevišķi līgumi un to produktu </w:t>
      </w:r>
      <w:r w:rsidRPr="00BB1692">
        <w:lastRenderedPageBreak/>
        <w:t xml:space="preserve">atbalsta politikas, kā aprakstīts attiecīgā komponenta instalācijas direktorijā iekļautajos licences nosacījumos vai programmatūras komplektācijā iekļautajā mapē </w:t>
      </w:r>
      <w:r w:rsidR="004C3EDD" w:rsidRPr="00BB1692">
        <w:t>„</w:t>
      </w:r>
      <w:r w:rsidRPr="00BB1692">
        <w:t>Licences”.</w:t>
      </w:r>
    </w:p>
    <w:p w14:paraId="38D69ADA" w14:textId="51DC278B" w:rsidR="00710258" w:rsidRPr="00BB1692" w:rsidRDefault="24E09967" w:rsidP="00710258">
      <w:pPr>
        <w:pStyle w:val="Heading2"/>
        <w:numPr>
          <w:ilvl w:val="1"/>
          <w:numId w:val="21"/>
        </w:numPr>
      </w:pPr>
      <w:r w:rsidRPr="24E09967">
        <w:rPr>
          <w:b/>
        </w:rPr>
        <w:t>Trešās personas programmatūra.</w:t>
      </w:r>
      <w:r>
        <w:t xml:space="preserve"> Programmatūrā var būt ietvertas trešo personu lietojumprogrammas, kuras jums tiek licencētas saskaņā ar šo līgumu vai saskaņā ar citiem nosacījumiem. Licences nosacījumiem, paziņojumiem un apliecinājumiem, ja tādi ir, par trešo personu lietojumprogrammām varat piekļūt tiešsaistē, vietnē </w:t>
      </w:r>
      <w:hyperlink r:id="rId11">
        <w:r w:rsidRPr="00A14351">
          <w:rPr>
            <w:rStyle w:val="Hyperlink"/>
            <w:rFonts w:eastAsia="Tahoma" w:cs="Tahoma"/>
          </w:rPr>
          <w:t>http://aka.ms/thirdpartynotices</w:t>
        </w:r>
      </w:hyperlink>
      <w:r>
        <w:t>, vai iekļautā paziņojumu failā. Pat ja šādām lietojumprogrammām ir piemērojami citi līgumi, ir spēkā arī tālāk minētā atruna, ierobežojumi un atteikšanās no zaudējumu atlīdzināšanas, ciktāl to atļauj piemērojamie tiesību akti.</w:t>
      </w:r>
    </w:p>
    <w:p w14:paraId="7C6F665A" w14:textId="58C10CA8" w:rsidR="00681DF1" w:rsidRPr="00BB1692" w:rsidRDefault="24E09967" w:rsidP="00681DF1">
      <w:pPr>
        <w:pStyle w:val="Heading2"/>
        <w:numPr>
          <w:ilvl w:val="1"/>
          <w:numId w:val="21"/>
        </w:numPr>
      </w:pPr>
      <w:r w:rsidRPr="24E09967">
        <w:rPr>
          <w:b/>
        </w:rPr>
        <w:t>Salīdzinošā procesu mērīšana.</w:t>
      </w:r>
      <w:r>
        <w:t xml:space="preserve"> Ja esat tiešs konkurents un piekļūstat programmatūrai vai to lietojat salīdzinošas procesu mērīšanas, analizēšanas vai informācijas vākšanas nolūkos, tad korporācijai Microsoft, tās meitasuzņēmumiem un tās saistītajiem uzņēmumiem (tostarp arī turpmākajiem) tiek atcelti visi jūsu programmatūras lietošanas nosacījumos minētie ierobežojumi attiecībā uz jūsu programmatūras jebkādu konkurējošu lietošanu, procesu mērījumu testēšanu vai piekļūšanu jūsu programmatūrai, ciktāl jūsu lietošanas nosacījumi ir vai ir paredzēti kā ierobežojošāki par Microsoft nosacījumiem. Ja savas programmatūras nosacījumos neatceļat nevienu no šiem turpmākajiem ierobežojumiem, jums nav tiesību piekļūt šai programmatūrai vai lietot to, un jūs to nedrīkstat darīt.</w:t>
      </w:r>
    </w:p>
    <w:p w14:paraId="67A81BE5" w14:textId="773DBF8B" w:rsidR="0054177A" w:rsidRPr="00BB1692" w:rsidRDefault="24E09967" w:rsidP="003C5297">
      <w:pPr>
        <w:pStyle w:val="Heading1"/>
        <w:numPr>
          <w:ilvl w:val="0"/>
          <w:numId w:val="26"/>
        </w:numPr>
      </w:pPr>
      <w:r w:rsidRPr="24E09967">
        <w:rPr>
          <w:b/>
        </w:rPr>
        <w:t>DATU VĀKŠANA.</w:t>
      </w:r>
      <w:r>
        <w:t xml:space="preserve"> Programmatūra var apkopot informāciju par jums un to, kā jūs lietojat programmatūru, un nosūtīt šo informāciju korporācijai Microsoft. Korporācijai Microsoft ir tiesības šo informāciju izmantot, lai nodrošinātu pakalpojumus un uzlabotu Microsoft produktus un pakalpojumus. Jūsu tiesības atteikties no </w:t>
      </w:r>
      <w:r>
        <w:lastRenderedPageBreak/>
        <w:t xml:space="preserve">dalības, ja tādas ir, ir aprakstītas produkta dokumentācijā. Noteikti programmatūrā iekļautie līdzekļi var iespējot datu vākšanu no jūsu lietojumprogrammu lietotājiem, kuri piekļūst programmatūrai vai to lieto. Ja šos līdzekļus lietojat, lai iespējotu datu vākšanu savās lietojumprogrammās, jums ir jāievēro piemērojamie tiesību akti, tostarp obligāti jāsaņem lietotāju piekrišana, kā arī jāuztur pamanāma personas datu aizsardzības politika, kurā lietotāji tiek precīzi informēti par to, kā jūs lietojat, vācat un kopīgojat viņu datus. Papildinformāciju par korporācijas Microsoft veikto datu vākšanu un lietošanu varat uzzināt produkta dokumentācijā un Microsoft personas datu aizsardzības paziņojumā, vietnē </w:t>
      </w:r>
      <w:hyperlink r:id="rId16" w:history="1">
        <w:r w:rsidRPr="00A14351">
          <w:rPr>
            <w:rStyle w:val="Hyperlink"/>
            <w:rFonts w:cs="Tahoma"/>
          </w:rPr>
          <w:t>https://go.microsoft.com/fwlink/?LinkId=512132</w:t>
        </w:r>
      </w:hyperlink>
      <w:r>
        <w:t>. Jūs piekrītat ievērot visus piemērojamos Microsoft personas datu aizsardzības paziņojuma nosacījumus.</w:t>
      </w:r>
    </w:p>
    <w:p w14:paraId="37430964" w14:textId="64ED4CA5" w:rsidR="00F15EA7" w:rsidRPr="00BB1692" w:rsidRDefault="24E09967" w:rsidP="00BE0EDE">
      <w:pPr>
        <w:pStyle w:val="Heading1"/>
        <w:numPr>
          <w:ilvl w:val="0"/>
          <w:numId w:val="26"/>
        </w:numPr>
      </w:pPr>
      <w:r w:rsidRPr="24E09967">
        <w:rPr>
          <w:b/>
        </w:rPr>
        <w:t>LICENCES PIEMĒROŠANAS APJOMS.</w:t>
      </w:r>
      <w:r>
        <w:t xml:space="preserve"> Programmatūra tiek licencēta, nevis pārdota. Korporācija Microsoft patur visas pārējās tiesības. Ja vien piemērojamie tiesību akti nesniedz plašākas tiesības, neraugoties uz šo ierobežojumu, jūs nedrīkstat (un jums nav tiesību):</w:t>
      </w:r>
    </w:p>
    <w:p w14:paraId="21CC1C12" w14:textId="56749ED8" w:rsidR="00F15EA7" w:rsidRPr="00BB1692" w:rsidRDefault="24E09967" w:rsidP="00D145B6">
      <w:pPr>
        <w:pStyle w:val="Bullet2"/>
        <w:numPr>
          <w:ilvl w:val="0"/>
          <w:numId w:val="30"/>
        </w:numPr>
        <w:tabs>
          <w:tab w:val="left" w:pos="4950"/>
        </w:tabs>
      </w:pPr>
      <w:r>
        <w:rPr>
          <w:b w:val="0"/>
        </w:rPr>
        <w:t>apiet jebkādus programmatūras tehniskos ierobežojumus, kas programmatūru jums ļauj lietot tikai noteiktos veidos;</w:t>
      </w:r>
    </w:p>
    <w:p w14:paraId="2E5D90BE" w14:textId="0D651467" w:rsidR="00F15EA7" w:rsidRPr="00BB1692" w:rsidRDefault="24E09967" w:rsidP="00D145B6">
      <w:pPr>
        <w:pStyle w:val="Bullet2"/>
        <w:numPr>
          <w:ilvl w:val="0"/>
          <w:numId w:val="30"/>
        </w:numPr>
      </w:pPr>
      <w:r>
        <w:rPr>
          <w:b w:val="0"/>
        </w:rPr>
        <w:t>dekonstruēt, dekompilēt vai izjaukt programmatūru</w:t>
      </w:r>
      <w:r>
        <w:rPr>
          <w:b w:val="0"/>
        </w:rPr>
        <w:t>;</w:t>
      </w:r>
    </w:p>
    <w:p w14:paraId="56869753" w14:textId="3A74C61B" w:rsidR="00FD293A" w:rsidRPr="00BB1692" w:rsidRDefault="24E09967" w:rsidP="00D145B6">
      <w:pPr>
        <w:pStyle w:val="Bullet2"/>
        <w:numPr>
          <w:ilvl w:val="0"/>
          <w:numId w:val="30"/>
        </w:numPr>
      </w:pPr>
      <w:r>
        <w:rPr>
          <w:b w:val="0"/>
        </w:rPr>
        <w:t>noņemt, minimizēt, bloķēt vai modificēt jebkādus programmatūrā esošos Microsoft vai tās piegādātāju paziņojumus;</w:t>
      </w:r>
    </w:p>
    <w:p w14:paraId="2045DC0F" w14:textId="50AC5305" w:rsidR="00DC3A02" w:rsidRPr="00BB1692" w:rsidRDefault="24E09967" w:rsidP="00D145B6">
      <w:pPr>
        <w:pStyle w:val="Bullet2"/>
        <w:numPr>
          <w:ilvl w:val="0"/>
          <w:numId w:val="30"/>
        </w:numPr>
      </w:pPr>
      <w:r>
        <w:rPr>
          <w:b w:val="0"/>
        </w:rPr>
        <w:t>programmatūru lietot komerciālu vai bezpeļņas darbību veikšanai vai ienākumu gūšanas nolūkā</w:t>
      </w:r>
      <w:r>
        <w:rPr>
          <w:b w:val="0"/>
        </w:rPr>
        <w:t>;</w:t>
      </w:r>
    </w:p>
    <w:p w14:paraId="04681DE1" w14:textId="100BED1D" w:rsidR="000E462E" w:rsidRPr="00BB1692" w:rsidRDefault="24E09967" w:rsidP="00D145B6">
      <w:pPr>
        <w:pStyle w:val="Bullet2"/>
        <w:numPr>
          <w:ilvl w:val="0"/>
          <w:numId w:val="30"/>
        </w:numPr>
      </w:pPr>
      <w:r>
        <w:rPr>
          <w:b w:val="0"/>
        </w:rPr>
        <w:t>programmatūru lietot jebkādā pretlikumīgā veidā vai arī, lai izveidotu vai vairotu ļaunprogrammatūru; vai</w:t>
      </w:r>
    </w:p>
    <w:p w14:paraId="294EE23C" w14:textId="0FFE5407" w:rsidR="00F15EA7" w:rsidRPr="00BB1692" w:rsidRDefault="24E09967" w:rsidP="00A501E5">
      <w:pPr>
        <w:pStyle w:val="Bullet2"/>
        <w:numPr>
          <w:ilvl w:val="0"/>
          <w:numId w:val="30"/>
        </w:numPr>
      </w:pPr>
      <w:r>
        <w:rPr>
          <w:b w:val="0"/>
        </w:rPr>
        <w:t>programmatūru kopīgot, publicēt, izplatīt vai aizdot, programmatūru nodrošināt kā savrupu, viesotu risinājumu, lai to varētu lietot citi, vai programmatūru vai šo līgumu nodot kādai trešajai personai.</w:t>
      </w:r>
    </w:p>
    <w:p w14:paraId="5249D2B1" w14:textId="681A3E54" w:rsidR="00F15EA7" w:rsidRPr="00BB1692" w:rsidRDefault="24E09967" w:rsidP="002A4950">
      <w:pPr>
        <w:pStyle w:val="Heading1"/>
        <w:numPr>
          <w:ilvl w:val="0"/>
          <w:numId w:val="26"/>
        </w:numPr>
      </w:pPr>
      <w:r w:rsidRPr="24E09967">
        <w:rPr>
          <w:b/>
        </w:rPr>
        <w:t>EKSPORTĒŠANAS IEROBEŽOJUMI.</w:t>
      </w:r>
      <w:r>
        <w:t xml:space="preserve"> Jums ir jāievēro visi vietējie un starptautiskie tiesību akti saistībā ar eksportēšanu, kas attiecas uz programmatūru, tostarp mērķu, lietotāju un lietošanas ierobežojumi. Papildinformāciju par eksportēšanas ierobežojumiem skatiet vietnē </w:t>
      </w:r>
      <w:hyperlink r:id="rId18" w:history="1">
        <w:r w:rsidR="00A14351" w:rsidRPr="00A14351">
          <w:rPr>
            <w:rStyle w:val="Hyperlink"/>
            <w:rFonts w:cs="Tahoma"/>
          </w:rPr>
          <w:t>http://</w:t>
        </w:r>
        <w:r w:rsidRPr="00A14351">
          <w:rPr>
            <w:rStyle w:val="Hyperlink"/>
            <w:rFonts w:cs="Tahoma"/>
          </w:rPr>
          <w:t>aka.ms/exporting</w:t>
        </w:r>
      </w:hyperlink>
      <w:r>
        <w:t>.</w:t>
      </w:r>
    </w:p>
    <w:p w14:paraId="7524A14C" w14:textId="40A853DE" w:rsidR="00F15EA7" w:rsidRPr="00BB1692" w:rsidRDefault="24E09967" w:rsidP="002A4950">
      <w:pPr>
        <w:pStyle w:val="Heading1"/>
        <w:numPr>
          <w:ilvl w:val="0"/>
          <w:numId w:val="26"/>
        </w:numPr>
      </w:pPr>
      <w:r w:rsidRPr="24E09967">
        <w:rPr>
          <w:b/>
        </w:rPr>
        <w:t>ATBALSTA PAKALPOJUMI.</w:t>
      </w:r>
      <w:r>
        <w:t xml:space="preserve"> Saskaņā ar šī līguma nosacījumiem korporācijai Microsoft nav pienākuma šai programmatūrai nodrošināt jebkādus atbalsta pakalpojumus. Viss nodrošinātais atbalsts ir „tāds, kāds tas ir”, „ar visiem trūkumiem”, un tam netiek sniegtas nekādas garantijas.</w:t>
      </w:r>
    </w:p>
    <w:p w14:paraId="5DC5566C" w14:textId="61034E4A" w:rsidR="001E4920" w:rsidRPr="00BB1692" w:rsidRDefault="24E09967" w:rsidP="002A4950">
      <w:pPr>
        <w:pStyle w:val="Heading1"/>
        <w:numPr>
          <w:ilvl w:val="0"/>
          <w:numId w:val="26"/>
        </w:numPr>
      </w:pPr>
      <w:r w:rsidRPr="24E09967">
        <w:rPr>
          <w:b/>
        </w:rPr>
        <w:t>ATJAUNINĀJUMI.</w:t>
      </w:r>
      <w:r>
        <w:t xml:space="preserve"> Programmatūra var periodiski pārbaudīt, vai ir pieejami atjauninājumi, kā arī lejupielādēt un instalēt tos jūsu vietā. Atjauninājumus varat iegūt tikai no korporācijas Microsoft vai no pilnvarotiem avotiem. Iespējams, korporācijai Microsoft būs jāatjaunina jūsu sistēma, lai varētu jums sniegt atjauninājumus. Jūs piekrītat saņemt šos automātiskos atjauninājumus bez papildu paziņojuma. </w:t>
      </w:r>
      <w:r>
        <w:lastRenderedPageBreak/>
        <w:t>Atjauninājumos var nebūt ietverti vai atbalstīti visi esošie programmatūras līdzekļi, pakalpojumi vai perifērās ierīces.</w:t>
      </w:r>
    </w:p>
    <w:p w14:paraId="3EE28D29" w14:textId="47113AB7" w:rsidR="000D4574" w:rsidRPr="00BB1692" w:rsidRDefault="24E09967" w:rsidP="00896399">
      <w:pPr>
        <w:pStyle w:val="Heading1"/>
        <w:numPr>
          <w:ilvl w:val="0"/>
          <w:numId w:val="26"/>
        </w:numPr>
      </w:pPr>
      <w:r w:rsidRPr="24E09967">
        <w:rPr>
          <w:rStyle w:val="Strong"/>
        </w:rPr>
        <w:t>LĪGUMA IZBEIGŠANA.</w:t>
      </w:r>
      <w:r>
        <w:t xml:space="preserve"> Nemazinot citas tiesības, korporācijai Microsoft ir tiesības izbeigt šī līguma darbību, ja jūs neievērojat kādu no tā noteikumiem un nosacījumiem. Tādā gadījumā jums ir jāiznīcina visas programmatūras kopijas un visas tās komponentu daļas.</w:t>
      </w:r>
    </w:p>
    <w:p w14:paraId="194CC803" w14:textId="03F72068" w:rsidR="00F15EA7" w:rsidRPr="00BB1692" w:rsidRDefault="24E09967" w:rsidP="00896399">
      <w:pPr>
        <w:pStyle w:val="Heading1"/>
        <w:numPr>
          <w:ilvl w:val="0"/>
          <w:numId w:val="26"/>
        </w:numPr>
      </w:pPr>
      <w:r w:rsidRPr="24E09967">
        <w:rPr>
          <w:b/>
        </w:rPr>
        <w:t>PILNA APJOMA LĪGUMS.</w:t>
      </w:r>
      <w:r>
        <w:t xml:space="preserve"> Šis līgums, kā arī jebkādi citi nosacījumi, ko Microsoft nodrošina papildinājumiem, atjauninājumiem vai trešo personu lietojumprogrammām, veido šīs programmatūras pilna apjoma līgumu.</w:t>
      </w:r>
    </w:p>
    <w:p w14:paraId="31A1E80B" w14:textId="0758CAAA" w:rsidR="00F15EA7" w:rsidRPr="00BB1692" w:rsidRDefault="24E09967" w:rsidP="00896399">
      <w:pPr>
        <w:pStyle w:val="Heading1"/>
        <w:numPr>
          <w:ilvl w:val="0"/>
          <w:numId w:val="26"/>
        </w:numPr>
      </w:pPr>
      <w:r w:rsidRPr="24E09967">
        <w:rPr>
          <w:b/>
        </w:rPr>
        <w:t>PIEMĒROJAMIE TIESĪBU AKTI UN STRĪDU RISINĀŠANAS VIETA.</w:t>
      </w:r>
      <w:r>
        <w:t xml:space="preserve"> Ja programmatūru ieguvāt Amerikas Savienotajās Valstīs vai Kanādā, tad visas šī līguma interpretācijas, prasības par tā pārkāpumiem un visas pārējās prasības (tostarp par patērētāju tiesību aizsardzību, negodīgu konkurenci un tiesību pārkāpumiem) neatkarīgi no tiesību aktu principu pretrunām tiek risinātas saskaņā ar jūsu mītnes štatā vai provincē (vai galvenajā jūsu komercdarbības vietā) spēkā esošajiem tiesību aktiem. Ja programmatūru ieguvāt jebkurā citā valstī, uz programmatūru attiecas tās tiesību akti. Ja pastāv ASV federālā jurisdikcija, jūs un korporācija Microsoft vienojaties, ka ekskluzīvā jurisdikcija un lietas izskatīšanas vieta ir Vašingtonas štata Kinga apgabala federālā tiesa visiem strīdiem, kas tiek izskatīti tiesā. Ja tā nav, jūs un korporācija Microsoft vienojaties, ka ekskluzīvā jurisdikcija un lietas izskatīšanas vieta ir Vašingtonas štata Kinga apgabala Augstākā tiesa visiem strīdiem, kas tiek izskatīti tiesā.</w:t>
      </w:r>
    </w:p>
    <w:p w14:paraId="70F3046E" w14:textId="4401C746" w:rsidR="006E477F" w:rsidRPr="00BB1692" w:rsidRDefault="24E09967" w:rsidP="00896399">
      <w:pPr>
        <w:pStyle w:val="Heading1"/>
        <w:numPr>
          <w:ilvl w:val="0"/>
          <w:numId w:val="26"/>
        </w:numPr>
      </w:pPr>
      <w:r w:rsidRPr="24E09967">
        <w:rPr>
          <w:b/>
        </w:rPr>
        <w:t>PATĒRĒTĀJU TIESĪBAS ATKARĪBĀ NO REĢIONA.</w:t>
      </w:r>
      <w:r>
        <w:t xml:space="preserve"> Šajā līgumā ir aprakstītas noteiktas juridiskās tiesības. Saskaņā ar jūsu štatā, provincē vai valstī spēkā esošajiem tiesību aktiem jums var būt arī citas tiesības, tostarp patērētāja tiesības. Atsevišķi un kā daļa no jūsu attiecībām ar korporāciju Microsoft, jums var būt arī tiesības attiecībā uz līgumslēdzēju pusi, no kuras iegādājāties programmatūru. Šis līgums nemaina šīs citas tiesības, ja tas nav atļauts jūsu štatā, provincē vai valstī spēkā esošajos likumos. Piemēram, ja programmatūru iegādājāties vienā no tālāk minētajiem reģioniem vai ir attiecināmi attiecīgās valsts obligātie tiesību akti, tad jums ir saistoši tālāk sniegtie nosacījumi.</w:t>
      </w:r>
    </w:p>
    <w:p w14:paraId="35FDEA05" w14:textId="272EDE13" w:rsidR="006E477F" w:rsidRPr="00BB1692" w:rsidRDefault="24E09967" w:rsidP="00896399">
      <w:pPr>
        <w:pStyle w:val="Heading2"/>
        <w:numPr>
          <w:ilvl w:val="1"/>
          <w:numId w:val="14"/>
        </w:numPr>
        <w:ind w:left="717"/>
      </w:pPr>
      <w:r w:rsidRPr="24E09967">
        <w:rPr>
          <w:b/>
        </w:rPr>
        <w:lastRenderedPageBreak/>
        <w:t>Austrālija.</w:t>
      </w:r>
      <w:r>
        <w:t xml:space="preserve"> Uz jums attiecas Austrālijas Patērētāju likumā noteiktās garantijas, un neviens no šī līguma nosacījumiem nav paredzēts šo tiesību ietekmēšanai.</w:t>
      </w:r>
    </w:p>
    <w:p w14:paraId="6907979B" w14:textId="2C0A0A05" w:rsidR="006E477F" w:rsidRPr="00BB1692" w:rsidRDefault="24E09967" w:rsidP="00896399">
      <w:pPr>
        <w:pStyle w:val="Heading2"/>
        <w:numPr>
          <w:ilvl w:val="1"/>
          <w:numId w:val="14"/>
        </w:numPr>
        <w:ind w:left="717"/>
      </w:pPr>
      <w:r w:rsidRPr="24E09967">
        <w:rPr>
          <w:b/>
        </w:rPr>
        <w:t>Kanāda.</w:t>
      </w:r>
      <w:r>
        <w:t xml:space="preserve"> Ja šo programmatūru ieguvāt Kanādā, jums ir tiesības apturēt atjauninājumu saņemšanu, izslēdzot automātisko atjauninājumu līdzekli, ierīci atvienojot no interneta (taču, ja un kad atkal izveidojat savienojumu ar internetu, programmatūra atsāk pārbaudīt, vai ir pieejami atjauninājumi, un tos instalēt) vai programmatūru atinstalējot. Produkta dokumentācijā, ja tāda ir, var būt arī norādīts, kā izslēgt atjauninājumus jūsu konkrētajai ierīcei vai programmatūrai.</w:t>
      </w:r>
    </w:p>
    <w:p w14:paraId="635014AF" w14:textId="182F1E96" w:rsidR="006E477F" w:rsidRPr="00BB1692" w:rsidRDefault="24E09967" w:rsidP="00896399">
      <w:pPr>
        <w:pStyle w:val="Heading2"/>
        <w:numPr>
          <w:ilvl w:val="1"/>
          <w:numId w:val="14"/>
        </w:numPr>
        <w:ind w:left="717"/>
      </w:pPr>
      <w:r w:rsidRPr="24E09967">
        <w:rPr>
          <w:b/>
        </w:rPr>
        <w:t>Vācija un Austrija.</w:t>
      </w:r>
    </w:p>
    <w:p w14:paraId="123675B0" w14:textId="77777777" w:rsidR="006E477F" w:rsidRPr="00BB1692" w:rsidRDefault="006E477F" w:rsidP="006066BB">
      <w:pPr>
        <w:ind w:left="1260" w:hanging="540"/>
      </w:pPr>
      <w:r w:rsidRPr="00BB1692">
        <w:t>(i)</w:t>
      </w:r>
      <w:r w:rsidRPr="00BB1692">
        <w:tab/>
        <w:t>Garantija.</w:t>
      </w:r>
      <w:r w:rsidRPr="00BB1692">
        <w:rPr>
          <w:b w:val="0"/>
        </w:rPr>
        <w:t xml:space="preserve"> Atbilstoši licencētas programmatūras darbība pilnībā atbildīs visos korporācijas Microsoft programmatūrai pievienotajos materiālos sniegtajiem aprakstiem. Tomēr Microsoft nesniedz nekādas garantijas saistībā ar licencēto programmatūru.</w:t>
      </w:r>
    </w:p>
    <w:p w14:paraId="4E4D9AEE" w14:textId="77777777" w:rsidR="006E477F" w:rsidRPr="00BB1692" w:rsidRDefault="006E477F" w:rsidP="006066BB">
      <w:pPr>
        <w:ind w:left="1260" w:hanging="540"/>
      </w:pPr>
      <w:r w:rsidRPr="00BB1692">
        <w:t>(ii)</w:t>
      </w:r>
      <w:r w:rsidRPr="00BB1692">
        <w:tab/>
        <w:t>Atbildības ierobežojums.</w:t>
      </w:r>
      <w:r w:rsidRPr="00BB1692">
        <w:rPr>
          <w:b w:val="0"/>
        </w:rPr>
        <w:t xml:space="preserve"> Ar nodomu veiktu darbību, rupjas nolaidības, sūdzību saskaņā ar Atbildība par ražojumiem likumu (Product Liability Act), tostarp nāves un personiskas vai fiziskas traumas gadījumā korporācija Microsoft ir atbildīga saskaņā ar likumā noteiktajām tiesībām.</w:t>
      </w:r>
    </w:p>
    <w:p w14:paraId="2B4FB661" w14:textId="7CB95B55" w:rsidR="00F15EA7" w:rsidRPr="00BB1692" w:rsidRDefault="24E09967" w:rsidP="00896399">
      <w:pPr>
        <w:pStyle w:val="Heading1"/>
        <w:ind w:left="720"/>
      </w:pPr>
      <w:r>
        <w:t>Saskaņā ar iepriekšējo punktu (ii) korporācija Microsoft par nelielu nolaidību ir atbildīga tikai tādā gadījumā, ja Microsoft pārkāpa tādas materiālās līgumsaistības, no kurām ir atkarīga atbilstoša šī līguma izpilde un kuru pārkāpšana rada apdraudējumu šī līguma noslēgšanas mērķim, kā arī uz kuru ievērošanu līgumslēdzēja puse var paļauties (tiek dēvētas par „kardinālajām saistībām”). Korporācija Microsoft nav atbildīga par citiem nelielas nolaidības gadījumiem.</w:t>
      </w:r>
    </w:p>
    <w:p w14:paraId="2C146C8C" w14:textId="59EB1436" w:rsidR="00F15EA7" w:rsidRPr="00BB1692" w:rsidRDefault="24E09967" w:rsidP="00CB50D2">
      <w:pPr>
        <w:pStyle w:val="Heading1"/>
        <w:numPr>
          <w:ilvl w:val="0"/>
          <w:numId w:val="26"/>
        </w:numPr>
      </w:pPr>
      <w:r w:rsidRPr="24E09967">
        <w:rPr>
          <w:b/>
        </w:rPr>
        <w:t>GARANTIJU ATRUNA. PROGRAMMATŪRA IR LICENCĒTA „TĀDA, KĀDA TĀ IR”. TĀS LIETOŠANAS RISKS IR JĀUZŅEMAS JUMS. KORPORĀCIJA MICROSOFT NESNIEDZ NEKĀDAS TIEŠAS GARANTIJAS, GALVOJUMUS VAI NOSACĪJUMUS. CIKTĀL TO ATĻAUJ PIEMĒROJAMIE TIESĪBU AKTI, MICROSOFT NENODROŠINA NEKĀDU NETIEŠO GARANTIJU, TOSTARP PAR PIEMĒROTĪBU PĀRDOŠANAI UN NOTEIKTAM MĒRĶIM, UN TIESĪBU NEPĀRKĀPŠANAS GARANTIJU.</w:t>
      </w:r>
    </w:p>
    <w:p w14:paraId="26951160" w14:textId="308FB50B" w:rsidR="00F15EA7" w:rsidRPr="00BB1692" w:rsidRDefault="24E09967" w:rsidP="00896399">
      <w:pPr>
        <w:pStyle w:val="Heading1"/>
        <w:numPr>
          <w:ilvl w:val="0"/>
          <w:numId w:val="26"/>
        </w:numPr>
      </w:pPr>
      <w:r w:rsidRPr="24E09967">
        <w:rPr>
          <w:b/>
        </w:rPr>
        <w:t>ZAUDĒJUMU ATLĪDZINĀŠANAS IEROBEŽOJUMI UN IZŅĒMUMI. JA, NERAUGOTIES UZ IEPRIEKŠ SNIEGTO GARANTIJAS ATRUNU, JUMS IR PAMATS SAŅEMT ATLĪDZĪBU PAR ZAUDĒJUMIEM, JŪS NO KORPORĀCIJAS MICROSOFT VAI TĀS PIEGĀDĀTĀJIEM VARAT SAŅEMT ATLĪDZĪBU TIKAI PAR TIEŠAJIEM ZAUDĒJUMIEM, KURU SUMMA NEPĀRSNIEDZ 5,00 ASV DOLĀRUS. JŪS NEVARAT SAŅEMT ATLĪDZĪBU PAR CITIEM ZAUDĒJUMIEM, TOSTARP PAR IZRIETOŠAJIEM, PEĻŅAS, ĪPAŠAJIEM, NETIEŠAJIEM VAI NEJAUŠAJIEM ZAUDĒJUMIEM.</w:t>
      </w:r>
    </w:p>
    <w:p w14:paraId="3FC85389" w14:textId="2B8CD7BD" w:rsidR="00F15EA7" w:rsidRPr="00BB1692" w:rsidRDefault="24E09967" w:rsidP="00896399">
      <w:pPr>
        <w:pStyle w:val="Body1"/>
      </w:pPr>
      <w:r>
        <w:t xml:space="preserve">Šis ierobežojums attiecas uz a) visu saistībā ar programmatūru, pakalpojumiem, saturu (tostarp kodu) trešās personas interneta vietnēs vai trešās personas lietojumprogrammās; un b) prasībām par līguma pārkāpumiem, garantijas, galvojuma vai nosacījumu pārkāpumiem; </w:t>
      </w:r>
      <w:r>
        <w:lastRenderedPageBreak/>
        <w:t>nepārprotamu atbildību, nolaidību vai citu tiesību pārkāpumu; vai jebkādu citu prasību; katrā gadījumā šis ierobežojums ir spēkā tādā apmērā, kādā to atļauj piemērojamie tiesību akti.</w:t>
      </w:r>
    </w:p>
    <w:p w14:paraId="54016D2E" w14:textId="77777777" w:rsidR="00262C9F" w:rsidRPr="00BB1692" w:rsidRDefault="24E09967" w:rsidP="00896399">
      <w:pPr>
        <w:pStyle w:val="Body1"/>
      </w:pPr>
      <w:r>
        <w:t>Tas ir spēkā arī tad, ja korporācija Microsoft zināja vai tai vajadzēja zināt par zaudējumu iespējamību. Minētie ierobežojumi vai izņēmumi var neattiekties uz jums, ja saskaņā ar jūsu štata, provinces vai valsts likumdošanu nav atļauts noteikt izņēmumus vai ierobežot nejaušus, izrietošus vai citus zaudējumus.</w:t>
      </w:r>
    </w:p>
    <w:sectPr w:rsidR="00896399" w:rsidRPr="00BB1692"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E428A" w14:textId="77777777" w:rsidR="00C62187" w:rsidRDefault="00C62187" w:rsidP="002B5C2F">
      <w:r>
        <w:separator/>
      </w:r>
    </w:p>
  </w:endnote>
  <w:endnote w:type="continuationSeparator" w:id="0">
    <w:p w14:paraId="393C9CAC" w14:textId="77777777" w:rsidR="00C62187" w:rsidRDefault="00C62187" w:rsidP="002B5C2F">
      <w:r>
        <w:continuationSeparator/>
      </w:r>
    </w:p>
  </w:endnote>
  <w:endnote w:type="continuationNotice" w:id="1">
    <w:p w14:paraId="47564151" w14:textId="77777777" w:rsidR="00C62187" w:rsidRDefault="00C6218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48094128" w:rsidR="006066BB" w:rsidRPr="00F06FD0" w:rsidRDefault="006066BB" w:rsidP="00F06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E567A" w14:textId="77777777" w:rsidR="006066BB" w:rsidRDefault="006066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3221716D" w:rsidR="006066BB" w:rsidRPr="00F06FD0" w:rsidRDefault="006066BB" w:rsidP="00F0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415B6" w14:textId="77777777" w:rsidR="00C62187" w:rsidRDefault="00C62187" w:rsidP="002B5C2F">
      <w:r>
        <w:separator/>
      </w:r>
    </w:p>
  </w:footnote>
  <w:footnote w:type="continuationSeparator" w:id="0">
    <w:p w14:paraId="65DB0580" w14:textId="77777777" w:rsidR="00C62187" w:rsidRDefault="00C62187" w:rsidP="002B5C2F">
      <w:r>
        <w:continuationSeparator/>
      </w:r>
    </w:p>
  </w:footnote>
  <w:footnote w:type="continuationNotice" w:id="1">
    <w:p w14:paraId="1F5DBBB8" w14:textId="77777777" w:rsidR="00C62187" w:rsidRDefault="00C6218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42195" w14:textId="77777777" w:rsidR="006066BB" w:rsidRDefault="00606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A566" w14:textId="77777777" w:rsidR="006066BB" w:rsidRDefault="00606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5711E" w14:textId="77777777" w:rsidR="006066BB" w:rsidRDefault="00606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BBAA01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CE74CF1"/>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5E39B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B2445A"/>
    <w:multiLevelType w:val="multilevel"/>
    <w:tmpl w:val="BBAA01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2"/>
  </w:num>
  <w:num w:numId="7">
    <w:abstractNumId w:val="22"/>
  </w:num>
  <w:num w:numId="8">
    <w:abstractNumId w:val="15"/>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9"/>
  </w:num>
  <w:num w:numId="21">
    <w:abstractNumId w:val="11"/>
  </w:num>
  <w:num w:numId="22">
    <w:abstractNumId w:val="2"/>
  </w:num>
  <w:num w:numId="23">
    <w:abstractNumId w:val="23"/>
  </w:num>
  <w:num w:numId="24">
    <w:abstractNumId w:val="8"/>
  </w:num>
  <w:num w:numId="25">
    <w:abstractNumId w:val="29"/>
  </w:num>
  <w:num w:numId="26">
    <w:abstractNumId w:val="10"/>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16"/>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lv-LV" w:eastAsia="lv-LV" w:bidi="lv-LV"/>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a771c966db1c4c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5bf1543a00ef4fb1"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0C1543C8-8940-4C30-8041-C05B184C43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45B791-9852-42F9-BD11-3B8790890BAB}">
  <ds:schemaRefs>
    <ds:schemaRef ds:uri="http://schemas.microsoft.com/sharepoint/v3/contenttype/forms"/>
  </ds:schemaRefs>
</ds:datastoreItem>
</file>

<file path=customXml/itemProps3.xml><?xml version="1.0" encoding="utf-8"?>
<ds:datastoreItem xmlns:ds="http://schemas.openxmlformats.org/officeDocument/2006/customXml" ds:itemID="{13655E4D-3F30-4B4B-AF4A-8967D5568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BCE9D2-F98D-4A1E-8FA8-EFF62D12C73F}">
  <ds:schemaRefs>
    <ds:schemaRef ds:uri="http://schemas.business-integrity.com/dealbuilder/2006/dictionary"/>
  </ds:schemaRefs>
</ds:datastoreItem>
</file>

<file path=customXml/itemProps5.xml><?xml version="1.0" encoding="utf-8"?>
<ds:datastoreItem xmlns:ds="http://schemas.openxmlformats.org/officeDocument/2006/customXml" ds:itemID="{4999A03F-9CE8-4C27-8B79-B12B51A49F7A}">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Latvian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3483</vt:lpwstr>
  </property>
  <property name="db_contract_version" fmtid="{D5CDD505-2E9C-101B-9397-08002B2CF9AE}" pid="4">
    <vt:lpwstr>AAAAAAAAXd4=</vt:lpwstr>
  </property>
</Properties>
</file>