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388A86C7" w:rsidR="00F15EA7" w:rsidRPr="00D56CA1" w:rsidRDefault="001E7CB8" w:rsidP="0020357B">
      <w:pPr>
        <w:pStyle w:val="HeadingEULA"/>
      </w:pPr>
      <w:bookmarkStart w:id="0" w:name="_GoBack"/>
      <w:bookmarkEnd w:id="0"/>
      <w:r w:rsidRPr="00D56CA1">
        <w:t>„MICROSOFT“ PROGRAMINĖS ĮRANGOS LICENCIJOS SĄLYGOS</w:t>
      </w:r>
    </w:p>
    <w:p w14:paraId="7781957D" w14:textId="6ECBF834" w:rsidR="0046467A" w:rsidRPr="00D56CA1" w:rsidRDefault="00DB7878" w:rsidP="0046467A">
      <w:pPr>
        <w:pStyle w:val="HeadingSoftwareTitle"/>
        <w:pBdr>
          <w:bottom w:val="none" w:sz="0" w:space="0" w:color="auto"/>
        </w:pBdr>
      </w:pPr>
      <w:r>
        <w:rPr/>
        <w:t xml:space="preserve">MICROSOFT SHAREPOINT FRAMEWORK</w:t>
      </w:r>
    </w:p>
    <w:p w14:paraId="58B29C81" w14:textId="7C488246" w:rsidR="0046467A" w:rsidRPr="00D56CA1" w:rsidRDefault="00053362" w:rsidP="00463AA0">
      <w:pPr>
        <w:pStyle w:val="Preamble"/>
        <w:spacing w:after="0"/>
      </w:pPr>
      <w:r>
        <w:pict w14:anchorId="47171B36">
          <v:rect id="_x0000_i1025" style="width:0;height:1.5pt" o:hralign="center" o:hrstd="t" o:hr="t" fillcolor="#a0a0a0" stroked="f"/>
        </w:pict>
      </w:r>
    </w:p>
    <w:p w14:paraId="306FC705" w14:textId="3B9DBFC6" w:rsidR="00F15EA7" w:rsidRPr="00D56CA1" w:rsidRDefault="00C72716" w:rsidP="00463AA0">
      <w:pPr>
        <w:pStyle w:val="Preamble"/>
        <w:spacing w:before="0"/>
      </w:pPr>
      <w:r w:rsidRPr="00D56CA1">
        <w:t>Šios licencijos sąlygos yra sutartis tarp jūsų ir „Microsoft Corporation“ (arba vienos iš su ja susijusių įmonių). Jos taikomos pirmiau nurodytai programinei įrangai ir bet kokioms „Microsoft“ paslaugoms ar programinės įrangos naujinimams (išskyrus atvejus, kai paslaugoms ar naujinimams taikomos naujos ar papildomos sąlygos; tokiu atveju nurodytos kitokios sąlygos netaikomos atgaline data ir nekeičia jūsų ar „Microsoft“ teisių, susijusių su programine įranga ar paslaugomis iki jų atnaujinimo). JEI SUTINKATE SU ŠIOMIS LICENCIJOS SĄLYGOMIS, JUMS SUTEIKIAMOS TOLIAU NURODYTOS TEISĖS. NAUDODAMI PROGRAMINĘ ĮRANGĄ, JŪS SUTINKATE SU ŠIOMIS SĄLYGOMIS.</w:t>
      </w:r>
    </w:p>
    <w:p w14:paraId="4B32D79E" w14:textId="045847B5" w:rsidR="00B406AF" w:rsidRPr="00D56CA1" w:rsidRDefault="00E47200" w:rsidP="0020357B">
      <w:pPr>
        <w:pStyle w:val="Heading1"/>
        <w:numPr>
          <w:ilvl w:val="0"/>
          <w:numId w:val="26"/>
        </w:numPr>
      </w:pPr>
      <w:r w:rsidRPr="00D56CA1">
        <w:rPr>
          <w:b/>
        </w:rPr>
        <w:t>DIEGIMO IR NAUDOJIMO TEISĖS.</w:t>
      </w:r>
    </w:p>
    <w:p w14:paraId="7886A934" w14:textId="7C12197D" w:rsidR="00F15EA7" w:rsidRPr="00D56CA1" w:rsidRDefault="00681DF1" w:rsidP="00A70A34">
      <w:pPr>
        <w:pStyle w:val="Heading2"/>
        <w:numPr>
          <w:ilvl w:val="1"/>
          <w:numId w:val="21"/>
        </w:numPr>
      </w:pPr>
      <w:bookmarkStart w:id="1" w:name="OLE_LINK7"/>
      <w:bookmarkStart w:id="2" w:name="OLE_LINK8"/>
      <w:r w:rsidRPr="00D56CA1">
        <w:rPr>
          <w:b/>
        </w:rPr>
        <w:t>Bendrosios nuostatos.</w:t>
      </w:r>
      <w:r w:rsidR="004D5088">
        <w:rPr>
          <w:b/>
        </w:rPr>
        <w:t xml:space="preserve"> </w:t>
      </w:r>
      <w:r w:rsidRPr="00D56CA1">
        <w:t xml:space="preserve">Galite įdiegti ir naudoti </w:t>
      </w:r>
      <w:r w:rsidRPr="00D56CA1">
        <w:t>neribotą skaičių</w:t>
      </w:r>
      <w:r w:rsidRPr="00D56CA1">
        <w:t xml:space="preserve"> programinės įrangos </w:t>
      </w:r>
      <w:r w:rsidRPr="00D56CA1">
        <w:t>kopij</w:t>
      </w:r>
      <w:r w:rsidRPr="00D56CA1">
        <w:t xml:space="preserve"> </w:t>
      </w:r>
      <w:r w:rsidRPr="00D56CA1">
        <w:t>.</w:t>
      </w:r>
    </w:p>
    <w:bookmarkEnd w:id="1"/>
    <w:bookmarkEnd w:id="2"/>
    <w:p w14:paraId="29686FAD" w14:textId="22134D1B" w:rsidR="005B381B" w:rsidRPr="00D56CA1" w:rsidRDefault="00D808E7" w:rsidP="005D334D">
      <w:pPr>
        <w:pStyle w:val="Heading2"/>
        <w:numPr>
          <w:ilvl w:val="1"/>
          <w:numId w:val="21"/>
        </w:numPr>
      </w:pPr>
      <w:r w:rsidRPr="00D56CA1">
        <w:rPr>
          <w:b/>
        </w:rPr>
        <w:t>Įtrauktos „Microsoft“ programos.</w:t>
      </w:r>
      <w:r>
        <w:t xml:space="preserve"> Šioje programinėje įrangoje yra komponentų iš </w:t>
      </w:r>
      <w:r>
        <w:rPr/>
        <w:t xml:space="preserve">SharePoint</w:t>
      </w:r>
      <w:r>
        <w:t xml:space="preserve">. Šiems komponentams taikomos </w:t>
      </w:r>
      <w:r w:rsidRPr="00D56CA1">
        <w:lastRenderedPageBreak/>
        <w:t>atskiros sutartys ir atitinkamos produkto palaikymo strategijos, kaip nurodyta licencijos sąlygose, esančiose atitinkamo komponento diegimo kataloge arba programinės įrangos licencijų aplanke.</w:t>
      </w:r>
    </w:p>
    <w:p w14:paraId="38D69ADA" w14:textId="6E0DD538" w:rsidR="00710258" w:rsidRPr="00D56CA1" w:rsidRDefault="00710258" w:rsidP="00A427F8">
      <w:pPr>
        <w:pStyle w:val="Heading2"/>
        <w:numPr>
          <w:ilvl w:val="1"/>
          <w:numId w:val="21"/>
        </w:numPr>
      </w:pPr>
      <w:r w:rsidRPr="00D56CA1">
        <w:rPr>
          <w:b/>
        </w:rPr>
        <w:t>Trečiosios šalies programinė įranga.</w:t>
      </w:r>
      <w:r w:rsidRPr="00D56CA1">
        <w:t xml:space="preserve"> Į programinę įrangą gali būti įtraukta trečiosios šalies programų, kurios licencijuojamos jums pagal šią sutartį arba pagal jų atskiras sąlygas. Trečiosios šalies programų licencijos sąlygas, pranešimus ir patvirtinimus, jei jų yra, galima peržiūrėti svetainėje </w:t>
      </w:r>
      <w:hyperlink r:id="rId11" w:history="1">
        <w:r w:rsidR="00A427F8" w:rsidRPr="004E14A4">
          <w:rPr>
            <w:rStyle w:val="Hyperlink"/>
          </w:rPr>
          <w:t>http://aka.ms/thirdpartynotices</w:t>
        </w:r>
      </w:hyperlink>
      <w:r w:rsidRPr="00D56CA1">
        <w:t xml:space="preserve"> arba pridėtame pranešimų faile. Net jei tokių programų naudojimą reglamentuoja kitos sutartys, taip pat galioja toliau išvardytos patyrus žalą taikomos atsakomybės atsisakymo nuostatos, apribojimai ir išimtys, kiek leidžia taikytina teisė.</w:t>
      </w:r>
    </w:p>
    <w:p w14:paraId="7C6F665A" w14:textId="5981B86F" w:rsidR="00681DF1" w:rsidRPr="00D56CA1" w:rsidRDefault="007609A7" w:rsidP="00681DF1">
      <w:pPr>
        <w:pStyle w:val="Heading2"/>
        <w:numPr>
          <w:ilvl w:val="1"/>
          <w:numId w:val="21"/>
        </w:numPr>
      </w:pPr>
      <w:r w:rsidRPr="00D56CA1">
        <w:rPr>
          <w:b/>
        </w:rPr>
        <w:t>Konkurentų lyginamoji analizė</w:t>
      </w:r>
      <w:r w:rsidRPr="00A17599">
        <w:rPr>
          <w:b/>
          <w:bCs w:val="0"/>
        </w:rPr>
        <w:t>.</w:t>
      </w:r>
      <w:r w:rsidRPr="00D56CA1">
        <w:t xml:space="preserve"> Jei esate tiesioginiai konkurentai ir turite prieigą prie programinės įrangos arba ją naudojate konkurentų lyginamosios analizės, kitokios analizės ar informacijos rinkimo tikslais, jūs atsisakote „Microsoft“, jos filialams ir su ja susijusioms įmonėms (įskaitant būsimas) taikyti kokius nors konkurencinio naudojimo, prieigos ir lyginamosios analizės testų apribojimus savo programinės įrangos sąlygose, jei jūsų naudojimo sąlygos yra labiau ribojančios nei „Microsoft“ sąlygos arba tokiomis laikomos. Jei jūs nesutinkate atsisakyti tokių apribojimų savo sąlygose, taikomose jūsų programinei įrangai, jums neleidžiama pasiekti arba naudoti šią programinę įrangą.</w:t>
      </w:r>
    </w:p>
    <w:p w14:paraId="67A81BE5" w14:textId="0199AE4B" w:rsidR="0054177A" w:rsidRPr="00D56CA1" w:rsidRDefault="0054177A" w:rsidP="003C5297">
      <w:pPr>
        <w:pStyle w:val="Heading1"/>
        <w:numPr>
          <w:ilvl w:val="0"/>
          <w:numId w:val="26"/>
        </w:numPr>
      </w:pPr>
      <w:r w:rsidRPr="00D56CA1">
        <w:rPr>
          <w:b/>
        </w:rPr>
        <w:t>DUOMENŲ RINKIMAS.</w:t>
      </w:r>
      <w:r w:rsidRPr="00D56CA1">
        <w:t xml:space="preserve"> Programinė įranga gali rinkti informaciją apie jus ir tai, kaip naudojatės programine įranga, ir ją siųsti bendrovei „Microsoft“. „Microsoft“ gali naudoti šią informacija siekdama teikti paslaugas ir tobulinti „Microsoft“ produktus bei paslaugas. Jūsų teisės atsisakyti, jei tokių yra, aprašytos produkto dokumentacijoje. Kai kurios programinės įrangos funkcijos gali suteikti galimybę rinkti duomenis iš jūsų programų, kurios turi prieigą prie programinės įrangos ar ją naudoja, vartotojų. Jei naudojate tokias </w:t>
      </w:r>
      <w:r w:rsidRPr="00D56CA1">
        <w:lastRenderedPageBreak/>
        <w:t xml:space="preserve">funkcijas siekdami įgalinti duomenų rinkimą savo programose, turite laikytis taikytinos teisės, įskaitant reikalavimą gauti bet kokį reikiamą vartotojo sutikimą, ir taikyti tinkamą privatumo strategiją, kuri tiksliai informuoja vartotojus, kaip jūs naudojate, renkate jų duomenis ir jais dalijatės. Daugiau informacijos apie „Microsoft“ duomenų rinkimą ir naudojimą produkto dokumentacijoje ir „Microsoft“ privatumo nuostatas rasite adresu </w:t>
      </w:r>
      <w:hyperlink r:id="rId16" w:history="1">
        <w:r w:rsidR="00A427F8" w:rsidRPr="004E14A4">
          <w:rPr>
            <w:rStyle w:val="Hyperlink"/>
            <w:rFonts w:cs="Tahoma"/>
          </w:rPr>
          <w:t>https://</w:t>
        </w:r>
        <w:r w:rsidRPr="004E14A4">
          <w:rPr>
            <w:rStyle w:val="Hyperlink"/>
            <w:rFonts w:cs="Tahoma"/>
          </w:rPr>
          <w:t>go.microsoft.com/fwlink/?LinkId=512132</w:t>
        </w:r>
      </w:hyperlink>
      <w:r w:rsidRPr="00D56CA1">
        <w:t>. Jūs sutinkate laikytis visų taikytinų „Microsoft“ privatumo nuostatų.</w:t>
      </w:r>
    </w:p>
    <w:p w14:paraId="37430964" w14:textId="64ED4CA5" w:rsidR="00F15EA7" w:rsidRPr="00D56CA1" w:rsidRDefault="00E47200" w:rsidP="00BE0EDE">
      <w:pPr>
        <w:pStyle w:val="Heading1"/>
        <w:numPr>
          <w:ilvl w:val="0"/>
          <w:numId w:val="26"/>
        </w:numPr>
      </w:pPr>
      <w:r w:rsidRPr="00D56CA1">
        <w:rPr>
          <w:b/>
        </w:rPr>
        <w:t>LICENCIJOS TAIKYMO SRITIS.</w:t>
      </w:r>
      <w:r w:rsidRPr="00D56CA1">
        <w:t xml:space="preserve"> Programinė įranga yra licencijuota, o ne parduota. „Microsoft“ pasilieka visas kitas teises. Nebent nepaisant šio apribojimo taikytina teisė suteikia jums daugiau teisių, jums draudžiama (ir jūs neturite teisės):</w:t>
      </w:r>
    </w:p>
    <w:p w14:paraId="21CC1C12" w14:textId="56749ED8" w:rsidR="00F15EA7" w:rsidRPr="003D295A" w:rsidRDefault="00E47200" w:rsidP="00D145B6">
      <w:pPr>
        <w:pStyle w:val="Bullet2"/>
        <w:numPr>
          <w:ilvl w:val="0"/>
          <w:numId w:val="30"/>
        </w:numPr>
        <w:tabs>
          <w:tab w:val="left" w:pos="4950"/>
        </w:tabs>
        <w:rPr>
          <w:b w:val="0"/>
          <w:bCs/>
        </w:rPr>
      </w:pPr>
      <w:r w:rsidRPr="00D56CA1">
        <w:rPr>
          <w:b w:val="0"/>
          <w:bCs/>
        </w:rPr>
        <w:t>apeiti kokius nors programinės įrangos techninius apribojimus, pagal kuriuos jums leidžiama ja naudotis tik tam tikru būdu;</w:t>
      </w:r>
    </w:p>
    <w:p w14:paraId="2E5D90BE" w14:textId="0D651467" w:rsidR="00F15EA7" w:rsidRPr="003D295A" w:rsidRDefault="001F2830" w:rsidP="00D145B6">
      <w:pPr>
        <w:pStyle w:val="Bullet2"/>
        <w:numPr>
          <w:ilvl w:val="0"/>
          <w:numId w:val="30"/>
        </w:numPr>
        <w:rPr>
          <w:b w:val="0"/>
          <w:bCs/>
        </w:rPr>
      </w:pPr>
      <w:r w:rsidRPr="00D56CA1">
        <w:rPr>
          <w:b w:val="0"/>
          <w:bCs/>
        </w:rPr>
        <w:t>perdaryti, dekompiliuoti arba išskaidyti programinę įrangą</w:t>
      </w:r>
      <w:r w:rsidRPr="00D56CA1">
        <w:rPr>
          <w:b w:val="0"/>
          <w:bCs/>
        </w:rPr>
        <w:t>;</w:t>
      </w:r>
    </w:p>
    <w:p w14:paraId="56869753" w14:textId="3A74C61B" w:rsidR="00FD293A" w:rsidRPr="003D295A" w:rsidRDefault="00FD293A" w:rsidP="00D145B6">
      <w:pPr>
        <w:pStyle w:val="Bullet2"/>
        <w:numPr>
          <w:ilvl w:val="0"/>
          <w:numId w:val="30"/>
        </w:numPr>
        <w:rPr>
          <w:b w:val="0"/>
          <w:bCs/>
        </w:rPr>
      </w:pPr>
      <w:r w:rsidRPr="00D56CA1">
        <w:rPr>
          <w:b w:val="0"/>
          <w:bCs/>
        </w:rPr>
        <w:t>pašalinti, minimizuoti, užblokuoti arba modifikuoti bet kokius „Microsoft“ ar jos tiekėjų pranešimus programinėje įrangoje;</w:t>
      </w:r>
    </w:p>
    <w:p w14:paraId="2045DC0F" w14:textId="50AC5305" w:rsidR="00DC3A02" w:rsidRPr="003D295A" w:rsidRDefault="00022934" w:rsidP="00D145B6">
      <w:pPr>
        <w:pStyle w:val="Bullet2"/>
        <w:numPr>
          <w:ilvl w:val="0"/>
          <w:numId w:val="30"/>
        </w:numPr>
        <w:rPr>
          <w:b w:val="0"/>
          <w:bCs/>
        </w:rPr>
      </w:pPr>
      <w:r w:rsidRPr="00D56CA1">
        <w:rPr>
          <w:b w:val="0"/>
        </w:rPr>
        <w:t>naudoti programinę įrangą komerciniais, ne pelno arba pajamų generavimo tikslais</w:t>
      </w:r>
      <w:r w:rsidRPr="00D56CA1">
        <w:rPr>
          <w:b w:val="0"/>
        </w:rPr>
        <w:t>;</w:t>
      </w:r>
    </w:p>
    <w:p w14:paraId="04681DE1" w14:textId="100BED1D" w:rsidR="000E462E" w:rsidRPr="00D56CA1" w:rsidRDefault="000E462E" w:rsidP="00D145B6">
      <w:pPr>
        <w:pStyle w:val="Bullet2"/>
        <w:numPr>
          <w:ilvl w:val="0"/>
          <w:numId w:val="30"/>
        </w:numPr>
      </w:pPr>
      <w:r w:rsidRPr="00D56CA1">
        <w:rPr>
          <w:b w:val="0"/>
          <w:bCs/>
        </w:rPr>
        <w:t>naudoti programinę įrangą įstatymus pažeidžiančiu būdu, kurti arba platinti kenkėjišką programą; arba</w:t>
      </w:r>
    </w:p>
    <w:p w14:paraId="294EE23C" w14:textId="67BD3429" w:rsidR="00F15EA7" w:rsidRPr="003D295A" w:rsidRDefault="000E462E" w:rsidP="00A501E5">
      <w:pPr>
        <w:pStyle w:val="Bullet2"/>
        <w:numPr>
          <w:ilvl w:val="0"/>
          <w:numId w:val="30"/>
        </w:numPr>
        <w:rPr>
          <w:b w:val="0"/>
          <w:bCs/>
        </w:rPr>
      </w:pPr>
      <w:r w:rsidRPr="00D56CA1">
        <w:rPr>
          <w:b w:val="0"/>
          <w:bCs/>
        </w:rPr>
        <w:t>bendrinti, publikuoti, platinti arba skolinti programinę įrangą, pateikti programinę įrangą kaip atskirai teikiamą sprendimą, kuriuo galėtų naudotis kiti, arba perleisti programinę įrangą arba šią sutartį kokiai nors trečiajai šaliai.</w:t>
      </w:r>
    </w:p>
    <w:p w14:paraId="5249D2B1" w14:textId="0E5ABEA9" w:rsidR="00F15EA7" w:rsidRPr="00D56CA1" w:rsidRDefault="00E47200" w:rsidP="002A4950">
      <w:pPr>
        <w:pStyle w:val="Heading1"/>
        <w:numPr>
          <w:ilvl w:val="0"/>
          <w:numId w:val="26"/>
        </w:numPr>
      </w:pPr>
      <w:r w:rsidRPr="00D56CA1">
        <w:rPr>
          <w:b/>
        </w:rPr>
        <w:t>EKSPORTO APRIBOJIMAI.</w:t>
      </w:r>
      <w:r w:rsidRPr="00D56CA1">
        <w:t xml:space="preserve"> Turite vykdyti visus vietinius ir tarptautinius eksporto įstatymus ir taisykles, taip pat programinei įrangai taikomas nuostatas, įskaitant apribojimus, susijusius su paskirties vieta, galutiniais vartotojais ir galutiniu naudojimu. Daugiau informacijos apie eksporto apribojimus žr. </w:t>
      </w:r>
      <w:hyperlink r:id="rId18" w:history="1">
        <w:r w:rsidR="004E14A4" w:rsidRPr="004E14A4">
          <w:rPr>
            <w:rStyle w:val="Hyperlink"/>
            <w:rFonts w:cs="Tahoma"/>
          </w:rPr>
          <w:t>http://</w:t>
        </w:r>
        <w:r w:rsidRPr="004E14A4">
          <w:rPr>
            <w:rStyle w:val="Hyperlink"/>
            <w:rFonts w:cs="Tahoma"/>
          </w:rPr>
          <w:t>aka.ms/exporting</w:t>
        </w:r>
      </w:hyperlink>
      <w:r w:rsidRPr="00D56CA1">
        <w:t>.</w:t>
      </w:r>
    </w:p>
    <w:p w14:paraId="7524A14C" w14:textId="70F3BEA1" w:rsidR="00F15EA7" w:rsidRPr="00D56CA1" w:rsidRDefault="00E47200" w:rsidP="002A4950">
      <w:pPr>
        <w:pStyle w:val="Heading1"/>
        <w:numPr>
          <w:ilvl w:val="0"/>
          <w:numId w:val="26"/>
        </w:numPr>
      </w:pPr>
      <w:r w:rsidRPr="00D56CA1">
        <w:rPr>
          <w:b/>
        </w:rPr>
        <w:t>PALAIKYMO PASLAUGOS.</w:t>
      </w:r>
      <w:r w:rsidRPr="00D56CA1">
        <w:t xml:space="preserve"> „Microsoft“ pagal šią sutartį neįsipareigoja teikti kokių nors su programine įranga susijusių palaikymo paslaugų. Bet kokios palaikymo paslaugos teikiamos „tokios, kokios yra“, „su visais trūkumais“ ir nesuteikiant jokių garantijų.</w:t>
      </w:r>
    </w:p>
    <w:p w14:paraId="5DC5566C" w14:textId="61034E4A" w:rsidR="001E4920" w:rsidRPr="00D56CA1" w:rsidRDefault="00022934" w:rsidP="002A4950">
      <w:pPr>
        <w:pStyle w:val="Heading1"/>
        <w:numPr>
          <w:ilvl w:val="0"/>
          <w:numId w:val="26"/>
        </w:numPr>
      </w:pPr>
      <w:r w:rsidRPr="00D56CA1">
        <w:rPr>
          <w:b/>
        </w:rPr>
        <w:t>NAUJINIMAI.</w:t>
      </w:r>
      <w:r w:rsidRPr="00D56CA1">
        <w:t xml:space="preserve"> Programinė įranga reguliariai tikrina, ar yra naujinimų, juos atsisiunčia ir įdiegia, tad jums nereikia nieko daryti. Naujinimus galite įsigyti tik iš „Microsoft“ ar įgaliotųjų šaltinių. „Microsoft“ gali tekti atnaujinti jūsų sistemą, kad galėtų jums teikti naujinimus. Sutinkate gauti tokio tipo automatinius naujinimus be jokio papildomo pranešimo. Naujinimuose gali nebūti visų esamų programinės įrangos funkcijų, paslaugų ar periferinių įrenginių arba jie jų gali nepalaikyti.</w:t>
      </w:r>
    </w:p>
    <w:p w14:paraId="3EE28D29" w14:textId="47113AB7" w:rsidR="000D4574" w:rsidRPr="00D56CA1" w:rsidRDefault="000D4574" w:rsidP="00896399">
      <w:pPr>
        <w:pStyle w:val="Heading1"/>
        <w:numPr>
          <w:ilvl w:val="0"/>
          <w:numId w:val="26"/>
        </w:numPr>
      </w:pPr>
      <w:r w:rsidRPr="00D56CA1">
        <w:rPr>
          <w:rStyle w:val="Strong"/>
        </w:rPr>
        <w:t>NUTRAUKIMAS.</w:t>
      </w:r>
      <w:r w:rsidRPr="00D56CA1">
        <w:t xml:space="preserve"> Neatsižvelgdama į jokias kitas teises, „Microsoft“ gali nutraukti šią sutartį, jei nesilaikysite jos sąlygų. Tokiu atveju turite sunaikinti visas programinės įrangos kopijas ir ir visas jos komponentų dalis.</w:t>
      </w:r>
    </w:p>
    <w:p w14:paraId="194CC803" w14:textId="03F72068" w:rsidR="00F15EA7" w:rsidRPr="00D56CA1" w:rsidRDefault="00E47200" w:rsidP="00896399">
      <w:pPr>
        <w:pStyle w:val="Heading1"/>
        <w:numPr>
          <w:ilvl w:val="0"/>
          <w:numId w:val="26"/>
        </w:numPr>
      </w:pPr>
      <w:r w:rsidRPr="00D56CA1">
        <w:rPr>
          <w:b/>
        </w:rPr>
        <w:t>VIENTISA SUTARTIS.</w:t>
      </w:r>
      <w:r w:rsidRPr="00D56CA1">
        <w:t xml:space="preserve"> Ši sutartis ir bet kokios kitos sąlygos, kurias „Microsoft“ gali taikyti papildomoms programoms, naujinimams ar trečiosios šalies programoms, sudaro vientisą sutartį dėl programinės įrangos.</w:t>
      </w:r>
    </w:p>
    <w:p w14:paraId="31A1E80B" w14:textId="0758CAAA" w:rsidR="00F15EA7" w:rsidRPr="00D56CA1" w:rsidRDefault="00E47200" w:rsidP="00896399">
      <w:pPr>
        <w:pStyle w:val="Heading1"/>
        <w:numPr>
          <w:ilvl w:val="0"/>
          <w:numId w:val="26"/>
        </w:numPr>
      </w:pPr>
      <w:r w:rsidRPr="00D56CA1">
        <w:rPr>
          <w:b/>
        </w:rPr>
        <w:t>TAIKYTINA TEISĖ IR GINČŲ SPRENDIMO VIETA.</w:t>
      </w:r>
      <w:r w:rsidRPr="00D56CA1">
        <w:t xml:space="preserve"> Jei programinę įrangą įsigijote Jungtinėse Amerikos Valstijose arba Kanadoje, šios sutarties aiškinimą, pretenzijas dėl jos pažeidimo ir visas kitas pretenzijas (įskaitant pretenzijas dėl vartotojų apsaugos, nesąžiningos konkurencijos ir civilinės teisės pažeidimo) reglamentuoja valstijos ar provincijos, kurioje gyvenate (arba kurioje yra jūsų pagrindinė verslo veiklos vieta), įstatymai, nepaisant teisės normų prieštaravimų. Jei programinę įrangą įsigijote kitoje šalyje, taikomi tos šalies įstatymai. Jei taikoma JAV federalinė jurisdikcija, jūs ir „Microsoft“ sutinkate su išskirtine jurisdikcija ir vieta – federaliniu teismu, esančiu Kingo apygardoje, Vašingtono valstijoje, JAV, kuriame būtų nagrinėjami visi teisminiai ginčai. Jei minėta jurisdikcija netaikoma, jūs ir „Microsoft“ sutinkate su išskirtine jurisdikcija ir vieta – Aukštesniuoju Teismu, esančiu Kingo apygardoje, Vašingtono valstijoje, kuriame būtų nagrinėjami visi teisminiai ginčai.</w:t>
      </w:r>
    </w:p>
    <w:p w14:paraId="70F3046E" w14:textId="4401C746" w:rsidR="006E477F" w:rsidRPr="00D56CA1" w:rsidRDefault="006E477F" w:rsidP="00896399">
      <w:pPr>
        <w:pStyle w:val="Heading1"/>
        <w:numPr>
          <w:ilvl w:val="0"/>
          <w:numId w:val="26"/>
        </w:numPr>
      </w:pPr>
      <w:r w:rsidRPr="00D56CA1">
        <w:rPr>
          <w:b/>
        </w:rPr>
        <w:t>VARTOTOJO TEISĖS SKIRTINGUOSE REGIONUOSE.</w:t>
      </w:r>
      <w:r w:rsidRPr="00D56CA1">
        <w:t xml:space="preserve"> Šioje sutartyje aprašomos tam tikros teisės. Pagal savo valstijos, provincijos ar šalies įstatymus galite turėti ir kitų teisių, įskaitant vartotojo teises. Atskirai nuo jūsų santykių su „Microsoft“, taip pat galite turėti teisių, susijusių su šalimi, iš kurios įsigijote programinę įrangą. Ši sutartis nepakeičia jokių kitų teisių, nebent tai leidžiama pagal jūsų valstijos, provincijos ar šalies įstatymus. Pavyzdžiui, jei programinę įrangą įsigijote viename iš toliau nurodytų regionų arba jei taikomi privalomi šalies įstatymai, tada jums taikomos toliau nurodytos nuostatos:</w:t>
      </w:r>
    </w:p>
    <w:p w14:paraId="35FDEA05" w14:textId="272EDE13" w:rsidR="006E477F" w:rsidRPr="00D56CA1" w:rsidRDefault="006E477F" w:rsidP="00896399">
      <w:pPr>
        <w:pStyle w:val="Heading2"/>
        <w:numPr>
          <w:ilvl w:val="1"/>
          <w:numId w:val="14"/>
        </w:numPr>
        <w:ind w:left="717"/>
      </w:pPr>
      <w:r w:rsidRPr="00D56CA1">
        <w:rPr>
          <w:b/>
        </w:rPr>
        <w:t>Australija.</w:t>
      </w:r>
      <w:r w:rsidRPr="00D56CA1">
        <w:t xml:space="preserve"> Pagal Australijos vartotojų teisių įstatymą jums suteikiamos įstatymu numatytos garantijos ir jokia šios sutarties nuostata tų teisių nepakeičia.</w:t>
      </w:r>
    </w:p>
    <w:p w14:paraId="6907979B" w14:textId="2C0A0A05" w:rsidR="006E477F" w:rsidRPr="00D56CA1" w:rsidRDefault="006E477F" w:rsidP="00896399">
      <w:pPr>
        <w:pStyle w:val="Heading2"/>
        <w:numPr>
          <w:ilvl w:val="1"/>
          <w:numId w:val="14"/>
        </w:numPr>
        <w:ind w:left="717"/>
      </w:pPr>
      <w:r w:rsidRPr="00D56CA1">
        <w:rPr>
          <w:b/>
        </w:rPr>
        <w:t>Kanada.</w:t>
      </w:r>
      <w:r w:rsidRPr="00D56CA1">
        <w:t xml:space="preserve"> Jei programinę įrangą įsigijote Kanadoje, galite sustabdyti naujinimų gavimą išjungdami automatinio naujinimo funkciją, atjungdami įrenginį nuo interneto (tačiau iš naujo prisijungus prie interneto, programinė įranga vėl tikrins, ar yra naujinių, ir tęs jų diegimą) arba pašalindami programinę įrangą. Produkto dokumentacijoje, jei ji yra, taip pat gali būti nurodyta, kaip išjungti naujinimus konkrečiame įrenginyje arba programinėje įrangoje.</w:t>
      </w:r>
    </w:p>
    <w:p w14:paraId="635014AF" w14:textId="182F1E96" w:rsidR="006E477F" w:rsidRPr="00D56CA1" w:rsidRDefault="006E477F" w:rsidP="00896399">
      <w:pPr>
        <w:pStyle w:val="Heading2"/>
        <w:numPr>
          <w:ilvl w:val="1"/>
          <w:numId w:val="14"/>
        </w:numPr>
        <w:ind w:left="717"/>
      </w:pPr>
      <w:r w:rsidRPr="00D56CA1">
        <w:rPr>
          <w:b/>
        </w:rPr>
        <w:lastRenderedPageBreak/>
        <w:t>Vokietija ir Austrija.</w:t>
      </w:r>
    </w:p>
    <w:p w14:paraId="123675B0" w14:textId="1402551A" w:rsidR="006E477F" w:rsidRPr="002E6D5F" w:rsidRDefault="00776ABA" w:rsidP="004E14A4">
      <w:pPr>
        <w:ind w:left="1080" w:hanging="360"/>
        <w:rPr>
          <w:b w:val="0"/>
          <w:bCs/>
        </w:rPr>
      </w:pPr>
      <w:r>
        <w:t>(</w:t>
      </w:r>
      <w:r w:rsidR="006E477F" w:rsidRPr="00D56CA1">
        <w:t>i)</w:t>
      </w:r>
      <w:r w:rsidR="006E477F" w:rsidRPr="00D56CA1">
        <w:tab/>
        <w:t>Garantija.</w:t>
      </w:r>
      <w:r w:rsidR="006E477F" w:rsidRPr="00D56CA1">
        <w:rPr>
          <w:b w:val="0"/>
        </w:rPr>
        <w:t xml:space="preserve"> Tinkamai licencijuota programinė įranga iš esmės veiks taip, kaip aprašyta prie programinės įrangos pridėtoje „Microsoft“ medžiagoje. Tačiau „Microsoft“ nesuteikia jokių sutartinių garantijų, susijusių su licencijuota programine įranga.</w:t>
      </w:r>
    </w:p>
    <w:p w14:paraId="4E4D9AEE" w14:textId="38879160" w:rsidR="006E477F" w:rsidRPr="002E6D5F" w:rsidRDefault="00776ABA" w:rsidP="004E14A4">
      <w:pPr>
        <w:tabs>
          <w:tab w:val="left" w:pos="1080"/>
        </w:tabs>
        <w:ind w:left="1080" w:hanging="360"/>
        <w:rPr>
          <w:b w:val="0"/>
          <w:bCs/>
        </w:rPr>
      </w:pPr>
      <w:r>
        <w:t>(</w:t>
      </w:r>
      <w:r w:rsidR="006E477F" w:rsidRPr="00D56CA1">
        <w:t>ii)</w:t>
      </w:r>
      <w:r w:rsidR="006E477F" w:rsidRPr="00D56CA1">
        <w:tab/>
        <w:t>Atsakomybės ribojimas.</w:t>
      </w:r>
      <w:r w:rsidR="006E477F" w:rsidRPr="00D56CA1">
        <w:rPr>
          <w:b w:val="0"/>
        </w:rPr>
        <w:t xml:space="preserve"> Tyčinio elgesio, didelio neatsargumo, pretenzijų, pagrįstų Atsakomybės už produktą aktu, ar mirties arba kūno sužalojimo atveju „Microsoft“ atsako pagal įstatymus.</w:t>
      </w:r>
    </w:p>
    <w:p w14:paraId="2B4FB661" w14:textId="670153DD" w:rsidR="00F15EA7" w:rsidRPr="00D56CA1" w:rsidRDefault="006E477F" w:rsidP="00896399">
      <w:pPr>
        <w:pStyle w:val="Heading1"/>
        <w:ind w:left="720"/>
      </w:pPr>
      <w:r w:rsidRPr="00D56CA1">
        <w:t>Atsižvelgiant į anksčiau pateiktą ii išlygą, „Microsoft“ bus laikoma atsakinga tik už mažiausio laipsnio neatsargumą, jei „Microsoft“ nesilaiko esminių sutartinių įsipareigojimų, kurių laikymasis padeda tinkamai vykdyti šią sutartį, kurių nesilaikant kyla grėsmė šios sutarties paskirčiai ir kurių nuolatinio laikymosi šalis gali tikėtis (tokie įsipareigojimai vadinami „pagrindiniais įsipareigojimais“). Kitais mažiausio laipsnio neatsargumo atvejais „Microsoft“ nebus laikoma atsakinga už mažiausio laipsnio neatsargumą.</w:t>
      </w:r>
    </w:p>
    <w:p w14:paraId="2C146C8C" w14:textId="42A97B9F" w:rsidR="00F15EA7" w:rsidRPr="00D56CA1" w:rsidRDefault="00262C9F" w:rsidP="00CB50D2">
      <w:pPr>
        <w:pStyle w:val="Heading1"/>
        <w:numPr>
          <w:ilvl w:val="0"/>
          <w:numId w:val="26"/>
        </w:numPr>
      </w:pPr>
      <w:r w:rsidRPr="00D56CA1">
        <w:rPr>
          <w:b/>
        </w:rPr>
        <w:t>GARANTIJOS APRIBOJIMAS. ŠI PROGRAMINĖ ĮRANGA LICENCIJUOJAMA „TOKIA, KOKIA YRA“. VISĄ SU JOS NAUDOJIMU SUSIJUSIĄ RIZIKĄ PRISIIMATE JŪS. „MICROSOFT“ NESUTEIKIA JOKIŲ AIŠKIŲ GARANTIJŲ AR SĄLYGŲ. KIEK LEIDŽIA TAIKYTINA TEISĖ, „MICROSOFT“ NETEIKIA JOKIŲ NUMANOMŲ GARANTIJŲ, ĮSKAITANT GARANTIJĄ DĖL TINKAMUMO PARDUOTI, TINKAMUMO KONKREČIAM TIKSLUI IR PAŽEIDIMO NEBUVIMO.</w:t>
      </w:r>
    </w:p>
    <w:p w14:paraId="26951160" w14:textId="308FB50B" w:rsidR="00F15EA7" w:rsidRPr="00D56CA1" w:rsidRDefault="00262C9F" w:rsidP="00896399">
      <w:pPr>
        <w:pStyle w:val="Heading1"/>
        <w:numPr>
          <w:ilvl w:val="0"/>
          <w:numId w:val="26"/>
        </w:numPr>
      </w:pPr>
      <w:r w:rsidRPr="00D56CA1">
        <w:rPr>
          <w:b/>
        </w:rPr>
        <w:t>NUOSTOLIŲ ATLYGINIMO APRIBOJIMAS IR NEĮTRAUKIMAS. JEI NEPAISANT PIRMIAU PATEIKTO GARANTIJOS APRIBOJIMO GALITE PAGRĮSTAI REIKALAUTI ATLYGINTI ŽALĄ, IŠ „MICROSOFT“ IR JOS TIEKĖJŲ GALITE GAUTI TIK KOMPENSACIJĄ UŽ TIESIOGINIUS NUOSTOLIUS, TAČIAU KOMPENSACIJOS SUMA NEVIRŠYS 5,00 USD. JUMS NEBUS ATLYGINTA UŽ JOKIĄ KITOKIĄ ŽALĄ, ĮSKAITANT PRIEŽASTINIUS NUOSTOLIUS, PRARASTĄ PELNĄ, YPATINGUS, NETIESIOGINIUS AR ATSITIKTINIUS NUOSTOLIUS.</w:t>
      </w:r>
    </w:p>
    <w:p w14:paraId="3FC85389" w14:textId="53D76EB2" w:rsidR="00F15EA7" w:rsidRPr="00D56CA1" w:rsidRDefault="00262C9F" w:rsidP="00896399">
      <w:pPr>
        <w:pStyle w:val="Body1"/>
      </w:pPr>
      <w:r w:rsidRPr="00D56CA1">
        <w:t xml:space="preserve">Šis apribojimas taikomas </w:t>
      </w:r>
      <w:r w:rsidR="00776ABA">
        <w:t>(</w:t>
      </w:r>
      <w:r w:rsidRPr="00D56CA1">
        <w:t xml:space="preserve">a) viskam, kas susiję su programine įranga, paslaugomis, trečiosios šalies interneto svetainėse esančiu turiniu (įskaitant kodą) arba trečiosios šalies programomis; ir </w:t>
      </w:r>
      <w:r w:rsidR="00776ABA">
        <w:t>(</w:t>
      </w:r>
      <w:r w:rsidRPr="00D56CA1">
        <w:t>b) pretenzijoms dėl sutarties pažeidimo, garantijų arba sąlygų pažeidimo, atsakomybės be kaltės, neatsargumo ir kitais atvejais, kiek leidžia taikytina teisė.</w:t>
      </w:r>
    </w:p>
    <w:p w14:paraId="54016D2E" w14:textId="77777777" w:rsidR="00262C9F" w:rsidRPr="00D56CA1" w:rsidRDefault="00896399" w:rsidP="00896399">
      <w:pPr>
        <w:pStyle w:val="Body1"/>
      </w:pPr>
      <w:r w:rsidRPr="00D56CA1">
        <w:t>Jis taip pat taikomas, net jei „Microsoft“ žinojo arba turėjo žinoti apie nuostolių galimybę. Pirmiau išvardyti apribojimai ar išimtys gali būti netaikomos, jei jūsų valstija, provincija ar šalis neleidžia atsisakyti arba apriboti atsitiktinių, priežastinių arba kitokių nuostolių.</w:t>
      </w:r>
    </w:p>
    <w:sectPr w:rsidR="00896399" w:rsidRPr="00D56CA1"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E63FE" w14:textId="77777777" w:rsidR="00053362" w:rsidRDefault="00053362" w:rsidP="002B5C2F">
      <w:r>
        <w:separator/>
      </w:r>
    </w:p>
  </w:endnote>
  <w:endnote w:type="continuationSeparator" w:id="0">
    <w:p w14:paraId="4B0A0FBF" w14:textId="77777777" w:rsidR="00053362" w:rsidRDefault="00053362" w:rsidP="002B5C2F">
      <w:r>
        <w:continuationSeparator/>
      </w:r>
    </w:p>
  </w:endnote>
  <w:endnote w:type="continuationNotice" w:id="1">
    <w:p w14:paraId="27E4B7F6" w14:textId="77777777" w:rsidR="00053362" w:rsidRDefault="0005336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6F89F998" w:rsidR="00392CCC" w:rsidRPr="00291FF3" w:rsidRDefault="00392CCC" w:rsidP="00291F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21762" w14:textId="77777777" w:rsidR="00392CCC" w:rsidRDefault="00392C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291396B9" w:rsidR="00392CCC" w:rsidRPr="00291FF3" w:rsidRDefault="00392CCC" w:rsidP="00291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D54D8" w14:textId="77777777" w:rsidR="00053362" w:rsidRDefault="00053362" w:rsidP="002B5C2F">
      <w:r>
        <w:separator/>
      </w:r>
    </w:p>
  </w:footnote>
  <w:footnote w:type="continuationSeparator" w:id="0">
    <w:p w14:paraId="3D45AF0E" w14:textId="77777777" w:rsidR="00053362" w:rsidRDefault="00053362" w:rsidP="002B5C2F">
      <w:r>
        <w:continuationSeparator/>
      </w:r>
    </w:p>
  </w:footnote>
  <w:footnote w:type="continuationNotice" w:id="1">
    <w:p w14:paraId="430F8DD3" w14:textId="77777777" w:rsidR="00053362" w:rsidRDefault="0005336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A709" w14:textId="77777777" w:rsidR="00392CCC" w:rsidRDefault="00392C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A3AEA" w14:textId="77777777" w:rsidR="00392CCC" w:rsidRDefault="00392C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3A548" w14:textId="77777777" w:rsidR="00392CCC" w:rsidRDefault="00392C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577B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26BA247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601498"/>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3E3140"/>
    <w:multiLevelType w:val="multilevel"/>
    <w:tmpl w:val="26BA247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4"/>
  </w:num>
  <w:num w:numId="20">
    <w:abstractNumId w:val="19"/>
  </w:num>
  <w:num w:numId="21">
    <w:abstractNumId w:val="12"/>
  </w:num>
  <w:num w:numId="22">
    <w:abstractNumId w:val="2"/>
  </w:num>
  <w:num w:numId="23">
    <w:abstractNumId w:val="23"/>
  </w:num>
  <w:num w:numId="24">
    <w:abstractNumId w:val="9"/>
  </w:num>
  <w:num w:numId="25">
    <w:abstractNumId w:val="30"/>
  </w:num>
  <w:num w:numId="26">
    <w:abstractNumId w:val="11"/>
  </w:num>
  <w:num w:numId="27">
    <w:abstractNumId w:val="17"/>
  </w:num>
  <w:num w:numId="28">
    <w:abstractNumId w:val="18"/>
  </w:num>
  <w:num w:numId="29">
    <w:abstractNumId w:val="14"/>
  </w:num>
  <w:num w:numId="30">
    <w:abstractNumId w:val="34"/>
  </w:num>
  <w:num w:numId="31">
    <w:abstractNumId w:val="20"/>
  </w:num>
  <w:num w:numId="32">
    <w:abstractNumId w:val="0"/>
  </w:num>
  <w:num w:numId="33">
    <w:abstractNumId w:val="0"/>
  </w:num>
  <w:num w:numId="34">
    <w:abstractNumId w:val="16"/>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396"/>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lt-LT" w:eastAsia="lt-LT" w:bidi="lt-LT"/>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9cf63c68ee4246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4a7a02ad24444504"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CA5735F5-DF67-4866-97D8-F8D16FEF3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268F7D-77E1-4558-A01C-1D5A834571B9}">
  <ds:schemaRefs>
    <ds:schemaRef ds:uri="http://schemas.microsoft.com/sharepoint/v3/contenttype/forms"/>
  </ds:schemaRefs>
</ds:datastoreItem>
</file>

<file path=customXml/itemProps3.xml><?xml version="1.0" encoding="utf-8"?>
<ds:datastoreItem xmlns:ds="http://schemas.openxmlformats.org/officeDocument/2006/customXml" ds:itemID="{24A06F2B-81C4-436F-9157-4B4BC65660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591549-D733-4351-9B78-EC886170F045}">
  <ds:schemaRefs>
    <ds:schemaRef ds:uri="http://schemas.business-integrity.com/dealbuilder/2006/dictionary"/>
  </ds:schemaRefs>
</ds:datastoreItem>
</file>

<file path=customXml/itemProps5.xml><?xml version="1.0" encoding="utf-8"?>
<ds:datastoreItem xmlns:ds="http://schemas.openxmlformats.org/officeDocument/2006/customXml" ds:itemID="{39E91EAB-F29B-4D27-9842-1B79D2E511D2}">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Lithuanian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3484</vt:lpwstr>
  </property>
  <property name="db_contract_version" fmtid="{D5CDD505-2E9C-101B-9397-08002B2CF9AE}" pid="4">
    <vt:lpwstr>AAAAAAAAXd4=</vt:lpwstr>
  </property>
</Properties>
</file>