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9D794" w14:textId="77777777" w:rsidR="00C9290D" w:rsidRPr="00647E1F" w:rsidRDefault="00B477C7" w:rsidP="00C9290D">
      <w:pPr>
        <w:pStyle w:val="MDPI11articletype"/>
        <w:rPr>
          <w:color w:val="auto"/>
        </w:rPr>
      </w:pPr>
      <w:r w:rsidRPr="00647E1F">
        <w:rPr>
          <w:color w:val="auto"/>
        </w:rPr>
        <w:t>Article</w:t>
      </w:r>
    </w:p>
    <w:p w14:paraId="4A1AEBC9" w14:textId="10FBEDF0" w:rsidR="00A6757A" w:rsidRDefault="00A6757A" w:rsidP="00C9290D">
      <w:pPr>
        <w:pStyle w:val="MDPI13authornames"/>
        <w:rPr>
          <w:snapToGrid w:val="0"/>
          <w:color w:val="auto"/>
          <w:sz w:val="36"/>
          <w:szCs w:val="20"/>
        </w:rPr>
      </w:pPr>
      <w:r w:rsidRPr="00A6757A">
        <w:rPr>
          <w:snapToGrid w:val="0"/>
          <w:color w:val="auto"/>
          <w:sz w:val="36"/>
          <w:szCs w:val="20"/>
        </w:rPr>
        <w:t xml:space="preserve">Strategic bidding </w:t>
      </w:r>
      <w:r w:rsidR="00DC08B7">
        <w:rPr>
          <w:snapToGrid w:val="0"/>
          <w:color w:val="auto"/>
          <w:sz w:val="36"/>
          <w:szCs w:val="20"/>
        </w:rPr>
        <w:t xml:space="preserve">to increase the market uptake </w:t>
      </w:r>
      <w:r w:rsidRPr="00A6757A">
        <w:rPr>
          <w:snapToGrid w:val="0"/>
          <w:color w:val="auto"/>
          <w:sz w:val="36"/>
          <w:szCs w:val="20"/>
        </w:rPr>
        <w:t xml:space="preserve">of </w:t>
      </w:r>
      <w:r w:rsidR="00DC08B7">
        <w:rPr>
          <w:snapToGrid w:val="0"/>
          <w:color w:val="auto"/>
          <w:sz w:val="36"/>
          <w:szCs w:val="20"/>
        </w:rPr>
        <w:t>v</w:t>
      </w:r>
      <w:r w:rsidRPr="00A6757A">
        <w:rPr>
          <w:snapToGrid w:val="0"/>
          <w:color w:val="auto"/>
          <w:sz w:val="36"/>
          <w:szCs w:val="20"/>
        </w:rPr>
        <w:t xml:space="preserve">ariable </w:t>
      </w:r>
      <w:r w:rsidR="00DC08B7">
        <w:rPr>
          <w:snapToGrid w:val="0"/>
          <w:color w:val="auto"/>
          <w:sz w:val="36"/>
          <w:szCs w:val="20"/>
        </w:rPr>
        <w:t>r</w:t>
      </w:r>
      <w:r w:rsidRPr="00A6757A">
        <w:rPr>
          <w:snapToGrid w:val="0"/>
          <w:color w:val="auto"/>
          <w:sz w:val="36"/>
          <w:szCs w:val="20"/>
        </w:rPr>
        <w:t>enewable generators in Electricity Markets</w:t>
      </w:r>
    </w:p>
    <w:p w14:paraId="710BBFFD" w14:textId="29866DC4" w:rsidR="00F20232" w:rsidRPr="00A6757A" w:rsidRDefault="00A6757A" w:rsidP="00C9290D">
      <w:pPr>
        <w:pStyle w:val="MDPI13authornames"/>
        <w:rPr>
          <w:color w:val="auto"/>
          <w:lang w:val="pt-PT"/>
        </w:rPr>
      </w:pPr>
      <w:r>
        <w:rPr>
          <w:color w:val="auto"/>
          <w:lang w:val="pt-PT"/>
        </w:rPr>
        <w:t>Vivian Sousa</w:t>
      </w:r>
      <w:r w:rsidRPr="00A6757A">
        <w:rPr>
          <w:color w:val="auto"/>
          <w:vertAlign w:val="superscript"/>
          <w:lang w:val="pt-PT"/>
        </w:rPr>
        <w:t>1</w:t>
      </w:r>
      <w:r>
        <w:rPr>
          <w:color w:val="auto"/>
          <w:lang w:val="pt-PT"/>
        </w:rPr>
        <w:t xml:space="preserve"> and </w:t>
      </w:r>
      <w:r w:rsidR="009D0533" w:rsidRPr="00A6757A">
        <w:rPr>
          <w:color w:val="auto"/>
          <w:lang w:val="pt-PT"/>
        </w:rPr>
        <w:t>Hugo Algarvio</w:t>
      </w:r>
      <w:r>
        <w:rPr>
          <w:color w:val="auto"/>
          <w:vertAlign w:val="superscript"/>
          <w:lang w:val="pt-PT"/>
        </w:rPr>
        <w:t>2*</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647E1F" w:rsidRPr="00647E1F" w14:paraId="485D1CB7" w14:textId="77777777" w:rsidTr="00513C54">
        <w:tc>
          <w:tcPr>
            <w:tcW w:w="2410" w:type="dxa"/>
            <w:shd w:val="clear" w:color="auto" w:fill="auto"/>
          </w:tcPr>
          <w:p w14:paraId="6AD143D2" w14:textId="77777777" w:rsidR="00F20232" w:rsidRPr="00647E1F" w:rsidRDefault="00F20232" w:rsidP="00513C54">
            <w:pPr>
              <w:pStyle w:val="MDPI61Citation"/>
              <w:spacing w:after="120" w:line="240" w:lineRule="exact"/>
            </w:pPr>
            <w:r w:rsidRPr="00647E1F">
              <w:rPr>
                <w:b/>
              </w:rPr>
              <w:t xml:space="preserve">Citation: </w:t>
            </w:r>
            <w:r w:rsidRPr="00647E1F">
              <w:t>To be added by editorial staff during production.</w:t>
            </w:r>
          </w:p>
          <w:p w14:paraId="7923B351" w14:textId="77777777" w:rsidR="00F20232" w:rsidRPr="00647E1F" w:rsidRDefault="00F20232" w:rsidP="00513C54">
            <w:pPr>
              <w:pStyle w:val="MDPI14history"/>
              <w:spacing w:before="120" w:after="120"/>
              <w:rPr>
                <w:rFonts w:ascii="SimSun" w:eastAsia="SimSun" w:hAnsi="SimSun" w:cs="SimSun"/>
                <w:color w:val="auto"/>
                <w:lang w:eastAsia="zh-CN"/>
              </w:rPr>
            </w:pPr>
            <w:r w:rsidRPr="00647E1F">
              <w:rPr>
                <w:color w:val="auto"/>
              </w:rPr>
              <w:t>Academic Editor: Firstname Lastname</w:t>
            </w:r>
          </w:p>
          <w:p w14:paraId="69A31725" w14:textId="77777777" w:rsidR="00F20232" w:rsidRPr="00647E1F" w:rsidRDefault="00F20232" w:rsidP="00513C54">
            <w:pPr>
              <w:pStyle w:val="MDPI14history"/>
              <w:spacing w:before="120"/>
              <w:rPr>
                <w:rFonts w:ascii="SimSun" w:eastAsia="SimSun" w:hAnsi="SimSun" w:cs="SimSun"/>
                <w:color w:val="auto"/>
              </w:rPr>
            </w:pPr>
            <w:r w:rsidRPr="00647E1F">
              <w:rPr>
                <w:color w:val="auto"/>
                <w:szCs w:val="14"/>
              </w:rPr>
              <w:t>Received: date</w:t>
            </w:r>
          </w:p>
          <w:p w14:paraId="30BBD5DC" w14:textId="77777777" w:rsidR="00F20232" w:rsidRPr="00647E1F" w:rsidRDefault="00F20232" w:rsidP="00513C54">
            <w:pPr>
              <w:pStyle w:val="MDPI14history"/>
              <w:rPr>
                <w:color w:val="auto"/>
                <w:szCs w:val="14"/>
              </w:rPr>
            </w:pPr>
            <w:r w:rsidRPr="00647E1F">
              <w:rPr>
                <w:color w:val="auto"/>
                <w:szCs w:val="14"/>
              </w:rPr>
              <w:t>Revised: date</w:t>
            </w:r>
          </w:p>
          <w:p w14:paraId="31083695" w14:textId="77777777" w:rsidR="00F20232" w:rsidRPr="00647E1F" w:rsidRDefault="00F20232" w:rsidP="00513C54">
            <w:pPr>
              <w:pStyle w:val="MDPI14history"/>
              <w:rPr>
                <w:color w:val="auto"/>
                <w:szCs w:val="14"/>
              </w:rPr>
            </w:pPr>
            <w:r w:rsidRPr="00647E1F">
              <w:rPr>
                <w:color w:val="auto"/>
                <w:szCs w:val="14"/>
              </w:rPr>
              <w:t>Accepted: date</w:t>
            </w:r>
          </w:p>
          <w:p w14:paraId="2322CDEB" w14:textId="77777777" w:rsidR="00F20232" w:rsidRPr="00647E1F" w:rsidRDefault="00F20232" w:rsidP="00513C54">
            <w:pPr>
              <w:pStyle w:val="MDPI14history"/>
              <w:spacing w:after="120"/>
              <w:rPr>
                <w:color w:val="auto"/>
                <w:szCs w:val="14"/>
              </w:rPr>
            </w:pPr>
            <w:r w:rsidRPr="00647E1F">
              <w:rPr>
                <w:color w:val="auto"/>
                <w:szCs w:val="14"/>
              </w:rPr>
              <w:t>Published: date</w:t>
            </w:r>
          </w:p>
          <w:p w14:paraId="09427768" w14:textId="77777777" w:rsidR="00F20232" w:rsidRPr="00647E1F" w:rsidRDefault="00F20232" w:rsidP="00513C54">
            <w:pPr>
              <w:adjustRightInd w:val="0"/>
              <w:snapToGrid w:val="0"/>
              <w:spacing w:before="120" w:line="240" w:lineRule="atLeast"/>
              <w:ind w:right="113"/>
              <w:jc w:val="left"/>
              <w:rPr>
                <w:rFonts w:eastAsia="DengXian"/>
                <w:bCs/>
                <w:color w:val="auto"/>
                <w:sz w:val="14"/>
                <w:szCs w:val="14"/>
                <w:lang w:bidi="en-US"/>
              </w:rPr>
            </w:pPr>
            <w:r w:rsidRPr="00647E1F">
              <w:rPr>
                <w:rFonts w:eastAsia="DengXian"/>
                <w:color w:val="auto"/>
                <w:lang w:eastAsia="en-US"/>
              </w:rPr>
              <w:drawing>
                <wp:inline distT="0" distB="0" distL="0" distR="0" wp14:anchorId="65DCA90A" wp14:editId="5D4DDAA5">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5EB8BC0" w14:textId="77777777" w:rsidR="00F20232" w:rsidRPr="00647E1F" w:rsidRDefault="00F20232" w:rsidP="001A4E3F">
            <w:pPr>
              <w:pStyle w:val="MDPI72Copyright"/>
              <w:rPr>
                <w:rFonts w:eastAsia="DengXian"/>
                <w:color w:val="auto"/>
                <w:lang w:bidi="en-US"/>
              </w:rPr>
            </w:pPr>
            <w:r w:rsidRPr="00647E1F">
              <w:rPr>
                <w:rFonts w:eastAsia="DengXian"/>
                <w:b/>
                <w:color w:val="auto"/>
                <w:lang w:bidi="en-US"/>
              </w:rPr>
              <w:t>Copyright:</w:t>
            </w:r>
            <w:r w:rsidRPr="00647E1F">
              <w:rPr>
                <w:rFonts w:eastAsia="DengXian"/>
                <w:color w:val="auto"/>
                <w:lang w:bidi="en-US"/>
              </w:rPr>
              <w:t xml:space="preserve"> </w:t>
            </w:r>
            <w:r w:rsidR="00C614A6" w:rsidRPr="00647E1F">
              <w:rPr>
                <w:rFonts w:eastAsia="DengXian"/>
                <w:color w:val="auto"/>
                <w:lang w:bidi="en-US"/>
              </w:rPr>
              <w:t>© 2024 by the</w:t>
            </w:r>
            <w:r w:rsidRPr="00647E1F">
              <w:rPr>
                <w:rFonts w:eastAsia="DengXian"/>
                <w:color w:val="auto"/>
                <w:lang w:bidi="en-US"/>
              </w:rPr>
              <w:t xml:space="preserve"> authors. Submitted for possible open access publication under the terms and conditions of the Creative Commons Attribution (CC BY) license (https://creativecommons.org/licenses/by/4.0/).</w:t>
            </w:r>
          </w:p>
        </w:tc>
      </w:tr>
    </w:tbl>
    <w:p w14:paraId="35AF7DA0" w14:textId="71A84807" w:rsidR="00A6757A" w:rsidRPr="00A6757A" w:rsidRDefault="00A6757A" w:rsidP="00A65AC6">
      <w:pPr>
        <w:adjustRightInd w:val="0"/>
        <w:snapToGrid w:val="0"/>
        <w:spacing w:line="200" w:lineRule="atLeast"/>
        <w:ind w:left="2806" w:hanging="198"/>
        <w:jc w:val="left"/>
        <w:rPr>
          <w:noProof w:val="0"/>
          <w:color w:val="auto"/>
          <w:sz w:val="16"/>
          <w:szCs w:val="18"/>
          <w:lang w:val="en-GB" w:eastAsia="de-DE"/>
        </w:rPr>
      </w:pPr>
      <w:r>
        <w:rPr>
          <w:noProof w:val="0"/>
          <w:color w:val="auto"/>
          <w:sz w:val="16"/>
          <w:szCs w:val="18"/>
          <w:vertAlign w:val="superscript"/>
          <w:lang w:val="en-GB" w:eastAsia="de-DE"/>
        </w:rPr>
        <w:t>1</w:t>
      </w:r>
      <w:r w:rsidR="00A100EF">
        <w:rPr>
          <w:noProof w:val="0"/>
          <w:color w:val="auto"/>
          <w:sz w:val="16"/>
          <w:szCs w:val="18"/>
          <w:lang w:val="en-GB" w:eastAsia="de-DE"/>
        </w:rPr>
        <w:t>Science Faculty of the U</w:t>
      </w:r>
      <w:r w:rsidRPr="00A6757A">
        <w:rPr>
          <w:noProof w:val="0"/>
          <w:color w:val="auto"/>
          <w:sz w:val="16"/>
          <w:szCs w:val="18"/>
          <w:lang w:val="en-GB" w:eastAsia="de-DE"/>
        </w:rPr>
        <w:t>niversity of Lisbon</w:t>
      </w:r>
      <w:r w:rsidR="00A100EF">
        <w:rPr>
          <w:noProof w:val="0"/>
          <w:color w:val="auto"/>
          <w:sz w:val="16"/>
          <w:szCs w:val="18"/>
          <w:lang w:val="en-GB" w:eastAsia="de-DE"/>
        </w:rPr>
        <w:t xml:space="preserve"> (FCUL), 1749-016, Lisbon</w:t>
      </w:r>
      <w:r w:rsidRPr="00A6757A">
        <w:rPr>
          <w:noProof w:val="0"/>
          <w:color w:val="auto"/>
          <w:sz w:val="16"/>
          <w:szCs w:val="18"/>
          <w:lang w:val="en-GB" w:eastAsia="de-DE"/>
        </w:rPr>
        <w:t>, Portugal</w:t>
      </w:r>
    </w:p>
    <w:p w14:paraId="41B61DBB" w14:textId="60D69779" w:rsidR="00A65AC6" w:rsidRPr="00647E1F" w:rsidRDefault="00A6757A" w:rsidP="00A6757A">
      <w:pPr>
        <w:adjustRightInd w:val="0"/>
        <w:snapToGrid w:val="0"/>
        <w:spacing w:line="200" w:lineRule="atLeast"/>
        <w:ind w:left="2806" w:hanging="198"/>
        <w:jc w:val="left"/>
        <w:rPr>
          <w:noProof w:val="0"/>
          <w:color w:val="auto"/>
          <w:sz w:val="16"/>
          <w:szCs w:val="18"/>
          <w:lang w:val="en-GB" w:eastAsia="de-DE"/>
        </w:rPr>
      </w:pPr>
      <w:r w:rsidRPr="00A6757A">
        <w:rPr>
          <w:noProof w:val="0"/>
          <w:color w:val="auto"/>
          <w:sz w:val="16"/>
          <w:szCs w:val="18"/>
          <w:vertAlign w:val="superscript"/>
          <w:lang w:val="en-GB" w:eastAsia="de-DE"/>
        </w:rPr>
        <w:t>2</w:t>
      </w:r>
      <w:r w:rsidR="00A65AC6" w:rsidRPr="00647E1F">
        <w:rPr>
          <w:noProof w:val="0"/>
          <w:color w:val="auto"/>
          <w:sz w:val="16"/>
          <w:szCs w:val="18"/>
          <w:lang w:val="en-GB" w:eastAsia="de-DE"/>
        </w:rPr>
        <w:t>LNEG–National Laboratory of Energy and Geology, 1649-038 Lisbon, Portugal</w:t>
      </w:r>
    </w:p>
    <w:p w14:paraId="029F5B5D" w14:textId="488F30E9" w:rsidR="00A65AC6" w:rsidRPr="00647E1F" w:rsidRDefault="00A65AC6" w:rsidP="00A65AC6">
      <w:pPr>
        <w:adjustRightInd w:val="0"/>
        <w:snapToGrid w:val="0"/>
        <w:spacing w:line="200" w:lineRule="atLeast"/>
        <w:ind w:left="2806" w:hanging="198"/>
        <w:jc w:val="left"/>
        <w:rPr>
          <w:noProof w:val="0"/>
          <w:color w:val="auto"/>
          <w:sz w:val="16"/>
          <w:szCs w:val="18"/>
          <w:lang w:eastAsia="de-DE"/>
        </w:rPr>
      </w:pPr>
      <w:r w:rsidRPr="00647E1F">
        <w:rPr>
          <w:noProof w:val="0"/>
          <w:color w:val="auto"/>
          <w:sz w:val="16"/>
          <w:szCs w:val="18"/>
          <w:lang w:eastAsia="de-DE"/>
        </w:rPr>
        <w:t>*</w:t>
      </w:r>
      <w:r w:rsidRPr="00647E1F">
        <w:rPr>
          <w:noProof w:val="0"/>
          <w:color w:val="auto"/>
          <w:sz w:val="16"/>
          <w:szCs w:val="18"/>
          <w:lang w:eastAsia="de-DE"/>
        </w:rPr>
        <w:tab/>
        <w:t>Correspondence: hugo.algarvio@</w:t>
      </w:r>
      <w:r w:rsidR="00A6757A">
        <w:rPr>
          <w:noProof w:val="0"/>
          <w:color w:val="auto"/>
          <w:sz w:val="16"/>
          <w:szCs w:val="18"/>
          <w:lang w:eastAsia="de-DE"/>
        </w:rPr>
        <w:t>tecnico.ulisboa.pt</w:t>
      </w:r>
      <w:r w:rsidRPr="00647E1F">
        <w:rPr>
          <w:noProof w:val="0"/>
          <w:color w:val="auto"/>
          <w:sz w:val="16"/>
          <w:szCs w:val="18"/>
          <w:lang w:eastAsia="de-DE"/>
        </w:rPr>
        <w:t xml:space="preserve"> (H.A.</w:t>
      </w:r>
      <w:r w:rsidR="00AC5C1B">
        <w:rPr>
          <w:noProof w:val="0"/>
          <w:color w:val="auto"/>
          <w:sz w:val="16"/>
          <w:szCs w:val="18"/>
          <w:lang w:eastAsia="de-DE"/>
        </w:rPr>
        <w:t>)</w:t>
      </w:r>
      <w:r w:rsidRPr="00647E1F">
        <w:rPr>
          <w:noProof w:val="0"/>
          <w:color w:val="auto"/>
          <w:sz w:val="16"/>
          <w:szCs w:val="18"/>
          <w:lang w:eastAsia="de-DE"/>
        </w:rPr>
        <w:t xml:space="preserve"> </w:t>
      </w:r>
    </w:p>
    <w:p w14:paraId="4C5400C0" w14:textId="142FD78E" w:rsidR="00C9290D" w:rsidRPr="00A6757A" w:rsidRDefault="03967EA8">
      <w:pPr>
        <w:pStyle w:val="MDPI17abstract"/>
        <w:rPr>
          <w:color w:val="auto"/>
          <w:lang w:val="en-GB"/>
        </w:rPr>
      </w:pPr>
      <w:r w:rsidRPr="00647E1F">
        <w:rPr>
          <w:b/>
          <w:bCs/>
          <w:color w:val="auto"/>
        </w:rPr>
        <w:t xml:space="preserve">Abstract: </w:t>
      </w:r>
      <w:r w:rsidR="04BF4726" w:rsidRPr="00647E1F">
        <w:rPr>
          <w:color w:val="auto"/>
        </w:rPr>
        <w:t>The 2050 global ambition for a carbon-neutral society is increasing the penetration of the most competitive variable renewable technologies, onshore wind and solar PV. These technologies are known for their near-zero marginal costs but highly variable time-dependent generation. Power systems with major penetrations of variable generation need high balancing flexibility to guarantee their stability by maintaining the equilibrium between demand and supply.</w:t>
      </w:r>
      <w:r w:rsidR="006076CA">
        <w:rPr>
          <w:color w:val="auto"/>
        </w:rPr>
        <w:t xml:space="preserve"> Electricity markets were designed for dispatchable technologies. Support schemes are used to incentive and de-risk the investment in variable renewable, since actual market designs are riskier for their active participation. This study presents </w:t>
      </w:r>
      <w:r w:rsidR="00B320ED">
        <w:rPr>
          <w:color w:val="auto"/>
        </w:rPr>
        <w:t>three</w:t>
      </w:r>
      <w:r w:rsidR="006076CA">
        <w:rPr>
          <w:color w:val="auto"/>
        </w:rPr>
        <w:t xml:space="preserve"> strategic bidding strategies for the active participation of variable renewable in electricity markets.</w:t>
      </w:r>
      <w:r w:rsidR="04BF4726" w:rsidRPr="00647E1F">
        <w:rPr>
          <w:color w:val="auto"/>
        </w:rPr>
        <w:t xml:space="preserve"> </w:t>
      </w:r>
      <w:r w:rsidR="00A6757A" w:rsidRPr="00A6757A">
        <w:rPr>
          <w:color w:val="auto"/>
        </w:rPr>
        <w:t xml:space="preserve">The </w:t>
      </w:r>
      <w:r w:rsidR="006076CA">
        <w:rPr>
          <w:color w:val="auto"/>
        </w:rPr>
        <w:t xml:space="preserve">case </w:t>
      </w:r>
      <w:r w:rsidR="00A6757A" w:rsidRPr="00A6757A">
        <w:rPr>
          <w:color w:val="auto"/>
        </w:rPr>
        <w:t xml:space="preserve">study examines the levels of active market participation for a wind power producer (WPP) in the Iberian </w:t>
      </w:r>
      <w:r w:rsidR="006076CA">
        <w:rPr>
          <w:color w:val="auto"/>
        </w:rPr>
        <w:t>e</w:t>
      </w:r>
      <w:r w:rsidR="00A6757A" w:rsidRPr="00A6757A">
        <w:rPr>
          <w:color w:val="auto"/>
        </w:rPr>
        <w:t xml:space="preserve">lectricity </w:t>
      </w:r>
      <w:r w:rsidR="006076CA">
        <w:rPr>
          <w:color w:val="auto"/>
        </w:rPr>
        <w:t>m</w:t>
      </w:r>
      <w:r w:rsidR="00A6757A" w:rsidRPr="00A6757A">
        <w:rPr>
          <w:color w:val="auto"/>
        </w:rPr>
        <w:t xml:space="preserve">arket and the Portuguese </w:t>
      </w:r>
      <w:r w:rsidR="006076CA">
        <w:rPr>
          <w:color w:val="auto"/>
        </w:rPr>
        <w:t>b</w:t>
      </w:r>
      <w:r w:rsidR="00A6757A" w:rsidRPr="00A6757A">
        <w:rPr>
          <w:color w:val="auto"/>
        </w:rPr>
        <w:t xml:space="preserve">alancing </w:t>
      </w:r>
      <w:r w:rsidR="006076CA">
        <w:rPr>
          <w:color w:val="auto"/>
        </w:rPr>
        <w:t>m</w:t>
      </w:r>
      <w:r w:rsidR="00A6757A" w:rsidRPr="00A6757A">
        <w:rPr>
          <w:color w:val="auto"/>
        </w:rPr>
        <w:t>arkets, where WPPs are financially responsible for imbalances and o</w:t>
      </w:r>
      <w:r w:rsidR="00421CDB">
        <w:rPr>
          <w:color w:val="auto"/>
        </w:rPr>
        <w:t>perate without support schemes in past and actual market design</w:t>
      </w:r>
      <w:r w:rsidR="006076CA">
        <w:rPr>
          <w:color w:val="auto"/>
        </w:rPr>
        <w:t>s. Results from the study indicates that the WPP has the potential to increase its market value between 3</w:t>
      </w:r>
      <w:r w:rsidR="00692C2C">
        <w:rPr>
          <w:color w:val="auto"/>
        </w:rPr>
        <w:t>6</w:t>
      </w:r>
      <w:r w:rsidR="006076CA">
        <w:rPr>
          <w:color w:val="auto"/>
        </w:rPr>
        <w:t xml:space="preserve">% and </w:t>
      </w:r>
      <w:r w:rsidR="00B320ED">
        <w:rPr>
          <w:color w:val="auto"/>
        </w:rPr>
        <w:t>1</w:t>
      </w:r>
      <w:r w:rsidR="006076CA">
        <w:rPr>
          <w:color w:val="auto"/>
        </w:rPr>
        <w:t>1</w:t>
      </w:r>
      <w:r w:rsidR="00692C2C">
        <w:rPr>
          <w:color w:val="auto"/>
        </w:rPr>
        <w:t>4</w:t>
      </w:r>
      <w:r w:rsidR="006076CA">
        <w:rPr>
          <w:color w:val="auto"/>
        </w:rPr>
        <w:t>% if participating in the tertiary and secondary balancing markets completely adapted to its design, respective</w:t>
      </w:r>
      <w:r w:rsidR="006076CA" w:rsidRPr="0011750B">
        <w:rPr>
          <w:color w:val="auto"/>
        </w:rPr>
        <w:t xml:space="preserve">ly. However, considering the use of strategic bidding in actual market designs, </w:t>
      </w:r>
      <w:r w:rsidR="00B320ED" w:rsidRPr="0011750B">
        <w:rPr>
          <w:color w:val="auto"/>
        </w:rPr>
        <w:t xml:space="preserve">by participating in the secondary reserve, </w:t>
      </w:r>
      <w:r w:rsidR="006076CA" w:rsidRPr="0011750B">
        <w:rPr>
          <w:color w:val="auto"/>
        </w:rPr>
        <w:t xml:space="preserve">the WPP can increase its market value by </w:t>
      </w:r>
      <w:r w:rsidR="0011750B" w:rsidRPr="0011750B">
        <w:rPr>
          <w:color w:val="auto"/>
        </w:rPr>
        <w:t>10</w:t>
      </w:r>
      <w:r w:rsidR="006076CA" w:rsidRPr="0011750B">
        <w:rPr>
          <w:color w:val="auto"/>
        </w:rPr>
        <w:t>%</w:t>
      </w:r>
      <w:r w:rsidR="00B320ED" w:rsidRPr="0011750B">
        <w:rPr>
          <w:color w:val="auto"/>
        </w:rPr>
        <w:t xml:space="preserve"> when compared with the actual case of perfect foresight</w:t>
      </w:r>
      <w:r w:rsidR="006076CA" w:rsidRPr="0011750B">
        <w:rPr>
          <w:color w:val="auto"/>
        </w:rPr>
        <w:t>.</w:t>
      </w:r>
    </w:p>
    <w:p w14:paraId="4DADA249" w14:textId="79D084C2" w:rsidR="00C9290D" w:rsidRPr="00647E1F" w:rsidRDefault="00C9290D" w:rsidP="00C9290D">
      <w:pPr>
        <w:pStyle w:val="MDPI18keywords"/>
        <w:rPr>
          <w:color w:val="auto"/>
          <w:szCs w:val="18"/>
        </w:rPr>
      </w:pPr>
      <w:r w:rsidRPr="00647E1F">
        <w:rPr>
          <w:b/>
          <w:color w:val="auto"/>
          <w:szCs w:val="18"/>
        </w:rPr>
        <w:t xml:space="preserve">Keywords: </w:t>
      </w:r>
      <w:r w:rsidR="006856BA" w:rsidRPr="00647E1F">
        <w:rPr>
          <w:color w:val="auto"/>
          <w:szCs w:val="18"/>
        </w:rPr>
        <w:t xml:space="preserve">balancing markets; </w:t>
      </w:r>
      <w:r w:rsidR="008A6CFA" w:rsidRPr="00647E1F">
        <w:rPr>
          <w:color w:val="auto"/>
          <w:szCs w:val="18"/>
        </w:rPr>
        <w:t>imbalance settlement</w:t>
      </w:r>
      <w:r w:rsidR="005501CC" w:rsidRPr="00647E1F">
        <w:rPr>
          <w:color w:val="auto"/>
          <w:szCs w:val="18"/>
        </w:rPr>
        <w:t>;</w:t>
      </w:r>
      <w:r w:rsidR="008B71D8" w:rsidRPr="00647E1F">
        <w:rPr>
          <w:color w:val="auto"/>
          <w:szCs w:val="18"/>
        </w:rPr>
        <w:t xml:space="preserve"> secondary reserves</w:t>
      </w:r>
      <w:r w:rsidR="005501CC" w:rsidRPr="00647E1F">
        <w:rPr>
          <w:color w:val="auto"/>
          <w:szCs w:val="18"/>
        </w:rPr>
        <w:t>;</w:t>
      </w:r>
      <w:r w:rsidR="008B71D8" w:rsidRPr="00647E1F">
        <w:rPr>
          <w:color w:val="auto"/>
          <w:szCs w:val="18"/>
        </w:rPr>
        <w:t xml:space="preserve"> </w:t>
      </w:r>
      <w:r w:rsidR="006856BA" w:rsidRPr="00647E1F">
        <w:rPr>
          <w:color w:val="auto"/>
          <w:szCs w:val="18"/>
        </w:rPr>
        <w:t>market design; RES</w:t>
      </w:r>
      <w:r w:rsidR="009C57A1" w:rsidRPr="00647E1F">
        <w:rPr>
          <w:color w:val="auto"/>
          <w:szCs w:val="18"/>
        </w:rPr>
        <w:t>.</w:t>
      </w:r>
      <w:r w:rsidR="006856BA" w:rsidRPr="00647E1F">
        <w:rPr>
          <w:color w:val="auto"/>
          <w:szCs w:val="18"/>
        </w:rPr>
        <w:t xml:space="preserve">Trade; </w:t>
      </w:r>
      <w:r w:rsidR="008B71D8" w:rsidRPr="00647E1F">
        <w:rPr>
          <w:color w:val="auto"/>
          <w:szCs w:val="18"/>
        </w:rPr>
        <w:t>tertiary reserves</w:t>
      </w:r>
      <w:r w:rsidR="00542FFD" w:rsidRPr="00647E1F">
        <w:rPr>
          <w:color w:val="auto"/>
          <w:szCs w:val="18"/>
        </w:rPr>
        <w:t>;</w:t>
      </w:r>
      <w:r w:rsidR="008B71D8" w:rsidRPr="00647E1F">
        <w:rPr>
          <w:color w:val="auto"/>
          <w:szCs w:val="18"/>
        </w:rPr>
        <w:t xml:space="preserve"> </w:t>
      </w:r>
      <w:r w:rsidR="00F35935" w:rsidRPr="00647E1F">
        <w:rPr>
          <w:color w:val="auto"/>
          <w:szCs w:val="18"/>
        </w:rPr>
        <w:t>variable renewable</w:t>
      </w:r>
      <w:r w:rsidR="002E7A23" w:rsidRPr="00647E1F">
        <w:rPr>
          <w:color w:val="auto"/>
          <w:szCs w:val="18"/>
        </w:rPr>
        <w:t xml:space="preserve"> energy sources</w:t>
      </w:r>
      <w:r w:rsidR="00421CDB">
        <w:rPr>
          <w:color w:val="auto"/>
          <w:szCs w:val="18"/>
        </w:rPr>
        <w:t>; wholesale markets</w:t>
      </w:r>
      <w:r w:rsidR="0098513A" w:rsidRPr="00647E1F">
        <w:rPr>
          <w:color w:val="auto"/>
          <w:szCs w:val="18"/>
        </w:rPr>
        <w:t>.</w:t>
      </w:r>
    </w:p>
    <w:p w14:paraId="1937B0E0" w14:textId="77777777" w:rsidR="00C9290D" w:rsidRPr="00647E1F" w:rsidRDefault="00C9290D" w:rsidP="00C9290D">
      <w:pPr>
        <w:pStyle w:val="MDPI19line"/>
        <w:rPr>
          <w:color w:val="auto"/>
        </w:rPr>
      </w:pPr>
    </w:p>
    <w:p w14:paraId="08893980" w14:textId="27AA28C7" w:rsidR="00C9290D" w:rsidRPr="00647E1F" w:rsidRDefault="00C9290D" w:rsidP="00862F10">
      <w:pPr>
        <w:pStyle w:val="MDPI21heading1"/>
        <w:numPr>
          <w:ilvl w:val="0"/>
          <w:numId w:val="7"/>
        </w:numPr>
        <w:ind w:firstLine="2192"/>
        <w:rPr>
          <w:color w:val="auto"/>
          <w:lang w:eastAsia="zh-CN"/>
        </w:rPr>
      </w:pPr>
      <w:r w:rsidRPr="00647E1F">
        <w:rPr>
          <w:color w:val="auto"/>
          <w:lang w:eastAsia="zh-CN"/>
        </w:rPr>
        <w:t>Introduction</w:t>
      </w:r>
    </w:p>
    <w:p w14:paraId="33A08D76" w14:textId="427A8598" w:rsidR="00AA49B5" w:rsidRPr="00AA49B5" w:rsidRDefault="00AA49B5" w:rsidP="00AA49B5">
      <w:pPr>
        <w:pStyle w:val="MDPI31text"/>
        <w:rPr>
          <w:rFonts w:cs="Segoe UI"/>
          <w:color w:val="auto"/>
        </w:rPr>
      </w:pPr>
      <w:r w:rsidRPr="00AA49B5">
        <w:rPr>
          <w:rFonts w:cs="Segoe UI"/>
          <w:color w:val="auto"/>
        </w:rPr>
        <w:t>Electricity market (EM) participants are diverse, autonomous entities with distinct objectives and trading strategies</w:t>
      </w:r>
      <w:r w:rsidR="005D51A1">
        <w:rPr>
          <w:rFonts w:cs="Segoe UI"/>
          <w:color w:val="auto"/>
        </w:rPr>
        <w:t xml:space="preserve"> [1]</w:t>
      </w:r>
      <w:r w:rsidRPr="00AA49B5">
        <w:rPr>
          <w:rFonts w:cs="Segoe UI"/>
          <w:color w:val="auto"/>
        </w:rPr>
        <w:t>. Typically, supply-side agents aim to maximize profits in wholesale markets, while demand-side agents focus on minimizing electricity costs before reselling it to end consumers in the retail market. Most trading strategies involve cooperation, ensuring mutual benefits for both parties</w:t>
      </w:r>
      <w:r w:rsidR="005D51A1">
        <w:rPr>
          <w:rFonts w:cs="Segoe UI"/>
          <w:color w:val="auto"/>
        </w:rPr>
        <w:t xml:space="preserve"> [2,3]</w:t>
      </w:r>
      <w:r w:rsidRPr="00AA49B5">
        <w:rPr>
          <w:rFonts w:cs="Segoe UI"/>
          <w:color w:val="auto"/>
        </w:rPr>
        <w:t>.</w:t>
      </w:r>
    </w:p>
    <w:p w14:paraId="00A98F7D" w14:textId="46128351" w:rsidR="00AA49B5" w:rsidRPr="00AA49B5" w:rsidRDefault="00AA49B5" w:rsidP="00AA49B5">
      <w:pPr>
        <w:pStyle w:val="MDPI31text"/>
        <w:rPr>
          <w:rFonts w:cs="Segoe UI"/>
          <w:color w:val="auto"/>
        </w:rPr>
      </w:pPr>
      <w:r w:rsidRPr="00AA49B5">
        <w:rPr>
          <w:rFonts w:cs="Segoe UI"/>
          <w:color w:val="auto"/>
        </w:rPr>
        <w:t>Globally, wholesale electricity marke</w:t>
      </w:r>
      <w:r w:rsidR="005D51A1">
        <w:rPr>
          <w:rFonts w:cs="Segoe UI"/>
          <w:color w:val="auto"/>
        </w:rPr>
        <w:t>ts follow three primary models [3]</w:t>
      </w:r>
      <w:r w:rsidRPr="00AA49B5">
        <w:rPr>
          <w:rFonts w:cs="Segoe UI"/>
          <w:color w:val="auto"/>
        </w:rPr>
        <w:t>:</w:t>
      </w:r>
    </w:p>
    <w:p w14:paraId="6D852D34" w14:textId="77777777" w:rsidR="00AA49B5" w:rsidRDefault="00AA49B5" w:rsidP="00862F10">
      <w:pPr>
        <w:pStyle w:val="MDPI31text"/>
        <w:numPr>
          <w:ilvl w:val="0"/>
          <w:numId w:val="16"/>
        </w:numPr>
        <w:ind w:left="2977" w:hanging="283"/>
        <w:rPr>
          <w:rFonts w:cs="Segoe UI"/>
          <w:color w:val="auto"/>
        </w:rPr>
      </w:pPr>
      <w:r w:rsidRPr="00AA49B5">
        <w:rPr>
          <w:rFonts w:cs="Segoe UI"/>
          <w:color w:val="auto"/>
        </w:rPr>
        <w:t>Auctions – A centralized market where supply and demand agents submit bids, with market prices determined by the intersection of supply and demand curves using a marginal pricing algorithm.</w:t>
      </w:r>
    </w:p>
    <w:p w14:paraId="457001FA" w14:textId="77777777" w:rsidR="00AA49B5" w:rsidRDefault="00AA49B5" w:rsidP="00862F10">
      <w:pPr>
        <w:pStyle w:val="MDPI31text"/>
        <w:numPr>
          <w:ilvl w:val="0"/>
          <w:numId w:val="16"/>
        </w:numPr>
        <w:ind w:left="2977" w:hanging="283"/>
        <w:rPr>
          <w:rFonts w:cs="Segoe UI"/>
          <w:color w:val="auto"/>
        </w:rPr>
      </w:pPr>
      <w:r w:rsidRPr="00AA49B5">
        <w:rPr>
          <w:rFonts w:cs="Segoe UI"/>
          <w:color w:val="auto"/>
        </w:rPr>
        <w:t>Bilateral Contracts – Private agreements between supply and demand agents who negotiate contract terms directly.</w:t>
      </w:r>
    </w:p>
    <w:p w14:paraId="5CF02A0C" w14:textId="524F40A6" w:rsidR="00AA49B5" w:rsidRPr="00AA49B5" w:rsidRDefault="00AA49B5" w:rsidP="00862F10">
      <w:pPr>
        <w:pStyle w:val="MDPI31text"/>
        <w:numPr>
          <w:ilvl w:val="0"/>
          <w:numId w:val="16"/>
        </w:numPr>
        <w:ind w:left="2977" w:hanging="283"/>
        <w:rPr>
          <w:rFonts w:cs="Segoe UI"/>
          <w:color w:val="auto"/>
        </w:rPr>
      </w:pPr>
      <w:r w:rsidRPr="00AA49B5">
        <w:rPr>
          <w:rFonts w:cs="Segoe UI"/>
          <w:color w:val="auto"/>
        </w:rPr>
        <w:t>Hybrid Models – A combination of auction-based trading and bilateral contracts.</w:t>
      </w:r>
    </w:p>
    <w:p w14:paraId="048A0242" w14:textId="6D42E7ED" w:rsidR="00AA49B5" w:rsidRPr="00AA49B5" w:rsidRDefault="00AA49B5" w:rsidP="00AA49B5">
      <w:pPr>
        <w:pStyle w:val="MDPI31text"/>
        <w:rPr>
          <w:rFonts w:cs="Segoe UI"/>
          <w:color w:val="auto"/>
        </w:rPr>
      </w:pPr>
      <w:r w:rsidRPr="00AA49B5">
        <w:rPr>
          <w:rFonts w:cs="Segoe UI"/>
          <w:color w:val="auto"/>
        </w:rPr>
        <w:t>Most European Union countries</w:t>
      </w:r>
      <w:r w:rsidR="005D51A1">
        <w:rPr>
          <w:rFonts w:cs="Segoe UI"/>
          <w:color w:val="auto"/>
        </w:rPr>
        <w:t xml:space="preserve"> </w:t>
      </w:r>
      <w:r w:rsidRPr="00AA49B5">
        <w:rPr>
          <w:rFonts w:cs="Segoe UI"/>
          <w:color w:val="auto"/>
        </w:rPr>
        <w:t xml:space="preserve">operate under a hybrid market model. In this system, a day-ahead market </w:t>
      </w:r>
      <w:r w:rsidR="006076CA">
        <w:rPr>
          <w:rFonts w:cs="Segoe UI"/>
          <w:color w:val="auto"/>
        </w:rPr>
        <w:t xml:space="preserve">(DAM) </w:t>
      </w:r>
      <w:r w:rsidRPr="00AA49B5">
        <w:rPr>
          <w:rFonts w:cs="Segoe UI"/>
          <w:color w:val="auto"/>
        </w:rPr>
        <w:t>closes at 12:00 p.m. (CET) on the day before trading, followed by intraday markets</w:t>
      </w:r>
      <w:r w:rsidR="006076CA">
        <w:rPr>
          <w:rFonts w:cs="Segoe UI"/>
          <w:color w:val="auto"/>
        </w:rPr>
        <w:t xml:space="preserve"> (IDMs)</w:t>
      </w:r>
      <w:r w:rsidRPr="00AA49B5">
        <w:rPr>
          <w:rFonts w:cs="Segoe UI"/>
          <w:color w:val="auto"/>
        </w:rPr>
        <w:t xml:space="preserve"> used for real-time bid adjustments. These intraday markets may function through multiple auction-based sessions, as seen in Iberian (MIBEL), Italian, and German markets, or via continuous intraday trading, as in most of </w:t>
      </w:r>
      <w:r w:rsidRPr="00AA49B5">
        <w:rPr>
          <w:rFonts w:cs="Segoe UI"/>
          <w:color w:val="auto"/>
        </w:rPr>
        <w:lastRenderedPageBreak/>
        <w:t>Europe. Additionally, private bilateral contracts and participation in derivatives markets provide risk management tools, enabling agents to secure fixed energy prices over extended time horizons, reducing exposure to spot market</w:t>
      </w:r>
      <w:r w:rsidR="006076CA">
        <w:rPr>
          <w:rFonts w:cs="Segoe UI"/>
          <w:color w:val="auto"/>
        </w:rPr>
        <w:t xml:space="preserve"> volatility. Auxiliary services, as balancing markets (BMs), </w:t>
      </w:r>
      <w:r w:rsidRPr="00AA49B5">
        <w:rPr>
          <w:rFonts w:cs="Segoe UI"/>
          <w:color w:val="auto"/>
        </w:rPr>
        <w:t>ensure grid stability by maintaining frequency and voltage, mitigating system imbalances, and enhancing overall network reliability</w:t>
      </w:r>
      <w:r w:rsidR="005D51A1">
        <w:rPr>
          <w:rFonts w:cs="Segoe UI"/>
          <w:color w:val="auto"/>
        </w:rPr>
        <w:t xml:space="preserve"> [3-6]</w:t>
      </w:r>
      <w:r w:rsidRPr="00AA49B5">
        <w:rPr>
          <w:rFonts w:cs="Segoe UI"/>
          <w:color w:val="auto"/>
        </w:rPr>
        <w:t>.</w:t>
      </w:r>
    </w:p>
    <w:p w14:paraId="12287726" w14:textId="006F05C6" w:rsidR="00AA49B5" w:rsidRDefault="00AA49B5" w:rsidP="00AA49B5">
      <w:pPr>
        <w:pStyle w:val="MDPI31text"/>
        <w:rPr>
          <w:rFonts w:cs="Segoe UI"/>
          <w:color w:val="auto"/>
        </w:rPr>
      </w:pPr>
      <w:r w:rsidRPr="00AA49B5">
        <w:rPr>
          <w:rFonts w:cs="Segoe UI"/>
          <w:color w:val="auto"/>
        </w:rPr>
        <w:t>The rapid growth of variable renewable energy sources</w:t>
      </w:r>
      <w:r w:rsidR="006076CA">
        <w:rPr>
          <w:rFonts w:cs="Segoe UI"/>
          <w:color w:val="auto"/>
        </w:rPr>
        <w:t xml:space="preserve"> (vRES)</w:t>
      </w:r>
      <w:r w:rsidRPr="00AA49B5">
        <w:rPr>
          <w:rFonts w:cs="Segoe UI"/>
          <w:color w:val="auto"/>
        </w:rPr>
        <w:t>, such as wind and solar photovoltaic (PV), has introduced new challenges to electricity markets</w:t>
      </w:r>
      <w:r w:rsidR="005D51A1">
        <w:rPr>
          <w:rFonts w:cs="Segoe UI"/>
          <w:color w:val="auto"/>
        </w:rPr>
        <w:t xml:space="preserve"> [7]</w:t>
      </w:r>
      <w:r w:rsidRPr="00AA49B5">
        <w:rPr>
          <w:rFonts w:cs="Segoe UI"/>
          <w:color w:val="auto"/>
        </w:rPr>
        <w:t>. However, their intermittent nature increases supply volatility and uncertainty, leading to higher system integration costs, particularly for ancillary services</w:t>
      </w:r>
      <w:r w:rsidR="005D51A1">
        <w:rPr>
          <w:rFonts w:cs="Segoe UI"/>
          <w:color w:val="auto"/>
        </w:rPr>
        <w:t xml:space="preserve"> [8,9]</w:t>
      </w:r>
      <w:r w:rsidRPr="00AA49B5">
        <w:rPr>
          <w:rFonts w:cs="Segoe UI"/>
          <w:color w:val="auto"/>
        </w:rPr>
        <w:t xml:space="preserve">. While wind power requires substantial investment, its production costs are nearly zero. Although increased </w:t>
      </w:r>
      <w:r w:rsidR="005D51A1">
        <w:rPr>
          <w:rFonts w:cs="Segoe UI"/>
          <w:color w:val="auto"/>
        </w:rPr>
        <w:t>vRES</w:t>
      </w:r>
      <w:r w:rsidRPr="00AA49B5">
        <w:rPr>
          <w:rFonts w:cs="Segoe UI"/>
          <w:color w:val="auto"/>
        </w:rPr>
        <w:t xml:space="preserve"> penetration tends to lower spot market prices, it can drive up ancillary service costs, as deviations from expected output require balancing measures. The financial burden of these deviations is typically placed on the responsible market agents through penalties </w:t>
      </w:r>
      <w:r w:rsidR="005D51A1">
        <w:rPr>
          <w:rFonts w:cs="Segoe UI"/>
          <w:color w:val="auto"/>
        </w:rPr>
        <w:t>in the imbalance settlement</w:t>
      </w:r>
      <w:r w:rsidR="005C0F64">
        <w:rPr>
          <w:rFonts w:cs="Segoe UI"/>
          <w:color w:val="auto"/>
        </w:rPr>
        <w:t xml:space="preserve"> (IS)</w:t>
      </w:r>
      <w:r w:rsidR="005D51A1">
        <w:rPr>
          <w:rFonts w:cs="Segoe UI"/>
          <w:color w:val="auto"/>
        </w:rPr>
        <w:t xml:space="preserve"> [9-12]</w:t>
      </w:r>
      <w:r w:rsidRPr="00AA49B5">
        <w:rPr>
          <w:rFonts w:cs="Segoe UI"/>
          <w:color w:val="auto"/>
        </w:rPr>
        <w:t xml:space="preserve">. In extreme cases—such as significant forecasting errors—the penalties imposed on </w:t>
      </w:r>
      <w:r w:rsidR="005D51A1">
        <w:rPr>
          <w:rFonts w:cs="Segoe UI"/>
          <w:color w:val="auto"/>
        </w:rPr>
        <w:t>vRES</w:t>
      </w:r>
      <w:r w:rsidRPr="00AA49B5">
        <w:rPr>
          <w:rFonts w:cs="Segoe UI"/>
          <w:color w:val="auto"/>
        </w:rPr>
        <w:t xml:space="preserve"> producers can exceed their spot market revenues. However, certain power systems shield </w:t>
      </w:r>
      <w:r w:rsidR="005D51A1">
        <w:rPr>
          <w:rFonts w:cs="Segoe UI"/>
          <w:color w:val="auto"/>
        </w:rPr>
        <w:t>vRES</w:t>
      </w:r>
      <w:r w:rsidRPr="00AA49B5">
        <w:rPr>
          <w:rFonts w:cs="Segoe UI"/>
          <w:color w:val="auto"/>
        </w:rPr>
        <w:t xml:space="preserve"> producers from these costs, transferring them to consumers instead. This was the case in Portugal under feed-in-tariffs (FiTs) and other guaranteed tariff schemes, which provided financial stability for </w:t>
      </w:r>
      <w:r w:rsidR="005D51A1">
        <w:rPr>
          <w:rFonts w:cs="Segoe UI"/>
          <w:color w:val="auto"/>
        </w:rPr>
        <w:t>vRES</w:t>
      </w:r>
      <w:r w:rsidRPr="00AA49B5">
        <w:rPr>
          <w:rFonts w:cs="Segoe UI"/>
          <w:color w:val="auto"/>
        </w:rPr>
        <w:t xml:space="preserve"> generation</w:t>
      </w:r>
      <w:r w:rsidR="005D51A1">
        <w:rPr>
          <w:rFonts w:cs="Segoe UI"/>
          <w:color w:val="auto"/>
        </w:rPr>
        <w:t xml:space="preserve"> [13-15]</w:t>
      </w:r>
      <w:r w:rsidRPr="00AA49B5">
        <w:rPr>
          <w:rFonts w:cs="Segoe UI"/>
          <w:color w:val="auto"/>
        </w:rPr>
        <w:t>.</w:t>
      </w:r>
      <w:r>
        <w:rPr>
          <w:rFonts w:cs="Segoe UI"/>
          <w:color w:val="auto"/>
        </w:rPr>
        <w:t xml:space="preserve"> </w:t>
      </w:r>
    </w:p>
    <w:p w14:paraId="7691E3B4" w14:textId="69949F20" w:rsidR="00AB2881" w:rsidRDefault="00AB2881" w:rsidP="00AA49B5">
      <w:pPr>
        <w:pStyle w:val="MDPI31text"/>
        <w:rPr>
          <w:rFonts w:cs="Segoe UI"/>
          <w:color w:val="auto"/>
        </w:rPr>
      </w:pPr>
      <w:r w:rsidRPr="00AB2881">
        <w:rPr>
          <w:rFonts w:cs="Segoe UI"/>
          <w:color w:val="auto"/>
        </w:rPr>
        <w:t xml:space="preserve">Support schemes are a good option to de-risk investments in renewable energy sources and the volatility of electricity markets if well designed. The most common designs, such as FiTs and contracts for difference (CfDs) contributed to market distortions, such as price cannibalization, negative prices, and tariff deficit. However, with the decreasing </w:t>
      </w:r>
      <w:r w:rsidR="005D51A1" w:rsidRPr="00AA49B5">
        <w:rPr>
          <w:rFonts w:cs="Segoe UI"/>
          <w:color w:val="auto"/>
        </w:rPr>
        <w:t xml:space="preserve">levelized costs of energy </w:t>
      </w:r>
      <w:r w:rsidR="005D51A1">
        <w:rPr>
          <w:rFonts w:cs="Segoe UI"/>
          <w:color w:val="auto"/>
        </w:rPr>
        <w:t>(</w:t>
      </w:r>
      <w:r w:rsidRPr="00AB2881">
        <w:rPr>
          <w:rFonts w:cs="Segoe UI"/>
          <w:color w:val="auto"/>
        </w:rPr>
        <w:t>LCOE</w:t>
      </w:r>
      <w:r w:rsidR="005D51A1">
        <w:rPr>
          <w:rFonts w:cs="Segoe UI"/>
          <w:color w:val="auto"/>
        </w:rPr>
        <w:t>)</w:t>
      </w:r>
      <w:r w:rsidRPr="00AB2881">
        <w:rPr>
          <w:rFonts w:cs="Segoe UI"/>
          <w:color w:val="auto"/>
        </w:rPr>
        <w:t xml:space="preserve"> of </w:t>
      </w:r>
      <w:r w:rsidR="005D51A1">
        <w:rPr>
          <w:rFonts w:cs="Segoe UI"/>
          <w:color w:val="auto"/>
        </w:rPr>
        <w:t>vRES</w:t>
      </w:r>
      <w:r w:rsidRPr="00AB2881">
        <w:rPr>
          <w:rFonts w:cs="Segoe UI"/>
          <w:color w:val="auto"/>
        </w:rPr>
        <w:t xml:space="preserve"> and increasing electricity prices in Europa after the 2022 gas crisis, more competitive and well-designed support schemes, such as Financing CfDs and Risk-Sharing Contracts may contribute to de-risking the effect of electricity price volatility</w:t>
      </w:r>
      <w:r w:rsidR="005D51A1">
        <w:rPr>
          <w:rFonts w:cs="Segoe UI"/>
          <w:color w:val="auto"/>
        </w:rPr>
        <w:t xml:space="preserve"> [15-17]</w:t>
      </w:r>
      <w:r w:rsidRPr="00AB2881">
        <w:rPr>
          <w:rFonts w:cs="Segoe UI"/>
          <w:color w:val="auto"/>
        </w:rPr>
        <w:t>.  Indeed, support schemes contributed for the first time negative grid access prices, reducing real-time pricing retail tariffs to values lower than wholesale prices</w:t>
      </w:r>
      <w:r w:rsidR="005D51A1">
        <w:rPr>
          <w:rFonts w:cs="Segoe UI"/>
          <w:color w:val="auto"/>
        </w:rPr>
        <w:t xml:space="preserve"> during the gas crisis [18,19]</w:t>
      </w:r>
      <w:r w:rsidRPr="00AB2881">
        <w:rPr>
          <w:rFonts w:cs="Segoe UI"/>
          <w:color w:val="auto"/>
        </w:rPr>
        <w:t>. However, support schemes are an externality affecting the competition principle of auction-based marginal markets based on the Nash equilibrium</w:t>
      </w:r>
      <w:r w:rsidR="005D51A1">
        <w:rPr>
          <w:rFonts w:cs="Segoe UI"/>
          <w:color w:val="auto"/>
        </w:rPr>
        <w:t xml:space="preserve"> [19,20]</w:t>
      </w:r>
      <w:r w:rsidRPr="00AB2881">
        <w:rPr>
          <w:rFonts w:cs="Segoe UI"/>
          <w:color w:val="auto"/>
        </w:rPr>
        <w:t xml:space="preserve">. So, support schemes cause market distortions by benefiting renewables. </w:t>
      </w:r>
    </w:p>
    <w:p w14:paraId="1060312D" w14:textId="523616F0" w:rsidR="00421CDB" w:rsidRDefault="00AA49B5" w:rsidP="00421CDB">
      <w:pPr>
        <w:pStyle w:val="MDPI31text"/>
        <w:rPr>
          <w:rFonts w:cs="Segoe UI"/>
          <w:color w:val="auto"/>
        </w:rPr>
      </w:pPr>
      <w:r w:rsidRPr="00AA49B5">
        <w:rPr>
          <w:rFonts w:cs="Segoe UI"/>
          <w:color w:val="auto"/>
        </w:rPr>
        <w:t xml:space="preserve">Given the increasing penetration of </w:t>
      </w:r>
      <w:r w:rsidR="005D51A1">
        <w:rPr>
          <w:rFonts w:cs="Segoe UI"/>
          <w:color w:val="auto"/>
        </w:rPr>
        <w:t>VRES</w:t>
      </w:r>
      <w:r w:rsidRPr="00AA49B5">
        <w:rPr>
          <w:rFonts w:cs="Segoe UI"/>
          <w:color w:val="auto"/>
        </w:rPr>
        <w:t>s, a careful reassessment of electricity market models is necessary to determine their effectiveness in a</w:t>
      </w:r>
      <w:r w:rsidR="005D51A1">
        <w:rPr>
          <w:rFonts w:cs="Segoe UI"/>
          <w:color w:val="auto"/>
        </w:rPr>
        <w:t xml:space="preserve"> renewable-dominated landscape [5</w:t>
      </w:r>
      <w:r w:rsidR="00EC78BB">
        <w:rPr>
          <w:rFonts w:cs="Segoe UI"/>
          <w:color w:val="auto"/>
        </w:rPr>
        <w:t>,6</w:t>
      </w:r>
      <w:r w:rsidR="005D51A1">
        <w:rPr>
          <w:rFonts w:cs="Segoe UI"/>
          <w:color w:val="auto"/>
        </w:rPr>
        <w:t>]</w:t>
      </w:r>
      <w:r w:rsidRPr="00AA49B5">
        <w:rPr>
          <w:rFonts w:cs="Segoe UI"/>
          <w:color w:val="auto"/>
        </w:rPr>
        <w:t xml:space="preserve">. Existing market structures were designed when dispatchable power plants dominated generation, limiting incentives for </w:t>
      </w:r>
      <w:r w:rsidR="005D51A1">
        <w:rPr>
          <w:rFonts w:cs="Segoe UI"/>
          <w:color w:val="auto"/>
        </w:rPr>
        <w:t>vRES</w:t>
      </w:r>
      <w:r w:rsidRPr="00AA49B5">
        <w:rPr>
          <w:rFonts w:cs="Segoe UI"/>
          <w:color w:val="auto"/>
        </w:rPr>
        <w:t xml:space="preserve"> participation unless coordinated w</w:t>
      </w:r>
      <w:r w:rsidR="005D51A1">
        <w:rPr>
          <w:rFonts w:cs="Segoe UI"/>
          <w:color w:val="auto"/>
        </w:rPr>
        <w:t>ith</w:t>
      </w:r>
      <w:r w:rsidR="00EC78BB">
        <w:rPr>
          <w:rFonts w:cs="Segoe UI"/>
          <w:color w:val="auto"/>
        </w:rPr>
        <w:t xml:space="preserve"> flexible generation assets [21-</w:t>
      </w:r>
      <w:r w:rsidR="005D51A1">
        <w:rPr>
          <w:rFonts w:cs="Segoe UI"/>
          <w:color w:val="auto"/>
        </w:rPr>
        <w:t>2</w:t>
      </w:r>
      <w:r w:rsidR="00EC78BB">
        <w:rPr>
          <w:rFonts w:cs="Segoe UI"/>
          <w:color w:val="auto"/>
        </w:rPr>
        <w:t>3</w:t>
      </w:r>
      <w:r w:rsidR="005D51A1">
        <w:rPr>
          <w:rFonts w:cs="Segoe UI"/>
          <w:color w:val="auto"/>
        </w:rPr>
        <w:t>]</w:t>
      </w:r>
      <w:r w:rsidRPr="00AA49B5">
        <w:rPr>
          <w:rFonts w:cs="Segoe UI"/>
          <w:color w:val="auto"/>
        </w:rPr>
        <w:t xml:space="preserve">. The growing share of </w:t>
      </w:r>
      <w:r w:rsidR="005D51A1">
        <w:rPr>
          <w:rFonts w:cs="Segoe UI"/>
          <w:color w:val="auto"/>
        </w:rPr>
        <w:t>vRES</w:t>
      </w:r>
      <w:r w:rsidRPr="00AA49B5">
        <w:rPr>
          <w:rFonts w:cs="Segoe UI"/>
          <w:color w:val="auto"/>
        </w:rPr>
        <w:t xml:space="preserve">s has led to reduced market liquidity, and despite lower </w:t>
      </w:r>
      <w:r w:rsidR="005D51A1">
        <w:rPr>
          <w:rFonts w:cs="Segoe UI"/>
          <w:color w:val="auto"/>
        </w:rPr>
        <w:t>LCOE</w:t>
      </w:r>
      <w:r w:rsidRPr="00AA49B5">
        <w:rPr>
          <w:rFonts w:cs="Segoe UI"/>
          <w:color w:val="auto"/>
        </w:rPr>
        <w:t>, economic incentives—such as FiTs—remain essential for ensuring wind farm participation. While solar PV has become economically viable without subsidies, the rising costs of ancillary services highlight the need for market design reforms</w:t>
      </w:r>
      <w:r w:rsidR="005D51A1">
        <w:rPr>
          <w:rFonts w:cs="Segoe UI"/>
          <w:color w:val="auto"/>
        </w:rPr>
        <w:t xml:space="preserve"> [5,6,2</w:t>
      </w:r>
      <w:r w:rsidR="00EC78BB">
        <w:rPr>
          <w:rFonts w:cs="Segoe UI"/>
          <w:color w:val="auto"/>
        </w:rPr>
        <w:t>4</w:t>
      </w:r>
      <w:r w:rsidR="005D51A1">
        <w:rPr>
          <w:rFonts w:cs="Segoe UI"/>
          <w:color w:val="auto"/>
        </w:rPr>
        <w:t>-2</w:t>
      </w:r>
      <w:r w:rsidR="00EC78BB">
        <w:rPr>
          <w:rFonts w:cs="Segoe UI"/>
          <w:color w:val="auto"/>
        </w:rPr>
        <w:t>5</w:t>
      </w:r>
      <w:r w:rsidR="005D51A1">
        <w:rPr>
          <w:rFonts w:cs="Segoe UI"/>
          <w:color w:val="auto"/>
        </w:rPr>
        <w:t>]</w:t>
      </w:r>
      <w:r w:rsidRPr="00AA49B5">
        <w:rPr>
          <w:rFonts w:cs="Segoe UI"/>
          <w:color w:val="auto"/>
        </w:rPr>
        <w:t>. Enhancing flexibility mechanisms and appropriately compensating ancillary service providers will be critical to ensuring grid stability and efficiency in high-</w:t>
      </w:r>
      <w:r w:rsidR="005D51A1">
        <w:rPr>
          <w:rFonts w:cs="Segoe UI"/>
          <w:color w:val="auto"/>
        </w:rPr>
        <w:t>vRES</w:t>
      </w:r>
      <w:r w:rsidRPr="00AA49B5">
        <w:rPr>
          <w:rFonts w:cs="Segoe UI"/>
          <w:color w:val="auto"/>
        </w:rPr>
        <w:t xml:space="preserve"> energy systems</w:t>
      </w:r>
      <w:r w:rsidR="00EC78BB">
        <w:rPr>
          <w:rFonts w:cs="Segoe UI"/>
          <w:color w:val="auto"/>
        </w:rPr>
        <w:t xml:space="preserve"> [24-26]</w:t>
      </w:r>
      <w:r w:rsidRPr="00AA49B5">
        <w:rPr>
          <w:rFonts w:cs="Segoe UI"/>
          <w:color w:val="auto"/>
        </w:rPr>
        <w:t>.</w:t>
      </w:r>
      <w:r w:rsidR="00421CDB">
        <w:rPr>
          <w:rFonts w:cs="Segoe UI"/>
          <w:color w:val="auto"/>
        </w:rPr>
        <w:t xml:space="preserve"> </w:t>
      </w:r>
      <w:r w:rsidR="00EC78BB">
        <w:rPr>
          <w:rFonts w:cs="Segoe UI"/>
          <w:color w:val="auto"/>
        </w:rPr>
        <w:t>vRES have technical capability to provide balancing reserves [26]. They</w:t>
      </w:r>
      <w:r w:rsidR="00421CDB" w:rsidRPr="00AB2881">
        <w:rPr>
          <w:rFonts w:cs="Segoe UI"/>
          <w:color w:val="auto"/>
        </w:rPr>
        <w:t xml:space="preserve"> can use strategic bidding with or without support schemes and adapt their behavior </w:t>
      </w:r>
      <w:r w:rsidR="00421CDB">
        <w:rPr>
          <w:rFonts w:cs="Segoe UI"/>
          <w:color w:val="auto"/>
        </w:rPr>
        <w:t xml:space="preserve">to increase their market uptake </w:t>
      </w:r>
      <w:r w:rsidR="00421CDB" w:rsidRPr="00AB2881">
        <w:rPr>
          <w:rFonts w:cs="Segoe UI"/>
          <w:color w:val="auto"/>
        </w:rPr>
        <w:t>according</w:t>
      </w:r>
      <w:r w:rsidR="005D51A1">
        <w:rPr>
          <w:rFonts w:cs="Segoe UI"/>
          <w:color w:val="auto"/>
        </w:rPr>
        <w:t>ly [</w:t>
      </w:r>
      <w:r w:rsidR="00EC78BB">
        <w:rPr>
          <w:rFonts w:cs="Segoe UI"/>
          <w:color w:val="auto"/>
        </w:rPr>
        <w:t>6,11,</w:t>
      </w:r>
      <w:r w:rsidR="005D51A1">
        <w:rPr>
          <w:rFonts w:cs="Segoe UI"/>
          <w:color w:val="auto"/>
        </w:rPr>
        <w:t>2</w:t>
      </w:r>
      <w:r w:rsidR="00EC78BB">
        <w:rPr>
          <w:rFonts w:cs="Segoe UI"/>
          <w:color w:val="auto"/>
        </w:rPr>
        <w:t>8</w:t>
      </w:r>
      <w:r w:rsidR="005D51A1">
        <w:rPr>
          <w:rFonts w:cs="Segoe UI"/>
          <w:color w:val="auto"/>
        </w:rPr>
        <w:t>-</w:t>
      </w:r>
      <w:r w:rsidR="00EC78BB">
        <w:rPr>
          <w:rFonts w:cs="Segoe UI"/>
          <w:color w:val="auto"/>
        </w:rPr>
        <w:t>30</w:t>
      </w:r>
      <w:r w:rsidR="005D51A1">
        <w:rPr>
          <w:rFonts w:cs="Segoe UI"/>
          <w:color w:val="auto"/>
        </w:rPr>
        <w:t>]</w:t>
      </w:r>
      <w:r w:rsidR="00421CDB" w:rsidRPr="00AB2881">
        <w:rPr>
          <w:rFonts w:cs="Segoe UI"/>
          <w:color w:val="auto"/>
        </w:rPr>
        <w:t>.</w:t>
      </w:r>
      <w:r w:rsidR="00D41151">
        <w:rPr>
          <w:rFonts w:cs="Segoe UI"/>
          <w:color w:val="auto"/>
        </w:rPr>
        <w:t xml:space="preserve"> </w:t>
      </w:r>
    </w:p>
    <w:p w14:paraId="672C0E8B" w14:textId="2B90C9B4" w:rsidR="00D41151" w:rsidRDefault="00D41151" w:rsidP="00D41151">
      <w:pPr>
        <w:pStyle w:val="MDPI31text"/>
      </w:pPr>
      <w:r>
        <w:t>A study on a Wind Power Plant (WPP) operating in the Danish electricity market demonstrated that active participation in both the DAM and Balancing Markets resulted in a 6.5% increase in the overall wind energy value. This finding highlights the potential benefits of flexible and market-aware trading strategies, which not only improve the profitability of vRES but also facilitate their integration into the electricity system. By leveraging multi-market participation, vRES can reduce forecast errors, optimize revenues, and support grid stability, ultimately enhancing their economic sustainability</w:t>
      </w:r>
      <w:r w:rsidR="00EC78BB">
        <w:t xml:space="preserve"> [28]</w:t>
      </w:r>
      <w:r>
        <w:t>.</w:t>
      </w:r>
    </w:p>
    <w:p w14:paraId="2036D92B" w14:textId="49FFD26C" w:rsidR="00D41151" w:rsidRDefault="00D41151" w:rsidP="00D41151">
      <w:pPr>
        <w:pStyle w:val="MDPI31text"/>
      </w:pPr>
      <w:r>
        <w:lastRenderedPageBreak/>
        <w:t>A profitability assessment of wind power participation in Swedish BMs revealed that the most profitable strategy is engaging in both the DAM and aFRR downward regulation. This combination can generate additional revenue of 35% compared to participation in the DAM alone under perfect production forecasts and 22% when factoring in standard production forecast errors</w:t>
      </w:r>
      <w:r w:rsidR="00EC78BB">
        <w:t xml:space="preserve"> [30]</w:t>
      </w:r>
      <w:r>
        <w:t>.</w:t>
      </w:r>
    </w:p>
    <w:p w14:paraId="733604F5" w14:textId="5E489241" w:rsidR="00D41151" w:rsidRDefault="00D41151" w:rsidP="00D41151">
      <w:pPr>
        <w:pStyle w:val="MDPI31text"/>
      </w:pPr>
      <w:r>
        <w:t>A study analyzed the participation of WPPs in the DAM and Portuguese BMs across four scenarios. The baseline scenario involved participation solely in the DAM, while Scenario A combined the DAM with automatic Frequency Restoration Reserve (aFRR), and Scenario B combined the DAM with manual Frequency Restoration Reserve (mFRR). Scenario C also integrated the DAM with the mFRR market but reduced the time unit to 15 minutes. The study found that Scenario C was the most favorable, as shorter time units increased flexibility and revenue for WPPs. Scenario A also proved more beneficial than Scenario B, with revenue increases of 4.9% and 2.2%, respectively, compared to the baseline. These findings highlight the role of WPP participation in BMs in reducing dependence on support schemes and fostering their integration as active players in electricity markets</w:t>
      </w:r>
      <w:r w:rsidR="00EC78BB">
        <w:t xml:space="preserve"> [11]</w:t>
      </w:r>
      <w:r>
        <w:t>.</w:t>
      </w:r>
    </w:p>
    <w:p w14:paraId="19004AEE" w14:textId="6F2F4FFC" w:rsidR="00B320ED" w:rsidRDefault="00AB2881" w:rsidP="00A964D0">
      <w:pPr>
        <w:pStyle w:val="MDPI31text"/>
      </w:pPr>
      <w:r w:rsidRPr="00AB2881">
        <w:rPr>
          <w:rFonts w:cs="Segoe UI"/>
          <w:color w:val="auto"/>
        </w:rPr>
        <w:t xml:space="preserve">Against this background, this paper evaluates the outputs of vRES in electricity </w:t>
      </w:r>
      <w:r>
        <w:rPr>
          <w:rFonts w:cs="Segoe UI"/>
          <w:color w:val="auto"/>
        </w:rPr>
        <w:t>markets without support schemes using strategic bidding</w:t>
      </w:r>
      <w:r w:rsidR="00D41151">
        <w:rPr>
          <w:rFonts w:cs="Segoe UI"/>
          <w:color w:val="auto"/>
        </w:rPr>
        <w:t xml:space="preserve">. </w:t>
      </w:r>
      <w:r w:rsidR="006076CA">
        <w:rPr>
          <w:rFonts w:cs="Segoe UI"/>
          <w:color w:val="auto"/>
        </w:rPr>
        <w:t xml:space="preserve">The paper presents a methodology that can be adapted to all vRES technologies based on the probabilistic forecast quantiles and the selection of the best quantile to increase the market uptake of vRES. </w:t>
      </w:r>
      <w:r w:rsidR="00B320ED">
        <w:t>The presented case study analyzes the extent of active market participation by a WPP in MIBEL and the Portuguese balancing markets, where WPPs bear financial responsibility for imbalances and operate without support schemes under both past and current market designs. The findings indicate that if the WPP fully participates in tertiary and secondary balancing markets tailored to its design, its market value could increase by 35% and 111%, respectively. However, under the current market framework, where strategic bidding is applied, the potential market value increase is limited to 15%.</w:t>
      </w:r>
    </w:p>
    <w:p w14:paraId="326789CA" w14:textId="2BD4AD12" w:rsidR="002861B6" w:rsidRDefault="00AB2881" w:rsidP="00A964D0">
      <w:pPr>
        <w:pStyle w:val="MDPI31text"/>
        <w:rPr>
          <w:rFonts w:cs="Segoe UI"/>
          <w:color w:val="auto"/>
        </w:rPr>
      </w:pPr>
      <w:r w:rsidRPr="00AB2881">
        <w:rPr>
          <w:rFonts w:cs="Segoe UI"/>
          <w:color w:val="auto"/>
        </w:rPr>
        <w:t xml:space="preserve">The remainder of this paper is structured as follows. Section </w:t>
      </w:r>
      <w:r w:rsidR="006076CA">
        <w:rPr>
          <w:rFonts w:cs="Segoe UI"/>
          <w:color w:val="auto"/>
        </w:rPr>
        <w:t>2</w:t>
      </w:r>
      <w:r w:rsidRPr="00AB2881">
        <w:rPr>
          <w:rFonts w:cs="Segoe UI"/>
          <w:color w:val="auto"/>
        </w:rPr>
        <w:t xml:space="preserve"> provides an overview of wholesale energy markets and reserve systems, highlighting </w:t>
      </w:r>
      <w:r w:rsidR="00421CDB">
        <w:rPr>
          <w:rFonts w:cs="Segoe UI"/>
          <w:color w:val="auto"/>
        </w:rPr>
        <w:t>MIBEL</w:t>
      </w:r>
      <w:r w:rsidRPr="00AB2881">
        <w:rPr>
          <w:rFonts w:cs="Segoe UI"/>
          <w:color w:val="auto"/>
        </w:rPr>
        <w:t xml:space="preserve">. Section </w:t>
      </w:r>
      <w:r w:rsidR="006076CA">
        <w:rPr>
          <w:rFonts w:cs="Segoe UI"/>
          <w:color w:val="auto"/>
        </w:rPr>
        <w:t>3</w:t>
      </w:r>
      <w:r w:rsidRPr="00AB2881">
        <w:rPr>
          <w:rFonts w:cs="Segoe UI"/>
          <w:color w:val="auto"/>
        </w:rPr>
        <w:t xml:space="preserve"> outlines the proposed methodology for </w:t>
      </w:r>
      <w:r w:rsidR="00421CDB">
        <w:rPr>
          <w:rFonts w:cs="Segoe UI"/>
          <w:color w:val="auto"/>
        </w:rPr>
        <w:t>strategic participation of vRES in electricity markets</w:t>
      </w:r>
      <w:r w:rsidRPr="00AB2881">
        <w:rPr>
          <w:rFonts w:cs="Segoe UI"/>
          <w:color w:val="auto"/>
        </w:rPr>
        <w:t xml:space="preserve">. Section </w:t>
      </w:r>
      <w:r w:rsidR="006076CA">
        <w:rPr>
          <w:rFonts w:cs="Segoe UI"/>
          <w:color w:val="auto"/>
        </w:rPr>
        <w:t>4</w:t>
      </w:r>
      <w:r w:rsidRPr="00AB2881">
        <w:rPr>
          <w:rFonts w:cs="Segoe UI"/>
          <w:color w:val="auto"/>
        </w:rPr>
        <w:t xml:space="preserve"> presents a case study and evaluates the performance of the developed </w:t>
      </w:r>
      <w:r w:rsidR="00421CDB">
        <w:rPr>
          <w:rFonts w:cs="Segoe UI"/>
          <w:color w:val="auto"/>
        </w:rPr>
        <w:t>strategies</w:t>
      </w:r>
      <w:r w:rsidRPr="00AB2881">
        <w:rPr>
          <w:rFonts w:cs="Segoe UI"/>
          <w:color w:val="auto"/>
        </w:rPr>
        <w:t xml:space="preserve">. Finally, Section </w:t>
      </w:r>
      <w:r w:rsidR="006076CA">
        <w:rPr>
          <w:rFonts w:cs="Segoe UI"/>
          <w:color w:val="auto"/>
        </w:rPr>
        <w:t>5</w:t>
      </w:r>
      <w:r w:rsidRPr="00AB2881">
        <w:rPr>
          <w:rFonts w:cs="Segoe UI"/>
          <w:color w:val="auto"/>
        </w:rPr>
        <w:t xml:space="preserve"> summarizes the findings and discusses the implications for future energy </w:t>
      </w:r>
      <w:r w:rsidR="00421CDB">
        <w:rPr>
          <w:rFonts w:cs="Segoe UI"/>
          <w:color w:val="auto"/>
        </w:rPr>
        <w:t>markets</w:t>
      </w:r>
      <w:r w:rsidRPr="00AB2881">
        <w:rPr>
          <w:rFonts w:cs="Segoe UI"/>
          <w:color w:val="auto"/>
        </w:rPr>
        <w:t>.</w:t>
      </w:r>
      <w:r w:rsidR="00AA49B5">
        <w:rPr>
          <w:rFonts w:cs="Segoe UI"/>
          <w:color w:val="auto"/>
        </w:rPr>
        <w:t xml:space="preserve"> </w:t>
      </w:r>
    </w:p>
    <w:p w14:paraId="371F4663" w14:textId="77777777" w:rsidR="002414DF" w:rsidRDefault="00A100EF" w:rsidP="00862F10">
      <w:pPr>
        <w:pStyle w:val="MDPI21heading1"/>
        <w:numPr>
          <w:ilvl w:val="0"/>
          <w:numId w:val="7"/>
        </w:numPr>
        <w:ind w:left="2835" w:hanging="283"/>
        <w:rPr>
          <w:color w:val="auto"/>
        </w:rPr>
      </w:pPr>
      <w:r>
        <w:rPr>
          <w:color w:val="auto"/>
        </w:rPr>
        <w:t>Electricity markets</w:t>
      </w:r>
      <w:r w:rsidR="00924989" w:rsidRPr="00647E1F">
        <w:rPr>
          <w:color w:val="auto"/>
        </w:rPr>
        <w:t xml:space="preserve"> </w:t>
      </w:r>
    </w:p>
    <w:p w14:paraId="1E4C89BE" w14:textId="1564152B" w:rsidR="002414DF" w:rsidRPr="000F570D" w:rsidRDefault="002414DF" w:rsidP="000F570D">
      <w:pPr>
        <w:pStyle w:val="MDPI31text"/>
      </w:pPr>
      <w:r w:rsidRPr="000F570D">
        <w:t xml:space="preserve">Market participants </w:t>
      </w:r>
      <w:r w:rsidR="00EC78BB">
        <w:t>can</w:t>
      </w:r>
      <w:r w:rsidRPr="000F570D">
        <w:t xml:space="preserve"> trade electricity across </w:t>
      </w:r>
      <w:r w:rsidR="00EC78BB">
        <w:t>five different market types [5]</w:t>
      </w:r>
      <w:r w:rsidRPr="000F570D">
        <w:t>:</w:t>
      </w:r>
    </w:p>
    <w:p w14:paraId="0CB77F41" w14:textId="59051798" w:rsidR="000F570D" w:rsidRDefault="002414DF" w:rsidP="00862F10">
      <w:pPr>
        <w:pStyle w:val="MDPI31text"/>
        <w:numPr>
          <w:ilvl w:val="0"/>
          <w:numId w:val="17"/>
        </w:numPr>
        <w:ind w:left="2977" w:hanging="283"/>
      </w:pPr>
      <w:r w:rsidRPr="000F570D">
        <w:t xml:space="preserve">Spot Markets – Agents submit bids (minimum </w:t>
      </w:r>
      <w:r w:rsidR="00A964D0">
        <w:t>0.</w:t>
      </w:r>
      <w:r w:rsidRPr="000F570D">
        <w:t>1 MW) to electricity pools through day-ahead and intraday marginal auctions.</w:t>
      </w:r>
    </w:p>
    <w:p w14:paraId="45D97365" w14:textId="77777777" w:rsidR="000F570D" w:rsidRDefault="002414DF" w:rsidP="00862F10">
      <w:pPr>
        <w:pStyle w:val="MDPI31text"/>
        <w:numPr>
          <w:ilvl w:val="0"/>
          <w:numId w:val="17"/>
        </w:numPr>
        <w:ind w:left="2977" w:hanging="283"/>
      </w:pPr>
      <w:r w:rsidRPr="000F570D">
        <w:t>Continuous Markets – Trading occurs in real time, with transactions settled up to 15 minutes before delivery.</w:t>
      </w:r>
    </w:p>
    <w:p w14:paraId="54F01146" w14:textId="77777777" w:rsidR="000F570D" w:rsidRDefault="002414DF" w:rsidP="00862F10">
      <w:pPr>
        <w:pStyle w:val="MDPI31text"/>
        <w:numPr>
          <w:ilvl w:val="0"/>
          <w:numId w:val="17"/>
        </w:numPr>
        <w:ind w:left="2977" w:hanging="283"/>
      </w:pPr>
      <w:r w:rsidRPr="000F570D">
        <w:t>Derivatives Markets – Includes forwards, futures, swaps, and options, allowing hedging against spot price volatility and consumption uncertainty.</w:t>
      </w:r>
    </w:p>
    <w:p w14:paraId="06634AD2" w14:textId="77777777" w:rsidR="000F570D" w:rsidRDefault="002414DF" w:rsidP="00862F10">
      <w:pPr>
        <w:pStyle w:val="MDPI31text"/>
        <w:numPr>
          <w:ilvl w:val="0"/>
          <w:numId w:val="17"/>
        </w:numPr>
        <w:ind w:left="2977" w:hanging="283"/>
      </w:pPr>
      <w:r w:rsidRPr="000F570D">
        <w:t>Non-Organized (Private Bilateral Contracts) – Agents negotiate directly, setting customized terms and conditions outside organized exchanges.</w:t>
      </w:r>
    </w:p>
    <w:p w14:paraId="33FF833C" w14:textId="4385FDB8" w:rsidR="002414DF" w:rsidRPr="000F570D" w:rsidRDefault="002414DF" w:rsidP="00862F10">
      <w:pPr>
        <w:pStyle w:val="MDPI31text"/>
        <w:numPr>
          <w:ilvl w:val="0"/>
          <w:numId w:val="17"/>
        </w:numPr>
        <w:ind w:left="2977" w:hanging="283"/>
      </w:pPr>
      <w:r w:rsidRPr="000F570D">
        <w:t>Ancillary Services Markets – Managed by Transmission System Operators (TSOs) to ensure system stability by balancing supply and demand deviations.</w:t>
      </w:r>
    </w:p>
    <w:p w14:paraId="55AEDDC6" w14:textId="40D2FA0D" w:rsidR="00D41151" w:rsidRDefault="000F570D" w:rsidP="00862F10">
      <w:pPr>
        <w:pStyle w:val="MDPI22heading2"/>
        <w:numPr>
          <w:ilvl w:val="1"/>
          <w:numId w:val="7"/>
        </w:numPr>
        <w:ind w:firstLine="1760"/>
      </w:pPr>
      <w:r>
        <w:t xml:space="preserve">European </w:t>
      </w:r>
      <w:r w:rsidR="00A964D0">
        <w:t>electricity m</w:t>
      </w:r>
      <w:r>
        <w:t>arkets</w:t>
      </w:r>
    </w:p>
    <w:p w14:paraId="64E8AE29" w14:textId="3F047959" w:rsidR="002414DF" w:rsidRPr="000F570D" w:rsidRDefault="002414DF" w:rsidP="000F570D">
      <w:pPr>
        <w:pStyle w:val="MDPI31text"/>
      </w:pPr>
      <w:r w:rsidRPr="000F570D">
        <w:t xml:space="preserve">In European electricity markets, the day-ahead market closes at noon (CET) the day before real-time operation (12–37 hours ahead). These markets are coupled and use </w:t>
      </w:r>
      <w:r w:rsidR="00EC78BB">
        <w:t xml:space="preserve">the </w:t>
      </w:r>
      <w:r w:rsidR="00EC78BB" w:rsidRPr="00EC78BB">
        <w:t xml:space="preserve">EU Pan-european Hybrid Electricity Market </w:t>
      </w:r>
      <w:r w:rsidR="00EC78BB">
        <w:t>(</w:t>
      </w:r>
      <w:r w:rsidRPr="000F570D">
        <w:t>EUPHEMIA</w:t>
      </w:r>
      <w:r w:rsidR="00EC78BB">
        <w:t>)</w:t>
      </w:r>
      <w:r w:rsidRPr="000F570D">
        <w:t>, a common marginal pricing algorithm that optimizes power flows between different market zones to maximize social welfare</w:t>
      </w:r>
      <w:r w:rsidR="00EC78BB">
        <w:t xml:space="preserve"> [5,31]</w:t>
      </w:r>
      <w:r w:rsidRPr="000F570D">
        <w:t>.</w:t>
      </w:r>
    </w:p>
    <w:p w14:paraId="4D6E4451" w14:textId="77777777" w:rsidR="002414DF" w:rsidRPr="000F570D" w:rsidRDefault="002414DF" w:rsidP="000F570D">
      <w:pPr>
        <w:pStyle w:val="MDPI31text"/>
      </w:pPr>
      <w:r w:rsidRPr="000F570D">
        <w:t>Energy trading also occurs in intraday markets, which consist of:</w:t>
      </w:r>
    </w:p>
    <w:p w14:paraId="511D8F2F" w14:textId="77777777" w:rsidR="000F570D" w:rsidRDefault="002414DF" w:rsidP="00862F10">
      <w:pPr>
        <w:pStyle w:val="MDPI31text"/>
        <w:numPr>
          <w:ilvl w:val="0"/>
          <w:numId w:val="18"/>
        </w:numPr>
        <w:ind w:left="2977" w:hanging="283"/>
      </w:pPr>
      <w:r w:rsidRPr="000F570D">
        <w:lastRenderedPageBreak/>
        <w:t>Intraday Auctions – Conducted a few hours before real-time operation.</w:t>
      </w:r>
    </w:p>
    <w:p w14:paraId="1BC4C9BE" w14:textId="26BADE18" w:rsidR="002414DF" w:rsidRPr="000F570D" w:rsidRDefault="002414DF" w:rsidP="00862F10">
      <w:pPr>
        <w:pStyle w:val="MDPI31text"/>
        <w:numPr>
          <w:ilvl w:val="0"/>
          <w:numId w:val="18"/>
        </w:numPr>
        <w:ind w:left="2977" w:hanging="283"/>
      </w:pPr>
      <w:r w:rsidRPr="000F570D">
        <w:t>Continuous Trading – Operates on a pay-as-bid basis, allowing transactions up to 15 minutes before real-time delivery.</w:t>
      </w:r>
    </w:p>
    <w:p w14:paraId="26B3FCEF" w14:textId="0B13228E" w:rsidR="002414DF" w:rsidRPr="000F570D" w:rsidRDefault="002414DF" w:rsidP="000F570D">
      <w:pPr>
        <w:pStyle w:val="MDPI31text"/>
      </w:pPr>
      <w:r w:rsidRPr="000F570D">
        <w:t>In derivatives markets, agents can enter financial or physical contracts via clearing houses (organized exchanges) or over-the-counter trading to hedge against spot price volatility.</w:t>
      </w:r>
      <w:r w:rsidR="000F570D">
        <w:t xml:space="preserve"> </w:t>
      </w:r>
      <w:r w:rsidRPr="000F570D">
        <w:t>For non-standard agreements, private bilateral contracts</w:t>
      </w:r>
      <w:r w:rsidR="00EC78BB">
        <w:t xml:space="preserve"> </w:t>
      </w:r>
      <w:r w:rsidR="00EC78BB" w:rsidRPr="000F570D">
        <w:t>allow direct negotiations between parties</w:t>
      </w:r>
      <w:r w:rsidR="00EC78BB">
        <w:t>, such as power purchase agreements</w:t>
      </w:r>
      <w:r w:rsidRPr="000F570D">
        <w:t xml:space="preserve"> </w:t>
      </w:r>
      <w:r w:rsidR="00EC78BB">
        <w:t>[3</w:t>
      </w:r>
      <w:r w:rsidR="005C0F64">
        <w:t>,16</w:t>
      </w:r>
      <w:r w:rsidR="00EC78BB">
        <w:t>]</w:t>
      </w:r>
      <w:r w:rsidRPr="000F570D">
        <w:t>.</w:t>
      </w:r>
    </w:p>
    <w:p w14:paraId="7CF70EBB" w14:textId="175DB443" w:rsidR="002414DF" w:rsidRPr="000F570D" w:rsidRDefault="002414DF" w:rsidP="000F570D">
      <w:pPr>
        <w:pStyle w:val="MDPI31text"/>
      </w:pPr>
      <w:r w:rsidRPr="000F570D">
        <w:t xml:space="preserve">Since many market participants—such as </w:t>
      </w:r>
      <w:r w:rsidR="005D51A1">
        <w:t>retailers, energy communities</w:t>
      </w:r>
      <w:r w:rsidRPr="000F570D">
        <w:t xml:space="preserve"> and </w:t>
      </w:r>
      <w:r w:rsidR="005D51A1">
        <w:t>vRES</w:t>
      </w:r>
      <w:r w:rsidRPr="000F570D">
        <w:t xml:space="preserve"> generators without storage—face real-time deviations from their programmed schedules, TSOs manage balancing markets to ensure system security. Balancing Responsible Parties (BRPs) must cover the costs of their upward or downward balancing deviations, which often result in financial penalties relative to spot market prices</w:t>
      </w:r>
      <w:r w:rsidR="00EC78BB">
        <w:t xml:space="preserve"> [11,32]</w:t>
      </w:r>
      <w:r w:rsidRPr="000F570D">
        <w:t>.</w:t>
      </w:r>
    </w:p>
    <w:p w14:paraId="2CFD04D6" w14:textId="363F485D" w:rsidR="002414DF" w:rsidRPr="000F570D" w:rsidRDefault="002414DF" w:rsidP="000F570D">
      <w:pPr>
        <w:pStyle w:val="MDPI31text"/>
      </w:pPr>
      <w:r w:rsidRPr="000F570D">
        <w:t>European power grids must maintain a stable frequency of 50 Hz, with a secure oscillation range of ±0.1%. If deviations exceed 0.5%, outages and separations of control areas may occur. When deviations reach 0.1%, balancing reserves are automatically activated to restore stability</w:t>
      </w:r>
      <w:r w:rsidR="00EC78BB">
        <w:t xml:space="preserve"> [11,33]</w:t>
      </w:r>
      <w:r w:rsidRPr="000F570D">
        <w:t>.</w:t>
      </w:r>
    </w:p>
    <w:p w14:paraId="3BE7D75C" w14:textId="77777777" w:rsidR="002414DF" w:rsidRPr="000F570D" w:rsidRDefault="002414DF" w:rsidP="000F570D">
      <w:pPr>
        <w:pStyle w:val="MDPI31text"/>
      </w:pPr>
      <w:r w:rsidRPr="000F570D">
        <w:t>Europe utilizes four main balancing mechanisms to regulate frequency deviations:</w:t>
      </w:r>
    </w:p>
    <w:p w14:paraId="35FDF3FE" w14:textId="6166C3FC" w:rsidR="000F570D" w:rsidRDefault="002414DF" w:rsidP="00862F10">
      <w:pPr>
        <w:pStyle w:val="MDPI31text"/>
        <w:numPr>
          <w:ilvl w:val="0"/>
          <w:numId w:val="19"/>
        </w:numPr>
        <w:ind w:left="3119" w:hanging="284"/>
      </w:pPr>
      <w:r w:rsidRPr="000F570D">
        <w:t>Frequency Containment Reserve (FCR)</w:t>
      </w:r>
      <w:r w:rsidR="000F570D">
        <w:t>:</w:t>
      </w:r>
    </w:p>
    <w:p w14:paraId="18A3C5C1" w14:textId="77777777" w:rsidR="000F570D" w:rsidRDefault="002414DF" w:rsidP="00862F10">
      <w:pPr>
        <w:pStyle w:val="MDPI31text"/>
        <w:numPr>
          <w:ilvl w:val="1"/>
          <w:numId w:val="19"/>
        </w:numPr>
        <w:ind w:left="3261" w:hanging="142"/>
      </w:pPr>
      <w:r w:rsidRPr="000F570D">
        <w:t>First response mechanism, activated within 15 seconds to counteract frequency disturbances.</w:t>
      </w:r>
    </w:p>
    <w:p w14:paraId="7659E5CC" w14:textId="2150178A" w:rsidR="002414DF" w:rsidRPr="000F570D" w:rsidRDefault="002414DF" w:rsidP="00862F10">
      <w:pPr>
        <w:pStyle w:val="MDPI31text"/>
        <w:numPr>
          <w:ilvl w:val="1"/>
          <w:numId w:val="19"/>
        </w:numPr>
        <w:ind w:left="3261" w:hanging="142"/>
      </w:pPr>
      <w:r w:rsidRPr="000F570D">
        <w:t>European synchronous grid reserves 3,000 MW for FCR to maintain system stability.</w:t>
      </w:r>
    </w:p>
    <w:p w14:paraId="71D1C410" w14:textId="31C786CF" w:rsidR="002414DF" w:rsidRPr="000F570D" w:rsidRDefault="002414DF" w:rsidP="00862F10">
      <w:pPr>
        <w:pStyle w:val="MDPI31text"/>
        <w:numPr>
          <w:ilvl w:val="0"/>
          <w:numId w:val="19"/>
        </w:numPr>
        <w:ind w:left="3119" w:hanging="284"/>
      </w:pPr>
      <w:r w:rsidRPr="000F570D">
        <w:t>Automatic Frequency Restoration Reserve (aFRR)</w:t>
      </w:r>
      <w:r w:rsidR="000F570D">
        <w:t>:</w:t>
      </w:r>
    </w:p>
    <w:p w14:paraId="2714F39E" w14:textId="77777777" w:rsidR="000F570D" w:rsidRDefault="002414DF" w:rsidP="00862F10">
      <w:pPr>
        <w:pStyle w:val="MDPI31text"/>
        <w:numPr>
          <w:ilvl w:val="1"/>
          <w:numId w:val="19"/>
        </w:numPr>
        <w:ind w:left="3261" w:hanging="142"/>
      </w:pPr>
      <w:r w:rsidRPr="000F570D">
        <w:t>Activated within 30 seconds, replacing FCR.</w:t>
      </w:r>
    </w:p>
    <w:p w14:paraId="36DF569E" w14:textId="77777777" w:rsidR="000F570D" w:rsidRDefault="002414DF" w:rsidP="00862F10">
      <w:pPr>
        <w:pStyle w:val="MDPI31text"/>
        <w:numPr>
          <w:ilvl w:val="1"/>
          <w:numId w:val="19"/>
        </w:numPr>
        <w:ind w:left="3261" w:hanging="142"/>
      </w:pPr>
      <w:r w:rsidRPr="000F570D">
        <w:t>Maintains grid frequency stability for up to 15 minutes.</w:t>
      </w:r>
    </w:p>
    <w:p w14:paraId="0A3B8A80" w14:textId="7A473EBA" w:rsidR="002414DF" w:rsidRPr="000F570D" w:rsidRDefault="002414DF" w:rsidP="00862F10">
      <w:pPr>
        <w:pStyle w:val="MDPI31text"/>
        <w:numPr>
          <w:ilvl w:val="1"/>
          <w:numId w:val="19"/>
        </w:numPr>
        <w:ind w:left="3261" w:hanging="142"/>
      </w:pPr>
      <w:r w:rsidRPr="000F570D">
        <w:t>TSOs define a power band for each period, with symmetric band requirements set by ENTSO-E</w:t>
      </w:r>
      <w:r w:rsidR="000F570D">
        <w:t xml:space="preserve"> or set by each TSO according its own methodology</w:t>
      </w:r>
      <w:r w:rsidRPr="000F570D">
        <w:t>.</w:t>
      </w:r>
    </w:p>
    <w:p w14:paraId="293CF4D8" w14:textId="24D1ADCA" w:rsidR="002414DF" w:rsidRPr="000F570D" w:rsidRDefault="002414DF" w:rsidP="00862F10">
      <w:pPr>
        <w:pStyle w:val="MDPI31text"/>
        <w:numPr>
          <w:ilvl w:val="0"/>
          <w:numId w:val="19"/>
        </w:numPr>
        <w:ind w:left="3119" w:hanging="284"/>
      </w:pPr>
      <w:r w:rsidRPr="000F570D">
        <w:t>Manual Frequency Restoration Reserve (mFRR)</w:t>
      </w:r>
      <w:r w:rsidR="000F570D">
        <w:t>:</w:t>
      </w:r>
    </w:p>
    <w:p w14:paraId="7A232FA5" w14:textId="77777777" w:rsidR="000F570D" w:rsidRDefault="002414DF" w:rsidP="00862F10">
      <w:pPr>
        <w:pStyle w:val="MDPI31text"/>
        <w:numPr>
          <w:ilvl w:val="1"/>
          <w:numId w:val="19"/>
        </w:numPr>
        <w:ind w:left="3261" w:hanging="142"/>
      </w:pPr>
      <w:r w:rsidRPr="000F570D">
        <w:t>Used after aFRR to support extended balancing needs.</w:t>
      </w:r>
    </w:p>
    <w:p w14:paraId="7B8469E4" w14:textId="77777777" w:rsidR="000F570D" w:rsidRDefault="002414DF" w:rsidP="00862F10">
      <w:pPr>
        <w:pStyle w:val="MDPI31text"/>
        <w:numPr>
          <w:ilvl w:val="1"/>
          <w:numId w:val="19"/>
        </w:numPr>
        <w:ind w:left="3261" w:hanging="142"/>
      </w:pPr>
      <w:r w:rsidRPr="000F570D">
        <w:t>Addresses medium- and long-term deviations caused by generation or load fluctuations.</w:t>
      </w:r>
    </w:p>
    <w:p w14:paraId="34505686" w14:textId="23407991" w:rsidR="002414DF" w:rsidRPr="000F570D" w:rsidRDefault="002414DF" w:rsidP="00862F10">
      <w:pPr>
        <w:pStyle w:val="MDPI31text"/>
        <w:numPr>
          <w:ilvl w:val="1"/>
          <w:numId w:val="19"/>
        </w:numPr>
        <w:ind w:left="3261" w:hanging="142"/>
      </w:pPr>
      <w:r w:rsidRPr="000F570D">
        <w:t>TSOs activate 15-minute market blocks, allowing generators to bid in auctions.</w:t>
      </w:r>
    </w:p>
    <w:p w14:paraId="09143344" w14:textId="5FB86688" w:rsidR="002414DF" w:rsidRPr="000F570D" w:rsidRDefault="002414DF" w:rsidP="00862F10">
      <w:pPr>
        <w:pStyle w:val="MDPI31text"/>
        <w:numPr>
          <w:ilvl w:val="0"/>
          <w:numId w:val="19"/>
        </w:numPr>
        <w:ind w:left="3119" w:hanging="284"/>
      </w:pPr>
      <w:r w:rsidRPr="000F570D">
        <w:t>Replacement Reserve (RR)</w:t>
      </w:r>
      <w:r w:rsidR="000F570D">
        <w:t>:</w:t>
      </w:r>
    </w:p>
    <w:p w14:paraId="5961537F" w14:textId="77777777" w:rsidR="00A964D0" w:rsidRDefault="002414DF" w:rsidP="00862F10">
      <w:pPr>
        <w:pStyle w:val="MDPI31text"/>
        <w:numPr>
          <w:ilvl w:val="1"/>
          <w:numId w:val="19"/>
        </w:numPr>
        <w:ind w:left="3261" w:hanging="142"/>
      </w:pPr>
      <w:r w:rsidRPr="000F570D">
        <w:t>Used for long-term disturbances beyond aFRR and mFRR capabilities.</w:t>
      </w:r>
    </w:p>
    <w:p w14:paraId="648537D3" w14:textId="77777777" w:rsidR="00A964D0" w:rsidRDefault="002414DF" w:rsidP="00862F10">
      <w:pPr>
        <w:pStyle w:val="MDPI31text"/>
        <w:numPr>
          <w:ilvl w:val="1"/>
          <w:numId w:val="19"/>
        </w:numPr>
        <w:ind w:left="3261" w:hanging="142"/>
      </w:pPr>
      <w:r w:rsidRPr="000F570D">
        <w:t>Activated within 15 minutes and remains active for several hours.</w:t>
      </w:r>
    </w:p>
    <w:p w14:paraId="5CCD3472" w14:textId="23613D9B" w:rsidR="002414DF" w:rsidRPr="000F570D" w:rsidRDefault="002414DF" w:rsidP="00862F10">
      <w:pPr>
        <w:pStyle w:val="MDPI31text"/>
        <w:numPr>
          <w:ilvl w:val="1"/>
          <w:numId w:val="19"/>
        </w:numPr>
        <w:ind w:left="3261" w:hanging="142"/>
      </w:pPr>
      <w:r w:rsidRPr="000F570D">
        <w:t>Typically managed through bilateral agreements between TSOs and providers, rather than real-time market activations.</w:t>
      </w:r>
    </w:p>
    <w:p w14:paraId="464F006E" w14:textId="35FB2A1F" w:rsidR="00C9290D" w:rsidRDefault="00EC78BB" w:rsidP="00A964D0">
      <w:pPr>
        <w:pStyle w:val="MDPI31text"/>
      </w:pPr>
      <w:r>
        <w:t>BMs</w:t>
      </w:r>
      <w:r w:rsidR="00D41151">
        <w:t xml:space="preserve"> </w:t>
      </w:r>
      <w:r w:rsidR="002414DF" w:rsidRPr="000F570D">
        <w:t>reserves are traded directly between TSOs and providers.</w:t>
      </w:r>
      <w:r w:rsidR="00A964D0">
        <w:t xml:space="preserve"> </w:t>
      </w:r>
      <w:r w:rsidR="002414DF" w:rsidRPr="000F570D">
        <w:t>Upward regulation providers receive the up-regulation price, while downward regulation providers pay</w:t>
      </w:r>
      <w:r w:rsidR="00A964D0">
        <w:t xml:space="preserve"> the down-regulation price. </w:t>
      </w:r>
      <w:r w:rsidR="002414DF" w:rsidRPr="000F570D">
        <w:t>Imbalance settlement costs are assigned to BRPs that deviate from their scheduled dispatch</w:t>
      </w:r>
      <w:r w:rsidR="00A964D0">
        <w:t xml:space="preserve">. </w:t>
      </w:r>
      <w:r w:rsidR="002414DF" w:rsidRPr="000F570D">
        <w:t>Typically, upward regulation prices exceed spot prices, while downward regulation prices</w:t>
      </w:r>
      <w:r w:rsidR="00A964D0">
        <w:t xml:space="preserve"> are lower. </w:t>
      </w:r>
      <w:r w:rsidR="002414DF" w:rsidRPr="000F570D">
        <w:t xml:space="preserve">In some cases, BRPs may receive compensation instead of penalties, </w:t>
      </w:r>
      <w:r w:rsidR="00A964D0">
        <w:t>depending on market conditions</w:t>
      </w:r>
      <w:r>
        <w:t xml:space="preserve"> [11,34,35]</w:t>
      </w:r>
      <w:r w:rsidR="00A964D0">
        <w:t>.</w:t>
      </w:r>
    </w:p>
    <w:p w14:paraId="7A0B89B4" w14:textId="3AC841FB" w:rsidR="00A964D0" w:rsidRDefault="00A964D0" w:rsidP="00862F10">
      <w:pPr>
        <w:pStyle w:val="MDPI22heading2"/>
        <w:numPr>
          <w:ilvl w:val="1"/>
          <w:numId w:val="7"/>
        </w:numPr>
        <w:ind w:firstLine="1760"/>
      </w:pPr>
      <w:r>
        <w:t>Portuguese electricity markets</w:t>
      </w:r>
    </w:p>
    <w:p w14:paraId="64B8FEAF" w14:textId="74740301" w:rsidR="00A964D0" w:rsidRPr="00A964D0" w:rsidRDefault="00A964D0" w:rsidP="00A964D0">
      <w:pPr>
        <w:pStyle w:val="MDPI31text"/>
      </w:pPr>
      <w:r w:rsidRPr="00A964D0">
        <w:t xml:space="preserve">In Portugal and Spain are part of the </w:t>
      </w:r>
      <w:r w:rsidR="00B320ED">
        <w:rPr>
          <w:bCs/>
        </w:rPr>
        <w:t>MIBEL</w:t>
      </w:r>
      <w:r w:rsidRPr="00A964D0">
        <w:t xml:space="preserve">. MIBEL oversees </w:t>
      </w:r>
      <w:r w:rsidRPr="00A964D0">
        <w:rPr>
          <w:bCs/>
        </w:rPr>
        <w:t>spot, derivatives, and bilateral markets</w:t>
      </w:r>
      <w:r w:rsidRPr="00A964D0">
        <w:t xml:space="preserve">, while </w:t>
      </w:r>
      <w:r w:rsidRPr="00A964D0">
        <w:rPr>
          <w:bCs/>
        </w:rPr>
        <w:t>ancillary services</w:t>
      </w:r>
      <w:r w:rsidRPr="00A964D0">
        <w:t xml:space="preserve"> remain independent for each country and are managed by their respective </w:t>
      </w:r>
      <w:r>
        <w:rPr>
          <w:bCs/>
        </w:rPr>
        <w:t>TSOs</w:t>
      </w:r>
      <w:r w:rsidRPr="00A964D0">
        <w:t xml:space="preserve">. However, certain ancillary services can be </w:t>
      </w:r>
      <w:r w:rsidRPr="00A964D0">
        <w:rPr>
          <w:bCs/>
        </w:rPr>
        <w:t>traded between TSOs</w:t>
      </w:r>
      <w:r w:rsidRPr="00A964D0">
        <w:t xml:space="preserve"> for system balancing.</w:t>
      </w:r>
    </w:p>
    <w:p w14:paraId="6FF46888" w14:textId="6872E93C" w:rsidR="00A964D0" w:rsidRPr="00A964D0" w:rsidRDefault="00A964D0" w:rsidP="00A964D0">
      <w:pPr>
        <w:pStyle w:val="MDPI31text"/>
        <w:rPr>
          <w:szCs w:val="24"/>
        </w:rPr>
      </w:pPr>
      <w:r w:rsidRPr="00A964D0">
        <w:rPr>
          <w:szCs w:val="24"/>
        </w:rPr>
        <w:t xml:space="preserve">Portugal follows the </w:t>
      </w:r>
      <w:r w:rsidRPr="00A964D0">
        <w:rPr>
          <w:bCs/>
          <w:szCs w:val="24"/>
        </w:rPr>
        <w:t>European frequency reserve framework</w:t>
      </w:r>
      <w:r w:rsidRPr="00A964D0">
        <w:rPr>
          <w:szCs w:val="24"/>
        </w:rPr>
        <w:t xml:space="preserve"> for continuous balancing, with the following specifications</w:t>
      </w:r>
      <w:r w:rsidR="00EC78BB">
        <w:rPr>
          <w:szCs w:val="24"/>
        </w:rPr>
        <w:t xml:space="preserve"> [11,12,35-37]</w:t>
      </w:r>
      <w:r w:rsidRPr="00A964D0">
        <w:rPr>
          <w:szCs w:val="24"/>
        </w:rPr>
        <w:t>:</w:t>
      </w:r>
    </w:p>
    <w:p w14:paraId="0E5B148F" w14:textId="25278447" w:rsidR="00A964D0" w:rsidRPr="00EA083A" w:rsidRDefault="00EA083A" w:rsidP="00862F10">
      <w:pPr>
        <w:pStyle w:val="MDPI31text"/>
        <w:numPr>
          <w:ilvl w:val="0"/>
          <w:numId w:val="20"/>
        </w:numPr>
        <w:ind w:left="3119" w:hanging="284"/>
      </w:pPr>
      <w:r>
        <w:t>FCR:</w:t>
      </w:r>
    </w:p>
    <w:p w14:paraId="7888E9D6" w14:textId="77777777" w:rsidR="00EA083A" w:rsidRDefault="00A964D0" w:rsidP="00862F10">
      <w:pPr>
        <w:pStyle w:val="MDPI31text"/>
        <w:numPr>
          <w:ilvl w:val="1"/>
          <w:numId w:val="19"/>
        </w:numPr>
        <w:ind w:left="3261" w:hanging="142"/>
      </w:pPr>
      <w:r w:rsidRPr="00EA083A">
        <w:t>FCR is mandatory and non-remunerated for all technically capable generators connected to the grid.</w:t>
      </w:r>
    </w:p>
    <w:p w14:paraId="048EF591" w14:textId="77777777" w:rsidR="00EA083A" w:rsidRDefault="00A964D0" w:rsidP="00862F10">
      <w:pPr>
        <w:pStyle w:val="MDPI31text"/>
        <w:numPr>
          <w:ilvl w:val="1"/>
          <w:numId w:val="19"/>
        </w:numPr>
        <w:ind w:left="3261" w:hanging="142"/>
      </w:pPr>
      <w:r w:rsidRPr="00EA083A">
        <w:rPr>
          <w:szCs w:val="24"/>
        </w:rPr>
        <w:lastRenderedPageBreak/>
        <w:t xml:space="preserve">Generators must </w:t>
      </w:r>
      <w:r w:rsidRPr="00EA083A">
        <w:rPr>
          <w:bCs/>
          <w:szCs w:val="24"/>
        </w:rPr>
        <w:t>reserve 5% of their nominal power</w:t>
      </w:r>
      <w:r w:rsidRPr="00EA083A">
        <w:rPr>
          <w:szCs w:val="24"/>
        </w:rPr>
        <w:t xml:space="preserve"> under stable conditions to support FCR.</w:t>
      </w:r>
    </w:p>
    <w:p w14:paraId="2FD3B674" w14:textId="7DF807BF" w:rsidR="00A964D0" w:rsidRPr="00EA083A" w:rsidRDefault="00A964D0" w:rsidP="00862F10">
      <w:pPr>
        <w:pStyle w:val="MDPI31text"/>
        <w:numPr>
          <w:ilvl w:val="1"/>
          <w:numId w:val="19"/>
        </w:numPr>
        <w:ind w:left="3261" w:hanging="142"/>
      </w:pPr>
      <w:r w:rsidRPr="00EA083A">
        <w:rPr>
          <w:szCs w:val="24"/>
        </w:rPr>
        <w:t xml:space="preserve">Portugal contributes to the </w:t>
      </w:r>
      <w:r w:rsidRPr="00EA083A">
        <w:rPr>
          <w:bCs/>
          <w:szCs w:val="24"/>
        </w:rPr>
        <w:t>continental European synchronous grid</w:t>
      </w:r>
      <w:r w:rsidRPr="00EA083A">
        <w:rPr>
          <w:szCs w:val="24"/>
        </w:rPr>
        <w:t>.</w:t>
      </w:r>
    </w:p>
    <w:p w14:paraId="680B44D9" w14:textId="33114290" w:rsidR="00A964D0" w:rsidRPr="00EA083A" w:rsidRDefault="00EA083A" w:rsidP="00862F10">
      <w:pPr>
        <w:pStyle w:val="MDPI31text"/>
        <w:numPr>
          <w:ilvl w:val="0"/>
          <w:numId w:val="20"/>
        </w:numPr>
        <w:ind w:left="3119" w:hanging="284"/>
      </w:pPr>
      <w:r>
        <w:t>aFRR:</w:t>
      </w:r>
    </w:p>
    <w:p w14:paraId="6286B499" w14:textId="77777777" w:rsidR="00EA083A" w:rsidRDefault="00A964D0" w:rsidP="00862F10">
      <w:pPr>
        <w:pStyle w:val="MDPI31text"/>
        <w:numPr>
          <w:ilvl w:val="1"/>
          <w:numId w:val="19"/>
        </w:numPr>
        <w:ind w:left="3261" w:hanging="142"/>
        <w:rPr>
          <w:szCs w:val="24"/>
        </w:rPr>
      </w:pPr>
      <w:r w:rsidRPr="00A964D0">
        <w:rPr>
          <w:szCs w:val="24"/>
        </w:rPr>
        <w:t xml:space="preserve">The Portuguese </w:t>
      </w:r>
      <w:r w:rsidRPr="00EA083A">
        <w:rPr>
          <w:szCs w:val="24"/>
        </w:rPr>
        <w:t>TSO requires an asymmetrical aFRR power band</w:t>
      </w:r>
      <w:r w:rsidRPr="00A964D0">
        <w:rPr>
          <w:szCs w:val="24"/>
        </w:rPr>
        <w:t xml:space="preserve">, where </w:t>
      </w:r>
      <w:r w:rsidRPr="00EA083A">
        <w:rPr>
          <w:szCs w:val="24"/>
        </w:rPr>
        <w:t>up-regulation capacity is twice the down-regulation capacity</w:t>
      </w:r>
      <w:r w:rsidRPr="00A964D0">
        <w:rPr>
          <w:szCs w:val="24"/>
        </w:rPr>
        <w:t>.</w:t>
      </w:r>
    </w:p>
    <w:p w14:paraId="390899B3" w14:textId="77777777" w:rsidR="00EA083A" w:rsidRDefault="00A964D0" w:rsidP="00862F10">
      <w:pPr>
        <w:pStyle w:val="MDPI31text"/>
        <w:numPr>
          <w:ilvl w:val="1"/>
          <w:numId w:val="19"/>
        </w:numPr>
        <w:ind w:left="3261" w:hanging="142"/>
        <w:rPr>
          <w:szCs w:val="24"/>
        </w:rPr>
      </w:pPr>
      <w:r w:rsidRPr="00EA083A">
        <w:rPr>
          <w:szCs w:val="24"/>
        </w:rPr>
        <w:t xml:space="preserve">Historically, </w:t>
      </w:r>
      <w:r w:rsidRPr="00EA083A">
        <w:rPr>
          <w:bCs/>
          <w:szCs w:val="24"/>
        </w:rPr>
        <w:t>Portugal's aFRR power band is more used for up-regulation than down-regulation</w:t>
      </w:r>
      <w:r w:rsidRPr="00EA083A">
        <w:rPr>
          <w:szCs w:val="24"/>
        </w:rPr>
        <w:t>.</w:t>
      </w:r>
    </w:p>
    <w:p w14:paraId="7EDEE02C" w14:textId="77777777" w:rsidR="00EA083A" w:rsidRDefault="00A964D0" w:rsidP="00862F10">
      <w:pPr>
        <w:pStyle w:val="MDPI31text"/>
        <w:numPr>
          <w:ilvl w:val="1"/>
          <w:numId w:val="19"/>
        </w:numPr>
        <w:ind w:left="3261" w:hanging="142"/>
        <w:rPr>
          <w:szCs w:val="24"/>
        </w:rPr>
      </w:pPr>
      <w:r w:rsidRPr="00EA083A">
        <w:rPr>
          <w:szCs w:val="24"/>
        </w:rPr>
        <w:t xml:space="preserve">To align with </w:t>
      </w:r>
      <w:r w:rsidRPr="00EA083A">
        <w:rPr>
          <w:bCs/>
          <w:szCs w:val="24"/>
        </w:rPr>
        <w:t>ENTSO-E guidelines</w:t>
      </w:r>
      <w:r w:rsidRPr="00EA083A">
        <w:rPr>
          <w:szCs w:val="24"/>
        </w:rPr>
        <w:t xml:space="preserve">, Portugal’s </w:t>
      </w:r>
      <w:r w:rsidRPr="00EA083A">
        <w:rPr>
          <w:bCs/>
          <w:szCs w:val="24"/>
        </w:rPr>
        <w:t>TSO upscales up-regulation capacity to 60%</w:t>
      </w:r>
      <w:r w:rsidRPr="00EA083A">
        <w:rPr>
          <w:szCs w:val="24"/>
        </w:rPr>
        <w:t xml:space="preserve"> and </w:t>
      </w:r>
      <w:r w:rsidRPr="00EA083A">
        <w:rPr>
          <w:bCs/>
          <w:szCs w:val="24"/>
        </w:rPr>
        <w:t>downscales down-regulation to 40%</w:t>
      </w:r>
      <w:r w:rsidRPr="00EA083A">
        <w:rPr>
          <w:szCs w:val="24"/>
        </w:rPr>
        <w:t>.</w:t>
      </w:r>
    </w:p>
    <w:p w14:paraId="001342CB" w14:textId="77777777" w:rsidR="00EA083A" w:rsidRDefault="00A964D0" w:rsidP="00862F10">
      <w:pPr>
        <w:pStyle w:val="MDPI31text"/>
        <w:numPr>
          <w:ilvl w:val="1"/>
          <w:numId w:val="19"/>
        </w:numPr>
        <w:ind w:left="3261" w:hanging="142"/>
        <w:rPr>
          <w:szCs w:val="24"/>
        </w:rPr>
      </w:pPr>
      <w:r w:rsidRPr="00EA083A">
        <w:rPr>
          <w:bCs/>
          <w:szCs w:val="24"/>
        </w:rPr>
        <w:t>Hourly aFRR capacity auctions</w:t>
      </w:r>
      <w:r w:rsidRPr="00EA083A">
        <w:rPr>
          <w:szCs w:val="24"/>
        </w:rPr>
        <w:t xml:space="preserve"> are held, allowing all technically capable generators to participate.</w:t>
      </w:r>
    </w:p>
    <w:p w14:paraId="313EA2B6" w14:textId="77777777" w:rsidR="00EA083A" w:rsidRDefault="00A964D0" w:rsidP="00862F10">
      <w:pPr>
        <w:pStyle w:val="MDPI31text"/>
        <w:numPr>
          <w:ilvl w:val="1"/>
          <w:numId w:val="19"/>
        </w:numPr>
        <w:ind w:left="3261" w:hanging="142"/>
        <w:rPr>
          <w:szCs w:val="24"/>
        </w:rPr>
      </w:pPr>
      <w:r w:rsidRPr="00EA083A">
        <w:rPr>
          <w:bCs/>
          <w:szCs w:val="24"/>
        </w:rPr>
        <w:t>Generators must offer both up-regulation and down-regulation</w:t>
      </w:r>
      <w:r w:rsidRPr="00EA083A">
        <w:rPr>
          <w:szCs w:val="24"/>
        </w:rPr>
        <w:t xml:space="preserve">, with </w:t>
      </w:r>
      <w:r w:rsidRPr="00EA083A">
        <w:rPr>
          <w:bCs/>
          <w:szCs w:val="24"/>
        </w:rPr>
        <w:t>up capacity being twice the down capacity</w:t>
      </w:r>
      <w:r w:rsidRPr="00EA083A">
        <w:rPr>
          <w:szCs w:val="24"/>
        </w:rPr>
        <w:t>.</w:t>
      </w:r>
    </w:p>
    <w:p w14:paraId="25B59718" w14:textId="77777777" w:rsidR="00EA083A" w:rsidRDefault="00A964D0" w:rsidP="00862F10">
      <w:pPr>
        <w:pStyle w:val="MDPI31text"/>
        <w:numPr>
          <w:ilvl w:val="1"/>
          <w:numId w:val="19"/>
        </w:numPr>
        <w:ind w:left="3261" w:hanging="142"/>
        <w:rPr>
          <w:szCs w:val="24"/>
        </w:rPr>
      </w:pPr>
      <w:r w:rsidRPr="00EA083A">
        <w:rPr>
          <w:bCs/>
          <w:szCs w:val="24"/>
        </w:rPr>
        <w:t>Due to limited competition</w:t>
      </w:r>
      <w:r w:rsidRPr="00EA083A">
        <w:rPr>
          <w:szCs w:val="24"/>
        </w:rPr>
        <w:t xml:space="preserve">, </w:t>
      </w:r>
      <w:r w:rsidRPr="00EA083A">
        <w:rPr>
          <w:bCs/>
          <w:szCs w:val="24"/>
        </w:rPr>
        <w:t>combined cycle gas turbines (CCGTs) dominate the aFRR market</w:t>
      </w:r>
      <w:r w:rsidRPr="00EA083A">
        <w:rPr>
          <w:szCs w:val="24"/>
        </w:rPr>
        <w:t>.</w:t>
      </w:r>
    </w:p>
    <w:p w14:paraId="6B772815" w14:textId="18BC2F61" w:rsidR="00A964D0" w:rsidRPr="00EA083A" w:rsidRDefault="00A964D0" w:rsidP="00862F10">
      <w:pPr>
        <w:pStyle w:val="MDPI31text"/>
        <w:numPr>
          <w:ilvl w:val="1"/>
          <w:numId w:val="19"/>
        </w:numPr>
        <w:ind w:left="3261" w:hanging="142"/>
        <w:rPr>
          <w:szCs w:val="24"/>
        </w:rPr>
      </w:pPr>
      <w:r w:rsidRPr="00EA083A">
        <w:rPr>
          <w:szCs w:val="24"/>
        </w:rPr>
        <w:t xml:space="preserve">The </w:t>
      </w:r>
      <w:r w:rsidRPr="00EA083A">
        <w:rPr>
          <w:bCs/>
          <w:szCs w:val="24"/>
        </w:rPr>
        <w:t xml:space="preserve">price of </w:t>
      </w:r>
      <w:r w:rsidR="00EA083A">
        <w:rPr>
          <w:bCs/>
          <w:szCs w:val="24"/>
        </w:rPr>
        <w:t xml:space="preserve">upwards </w:t>
      </w:r>
      <w:r w:rsidRPr="00EA083A">
        <w:rPr>
          <w:bCs/>
          <w:szCs w:val="24"/>
        </w:rPr>
        <w:t>aFRR energy is regulated</w:t>
      </w:r>
      <w:r w:rsidRPr="00EA083A">
        <w:rPr>
          <w:szCs w:val="24"/>
        </w:rPr>
        <w:t xml:space="preserve"> and set by the national regulator.</w:t>
      </w:r>
    </w:p>
    <w:p w14:paraId="5549AF07" w14:textId="76B46FEE" w:rsidR="00A964D0" w:rsidRPr="00EA083A" w:rsidRDefault="00A964D0" w:rsidP="00862F10">
      <w:pPr>
        <w:pStyle w:val="MDPI31text"/>
        <w:numPr>
          <w:ilvl w:val="0"/>
          <w:numId w:val="20"/>
        </w:numPr>
        <w:ind w:left="3119" w:hanging="284"/>
      </w:pPr>
      <w:r w:rsidRPr="00EA083A">
        <w:t>mFRR</w:t>
      </w:r>
      <w:r w:rsidR="00EA083A">
        <w:t>:</w:t>
      </w:r>
    </w:p>
    <w:p w14:paraId="7C2D2CCD" w14:textId="77777777" w:rsidR="00EA083A" w:rsidRDefault="00A964D0" w:rsidP="00862F10">
      <w:pPr>
        <w:pStyle w:val="MDPI31text"/>
        <w:numPr>
          <w:ilvl w:val="1"/>
          <w:numId w:val="19"/>
        </w:numPr>
        <w:ind w:left="3261" w:hanging="142"/>
        <w:rPr>
          <w:szCs w:val="24"/>
        </w:rPr>
      </w:pPr>
      <w:r w:rsidRPr="00EA083A">
        <w:rPr>
          <w:szCs w:val="24"/>
        </w:rPr>
        <w:t>mFRR energy is procured through hourly auctions</w:t>
      </w:r>
      <w:r w:rsidRPr="00A964D0">
        <w:rPr>
          <w:szCs w:val="24"/>
        </w:rPr>
        <w:t xml:space="preserve">, with separate bids for </w:t>
      </w:r>
      <w:r w:rsidRPr="00EA083A">
        <w:rPr>
          <w:szCs w:val="24"/>
        </w:rPr>
        <w:t>upward and downward regulation</w:t>
      </w:r>
      <w:r w:rsidRPr="00A964D0">
        <w:rPr>
          <w:szCs w:val="24"/>
        </w:rPr>
        <w:t xml:space="preserve"> in marginal markets.</w:t>
      </w:r>
    </w:p>
    <w:p w14:paraId="7158C83B" w14:textId="5A3346BA" w:rsidR="00A964D0" w:rsidRPr="00EA083A" w:rsidRDefault="00A964D0" w:rsidP="00862F10">
      <w:pPr>
        <w:pStyle w:val="MDPI31text"/>
        <w:numPr>
          <w:ilvl w:val="1"/>
          <w:numId w:val="19"/>
        </w:numPr>
        <w:ind w:left="3261" w:hanging="142"/>
        <w:rPr>
          <w:szCs w:val="24"/>
        </w:rPr>
      </w:pPr>
      <w:r w:rsidRPr="00EA083A">
        <w:rPr>
          <w:szCs w:val="24"/>
        </w:rPr>
        <w:t xml:space="preserve">Since mFRR is based on </w:t>
      </w:r>
      <w:r w:rsidRPr="00EA083A">
        <w:rPr>
          <w:bCs/>
          <w:szCs w:val="24"/>
        </w:rPr>
        <w:t>hourly auctions</w:t>
      </w:r>
      <w:r w:rsidRPr="00EA083A">
        <w:rPr>
          <w:szCs w:val="24"/>
        </w:rPr>
        <w:t xml:space="preserve">, it may not be sufficient for balancing </w:t>
      </w:r>
      <w:r w:rsidRPr="00EA083A">
        <w:rPr>
          <w:bCs/>
          <w:szCs w:val="24"/>
        </w:rPr>
        <w:t>long-term frequency deviations</w:t>
      </w:r>
      <w:r w:rsidRPr="00EA083A">
        <w:rPr>
          <w:szCs w:val="24"/>
        </w:rPr>
        <w:t>.</w:t>
      </w:r>
    </w:p>
    <w:p w14:paraId="760675E4" w14:textId="0921368B" w:rsidR="00A964D0" w:rsidRPr="00EA083A" w:rsidRDefault="00EA083A" w:rsidP="00862F10">
      <w:pPr>
        <w:pStyle w:val="MDPI31text"/>
        <w:numPr>
          <w:ilvl w:val="0"/>
          <w:numId w:val="20"/>
        </w:numPr>
        <w:ind w:left="3119" w:hanging="284"/>
      </w:pPr>
      <w:r>
        <w:t>RR:</w:t>
      </w:r>
    </w:p>
    <w:p w14:paraId="70E5B2C5" w14:textId="77777777" w:rsidR="00A964D0" w:rsidRPr="00A964D0" w:rsidRDefault="00A964D0" w:rsidP="00862F10">
      <w:pPr>
        <w:pStyle w:val="MDPI31text"/>
        <w:numPr>
          <w:ilvl w:val="1"/>
          <w:numId w:val="19"/>
        </w:numPr>
        <w:ind w:left="3261" w:hanging="142"/>
        <w:rPr>
          <w:szCs w:val="24"/>
        </w:rPr>
      </w:pPr>
      <w:r w:rsidRPr="00EA083A">
        <w:rPr>
          <w:szCs w:val="24"/>
        </w:rPr>
        <w:t>RRs are activated for long-term system imbalances</w:t>
      </w:r>
      <w:r w:rsidRPr="00A964D0">
        <w:rPr>
          <w:szCs w:val="24"/>
        </w:rPr>
        <w:t xml:space="preserve"> that cannot be resolved through aFRR or mFRR.</w:t>
      </w:r>
    </w:p>
    <w:p w14:paraId="37083504" w14:textId="77777777" w:rsidR="00A964D0" w:rsidRPr="00A964D0" w:rsidRDefault="00A964D0" w:rsidP="00862F10">
      <w:pPr>
        <w:pStyle w:val="MDPI31text"/>
        <w:numPr>
          <w:ilvl w:val="1"/>
          <w:numId w:val="19"/>
        </w:numPr>
        <w:ind w:left="3261" w:hanging="142"/>
        <w:rPr>
          <w:szCs w:val="24"/>
        </w:rPr>
      </w:pPr>
      <w:r w:rsidRPr="00A964D0">
        <w:rPr>
          <w:szCs w:val="24"/>
        </w:rPr>
        <w:t xml:space="preserve">RRs </w:t>
      </w:r>
      <w:r w:rsidRPr="00EA083A">
        <w:rPr>
          <w:szCs w:val="24"/>
        </w:rPr>
        <w:t>can be activated within 15 minutes</w:t>
      </w:r>
      <w:r w:rsidRPr="00A964D0">
        <w:rPr>
          <w:szCs w:val="24"/>
        </w:rPr>
        <w:t xml:space="preserve"> and remain active for extended periods.</w:t>
      </w:r>
    </w:p>
    <w:p w14:paraId="2EE4E151" w14:textId="03F5EEFE" w:rsidR="00D41151" w:rsidRDefault="00A964D0" w:rsidP="00D41151">
      <w:pPr>
        <w:pStyle w:val="MDPI31text"/>
      </w:pPr>
      <w:r w:rsidRPr="00A964D0">
        <w:rPr>
          <w:szCs w:val="24"/>
        </w:rPr>
        <w:t xml:space="preserve">Unlike other reserves, </w:t>
      </w:r>
      <w:r w:rsidRPr="00A964D0">
        <w:rPr>
          <w:bCs/>
          <w:szCs w:val="24"/>
        </w:rPr>
        <w:t>RRs rely on bilateral contracts between TSOs and market participants</w:t>
      </w:r>
      <w:r w:rsidRPr="00A964D0">
        <w:rPr>
          <w:szCs w:val="24"/>
        </w:rPr>
        <w:t xml:space="preserve"> instead of direct market bidding.</w:t>
      </w:r>
      <w:r w:rsidR="00D41151">
        <w:rPr>
          <w:szCs w:val="24"/>
        </w:rPr>
        <w:t xml:space="preserve"> </w:t>
      </w:r>
      <w:r w:rsidR="00D41151">
        <w:t xml:space="preserve">Next section presents </w:t>
      </w:r>
      <w:r w:rsidR="006076CA">
        <w:t>the strategies for active</w:t>
      </w:r>
      <w:r w:rsidR="00D41151">
        <w:t xml:space="preserve"> participation of vRES in electricity markets.</w:t>
      </w:r>
    </w:p>
    <w:p w14:paraId="76A0550E" w14:textId="1CC9E3F7" w:rsidR="00121953" w:rsidRDefault="00D41151" w:rsidP="00862F10">
      <w:pPr>
        <w:pStyle w:val="MDPI21heading1"/>
        <w:numPr>
          <w:ilvl w:val="0"/>
          <w:numId w:val="7"/>
        </w:numPr>
        <w:ind w:left="2835" w:hanging="283"/>
        <w:rPr>
          <w:color w:val="auto"/>
        </w:rPr>
      </w:pPr>
      <w:r>
        <w:rPr>
          <w:color w:val="auto"/>
        </w:rPr>
        <w:t>Strategic b</w:t>
      </w:r>
      <w:r w:rsidR="00A6757A">
        <w:rPr>
          <w:color w:val="auto"/>
        </w:rPr>
        <w:t>idding</w:t>
      </w:r>
      <w:r>
        <w:rPr>
          <w:color w:val="auto"/>
        </w:rPr>
        <w:t xml:space="preserve"> of vRES in electricity markets</w:t>
      </w:r>
    </w:p>
    <w:p w14:paraId="6CF4C751" w14:textId="5F787F21" w:rsidR="00022026" w:rsidRPr="00022026" w:rsidRDefault="00022026" w:rsidP="00022026">
      <w:pPr>
        <w:pStyle w:val="MDPI31text"/>
        <w:rPr>
          <w:color w:val="auto"/>
          <w:lang w:val="en-GB"/>
        </w:rPr>
      </w:pPr>
      <w:r w:rsidRPr="00022026">
        <w:rPr>
          <w:color w:val="auto"/>
          <w:lang w:val="en-GB"/>
        </w:rPr>
        <w:t>The objective of maximizing the producer's revenue is formulated as an optimization problem, which was implemented using Python. In this model, the decision variables represent the volumes traded in the EMs, constrained by market rules and conditions.</w:t>
      </w:r>
    </w:p>
    <w:p w14:paraId="2F9DD6F4" w14:textId="77777777" w:rsidR="00022026" w:rsidRPr="00022026" w:rsidRDefault="00022026" w:rsidP="00022026">
      <w:pPr>
        <w:pStyle w:val="MDPI31text"/>
        <w:rPr>
          <w:color w:val="auto"/>
          <w:lang w:val="en-GB"/>
        </w:rPr>
      </w:pPr>
      <w:r w:rsidRPr="00022026">
        <w:rPr>
          <w:color w:val="auto"/>
          <w:lang w:val="en-GB"/>
        </w:rPr>
        <w:t>The following general constraints are applied:</w:t>
      </w:r>
    </w:p>
    <w:p w14:paraId="5D96C71E" w14:textId="46BEADED" w:rsidR="00022026" w:rsidRDefault="00022026" w:rsidP="00862F10">
      <w:pPr>
        <w:pStyle w:val="MDPI31text"/>
        <w:numPr>
          <w:ilvl w:val="0"/>
          <w:numId w:val="8"/>
        </w:numPr>
        <w:rPr>
          <w:color w:val="auto"/>
          <w:lang w:val="en-GB"/>
        </w:rPr>
      </w:pPr>
      <w:r w:rsidRPr="00022026">
        <w:rPr>
          <w:color w:val="auto"/>
          <w:lang w:val="en-GB"/>
        </w:rPr>
        <w:t xml:space="preserve">The schedule in the EMs is limited by the nominal power of the </w:t>
      </w:r>
      <w:r w:rsidR="00D41151">
        <w:rPr>
          <w:color w:val="auto"/>
          <w:lang w:val="en-GB"/>
        </w:rPr>
        <w:t>vRES</w:t>
      </w:r>
      <w:r w:rsidRPr="00022026">
        <w:rPr>
          <w:color w:val="auto"/>
          <w:lang w:val="en-GB"/>
        </w:rPr>
        <w:t xml:space="preserve"> power plant. The producer cannot sell more energy than what can be physically produced.</w:t>
      </w:r>
    </w:p>
    <w:p w14:paraId="5F2A292C" w14:textId="77777777" w:rsidR="00022026" w:rsidRDefault="00022026" w:rsidP="00862F10">
      <w:pPr>
        <w:pStyle w:val="MDPI31text"/>
        <w:numPr>
          <w:ilvl w:val="0"/>
          <w:numId w:val="8"/>
        </w:numPr>
        <w:rPr>
          <w:color w:val="auto"/>
          <w:lang w:val="en-GB"/>
        </w:rPr>
      </w:pPr>
      <w:r w:rsidRPr="00022026">
        <w:rPr>
          <w:color w:val="auto"/>
          <w:lang w:val="en-GB"/>
        </w:rPr>
        <w:t>The producer cannot bid more downward balancing capacity than the scheduled injection.</w:t>
      </w:r>
    </w:p>
    <w:p w14:paraId="5542B02F" w14:textId="059938C8" w:rsidR="00022026" w:rsidRDefault="00022026" w:rsidP="00862F10">
      <w:pPr>
        <w:pStyle w:val="MDPI31text"/>
        <w:numPr>
          <w:ilvl w:val="0"/>
          <w:numId w:val="8"/>
        </w:numPr>
        <w:rPr>
          <w:color w:val="auto"/>
          <w:lang w:val="en-GB"/>
        </w:rPr>
      </w:pPr>
      <w:r w:rsidRPr="00022026">
        <w:rPr>
          <w:color w:val="auto"/>
          <w:lang w:val="en-GB"/>
        </w:rPr>
        <w:t>Bids in the BMs are limited by the request of the TSO.</w:t>
      </w:r>
    </w:p>
    <w:p w14:paraId="615A5484" w14:textId="4B2BAEE8" w:rsidR="00022026" w:rsidRPr="00022026" w:rsidRDefault="00022026" w:rsidP="00022026">
      <w:pPr>
        <w:pStyle w:val="MDPI31text"/>
        <w:rPr>
          <w:color w:val="auto"/>
          <w:lang w:val="en-GB"/>
        </w:rPr>
      </w:pPr>
      <w:r w:rsidRPr="00022026">
        <w:rPr>
          <w:color w:val="auto"/>
          <w:lang w:val="en-GB"/>
        </w:rPr>
        <w:t xml:space="preserve">In this model, the </w:t>
      </w:r>
      <w:r w:rsidR="00D41151">
        <w:rPr>
          <w:color w:val="auto"/>
          <w:lang w:val="en-GB"/>
        </w:rPr>
        <w:t>vRES</w:t>
      </w:r>
      <w:r w:rsidRPr="00022026">
        <w:rPr>
          <w:color w:val="auto"/>
          <w:lang w:val="en-GB"/>
        </w:rPr>
        <w:t xml:space="preserve"> market participation decisions are interconnected through the following concepts:</w:t>
      </w:r>
    </w:p>
    <w:p w14:paraId="1A55E20B" w14:textId="1D9CAEE8" w:rsidR="00022026" w:rsidRDefault="00022026" w:rsidP="00862F10">
      <w:pPr>
        <w:pStyle w:val="MDPI31text"/>
        <w:numPr>
          <w:ilvl w:val="0"/>
          <w:numId w:val="9"/>
        </w:numPr>
        <w:rPr>
          <w:color w:val="auto"/>
          <w:lang w:val="en-GB"/>
        </w:rPr>
      </w:pPr>
      <w:r w:rsidRPr="00022026">
        <w:rPr>
          <w:color w:val="auto"/>
          <w:lang w:val="en-GB"/>
        </w:rPr>
        <w:t xml:space="preserve">Position: The portfolio of </w:t>
      </w:r>
      <w:r w:rsidR="00D41151">
        <w:rPr>
          <w:color w:val="auto"/>
          <w:lang w:val="en-GB"/>
        </w:rPr>
        <w:t>vRES</w:t>
      </w:r>
      <w:r w:rsidRPr="00022026">
        <w:rPr>
          <w:color w:val="auto"/>
          <w:lang w:val="en-GB"/>
        </w:rPr>
        <w:t xml:space="preserve"> that accounts for the bid in the DAM, increasing when selling in the IDM and decreasing when purchasing energy.</w:t>
      </w:r>
    </w:p>
    <w:p w14:paraId="7F58D901" w14:textId="5E37EB17" w:rsidR="00022026" w:rsidRDefault="00022026" w:rsidP="00862F10">
      <w:pPr>
        <w:pStyle w:val="MDPI31text"/>
        <w:numPr>
          <w:ilvl w:val="0"/>
          <w:numId w:val="9"/>
        </w:numPr>
        <w:rPr>
          <w:color w:val="auto"/>
          <w:lang w:val="en-GB"/>
        </w:rPr>
      </w:pPr>
      <w:r w:rsidRPr="00022026">
        <w:rPr>
          <w:color w:val="auto"/>
          <w:lang w:val="en-GB"/>
        </w:rPr>
        <w:t xml:space="preserve">Final offer: The position of the </w:t>
      </w:r>
      <w:r w:rsidR="00D41151">
        <w:rPr>
          <w:color w:val="auto"/>
          <w:lang w:val="en-GB"/>
        </w:rPr>
        <w:t>vRES</w:t>
      </w:r>
      <w:r w:rsidRPr="00022026">
        <w:rPr>
          <w:color w:val="auto"/>
          <w:lang w:val="en-GB"/>
        </w:rPr>
        <w:t xml:space="preserve"> after the capacity market and before the activation of energy bids. This represents the adjusted position based on initial bids and the balancing capacity market.</w:t>
      </w:r>
    </w:p>
    <w:p w14:paraId="457595C7" w14:textId="77777777" w:rsidR="00022026" w:rsidRDefault="00022026" w:rsidP="00862F10">
      <w:pPr>
        <w:pStyle w:val="MDPI31text"/>
        <w:numPr>
          <w:ilvl w:val="0"/>
          <w:numId w:val="9"/>
        </w:numPr>
        <w:rPr>
          <w:color w:val="auto"/>
          <w:lang w:val="en-GB"/>
        </w:rPr>
      </w:pPr>
      <w:r w:rsidRPr="00022026">
        <w:rPr>
          <w:color w:val="auto"/>
          <w:lang w:val="en-GB"/>
        </w:rPr>
        <w:t>Final schedule: After the activation of reserves by the TSO, the final schedule reflects the adjusted energy injection into the grid. It is derived from initial positions from the DAM and IDMs, increasing when upward reserves are activated and decreasing when downward reserves are called upon. This adjustment reflects the energy increased or reduced in response to the TSO's requests.</w:t>
      </w:r>
    </w:p>
    <w:p w14:paraId="3F0042DA" w14:textId="62A15443" w:rsidR="00022026" w:rsidRPr="00022026" w:rsidRDefault="00022026" w:rsidP="00862F10">
      <w:pPr>
        <w:pStyle w:val="MDPI31text"/>
        <w:numPr>
          <w:ilvl w:val="0"/>
          <w:numId w:val="9"/>
        </w:numPr>
        <w:rPr>
          <w:color w:val="auto"/>
          <w:lang w:val="en-GB"/>
        </w:rPr>
      </w:pPr>
      <w:r w:rsidRPr="00022026">
        <w:rPr>
          <w:color w:val="auto"/>
          <w:lang w:val="en-GB"/>
        </w:rPr>
        <w:lastRenderedPageBreak/>
        <w:t xml:space="preserve">Final deviation: The difference between the actual production and the final schedule, which will be settled during the </w:t>
      </w:r>
      <w:r w:rsidR="005C0F64">
        <w:rPr>
          <w:color w:val="auto"/>
          <w:lang w:val="en-GB"/>
        </w:rPr>
        <w:t>IS</w:t>
      </w:r>
      <w:r w:rsidRPr="00022026">
        <w:rPr>
          <w:color w:val="auto"/>
          <w:lang w:val="en-GB"/>
        </w:rPr>
        <w:t xml:space="preserve"> period.</w:t>
      </w:r>
    </w:p>
    <w:p w14:paraId="081179F1" w14:textId="71BB41BF" w:rsidR="00022026" w:rsidRPr="00022026" w:rsidRDefault="00022026" w:rsidP="00022026">
      <w:pPr>
        <w:pStyle w:val="MDPI31text"/>
        <w:rPr>
          <w:color w:val="auto"/>
          <w:lang w:val="en-GB"/>
        </w:rPr>
      </w:pPr>
      <w:r w:rsidRPr="00022026">
        <w:rPr>
          <w:color w:val="auto"/>
          <w:lang w:val="en-GB"/>
        </w:rPr>
        <w:t xml:space="preserve">These concepts are crucial for understanding how the </w:t>
      </w:r>
      <w:r w:rsidR="00D41151">
        <w:rPr>
          <w:color w:val="auto"/>
          <w:lang w:val="en-GB"/>
        </w:rPr>
        <w:t>vRES’s</w:t>
      </w:r>
      <w:r w:rsidRPr="00022026">
        <w:rPr>
          <w:color w:val="auto"/>
          <w:lang w:val="en-GB"/>
        </w:rPr>
        <w:t xml:space="preserve"> decisions evolve and impact each other across different market stages.</w:t>
      </w:r>
    </w:p>
    <w:p w14:paraId="217FD6BD" w14:textId="77777777" w:rsidR="00022026" w:rsidRPr="00022026" w:rsidRDefault="00022026" w:rsidP="00022026">
      <w:pPr>
        <w:pStyle w:val="MDPI31text"/>
        <w:rPr>
          <w:color w:val="auto"/>
          <w:lang w:val="en-GB"/>
        </w:rPr>
      </w:pPr>
    </w:p>
    <w:p w14:paraId="405DCF60" w14:textId="186230DE" w:rsidR="00022026" w:rsidRPr="001549DD" w:rsidRDefault="00022026" w:rsidP="00862F10">
      <w:pPr>
        <w:pStyle w:val="MDPI22heading2"/>
        <w:numPr>
          <w:ilvl w:val="1"/>
          <w:numId w:val="7"/>
        </w:numPr>
        <w:ind w:firstLine="1760"/>
      </w:pPr>
      <w:r w:rsidRPr="001549DD">
        <w:t>Ideal Case</w:t>
      </w:r>
    </w:p>
    <w:p w14:paraId="3BA06EF4" w14:textId="1B948CD0" w:rsidR="00022026" w:rsidRPr="00022026" w:rsidRDefault="00022026" w:rsidP="00022026">
      <w:pPr>
        <w:pStyle w:val="MDPI31text"/>
        <w:rPr>
          <w:color w:val="auto"/>
          <w:lang w:val="en-GB"/>
        </w:rPr>
      </w:pPr>
      <w:r w:rsidRPr="00022026">
        <w:rPr>
          <w:color w:val="auto"/>
          <w:lang w:val="en-GB"/>
        </w:rPr>
        <w:t xml:space="preserve">In an ideal scenario, the producer has perfect foresight regarding both </w:t>
      </w:r>
      <w:r w:rsidR="00D41151">
        <w:rPr>
          <w:color w:val="auto"/>
          <w:lang w:val="en-GB"/>
        </w:rPr>
        <w:t xml:space="preserve">vRES </w:t>
      </w:r>
      <w:r w:rsidRPr="00022026">
        <w:rPr>
          <w:color w:val="auto"/>
          <w:lang w:val="en-GB"/>
        </w:rPr>
        <w:t xml:space="preserve">production and market conditions. With this information, the producer can place bids at the optimal quantile of the distribution to maximize revenue. This participation strategy, based on optimal quantile forecasts of </w:t>
      </w:r>
      <w:r w:rsidR="00D41151">
        <w:rPr>
          <w:color w:val="auto"/>
          <w:lang w:val="en-GB"/>
        </w:rPr>
        <w:t>vRES</w:t>
      </w:r>
      <w:r w:rsidRPr="00022026">
        <w:rPr>
          <w:color w:val="auto"/>
          <w:lang w:val="en-GB"/>
        </w:rPr>
        <w:t xml:space="preserve"> generation, has been discussed in other studies [2,3].</w:t>
      </w:r>
    </w:p>
    <w:p w14:paraId="14CD66B4" w14:textId="3E339B5A" w:rsidR="00022026" w:rsidRDefault="00022026" w:rsidP="00022026">
      <w:pPr>
        <w:pStyle w:val="MDPI31text"/>
        <w:rPr>
          <w:color w:val="auto"/>
          <w:lang w:val="en-GB"/>
        </w:rPr>
      </w:pPr>
      <w:r w:rsidRPr="00022026">
        <w:rPr>
          <w:color w:val="auto"/>
          <w:lang w:val="en-GB"/>
        </w:rPr>
        <w:t>The revenue from the DAM is: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022026" w:rsidRPr="00647E1F" w14:paraId="4DE29727" w14:textId="77777777" w:rsidTr="00966A38">
        <w:tc>
          <w:tcPr>
            <w:tcW w:w="7428" w:type="dxa"/>
          </w:tcPr>
          <w:p w14:paraId="487CB383" w14:textId="2D574F64" w:rsidR="00022026" w:rsidRPr="00647E1F" w:rsidRDefault="00000000" w:rsidP="00966A38">
            <w:pPr>
              <w:pStyle w:val="MDPI39equation"/>
              <w:rPr>
                <w:color w:val="auto"/>
              </w:rPr>
            </w:pPr>
            <m:oMathPara>
              <m:oMath>
                <m:sSubSup>
                  <m:sSubSupPr>
                    <m:ctrlPr>
                      <w:rPr>
                        <w:rFonts w:ascii="Cambria Math" w:hAnsi="Cambria Math"/>
                        <w:color w:val="auto"/>
                      </w:rPr>
                    </m:ctrlPr>
                  </m:sSubSupPr>
                  <m:e>
                    <m:r>
                      <w:rPr>
                        <w:rFonts w:ascii="Cambria Math" w:hAnsi="Cambria Math"/>
                        <w:color w:val="auto"/>
                      </w:rPr>
                      <m:t>R</m:t>
                    </m:r>
                  </m:e>
                  <m:sub>
                    <m:r>
                      <w:rPr>
                        <w:rFonts w:ascii="Cambria Math" w:hAnsi="Cambria Math"/>
                        <w:color w:val="auto"/>
                      </w:rPr>
                      <m:t>j,t</m:t>
                    </m:r>
                  </m:sub>
                  <m:sup>
                    <m:r>
                      <w:rPr>
                        <w:rFonts w:ascii="Cambria Math" w:hAnsi="Cambria Math"/>
                        <w:color w:val="auto"/>
                      </w:rPr>
                      <m:t>DAM</m:t>
                    </m:r>
                  </m:sup>
                </m:sSubSup>
                <m:r>
                  <w:rPr>
                    <w:rFonts w:ascii="Cambria Math" w:hAnsi="Cambria Math"/>
                    <w:color w:val="auto"/>
                  </w:rPr>
                  <m:t>=</m:t>
                </m:r>
                <m:sSub>
                  <m:sSubPr>
                    <m:ctrlPr>
                      <w:rPr>
                        <w:rFonts w:ascii="Cambria Math" w:hAnsi="Cambria Math"/>
                        <w:color w:val="auto"/>
                      </w:rPr>
                    </m:ctrlPr>
                  </m:sSubPr>
                  <m:e>
                    <m:r>
                      <w:rPr>
                        <w:rFonts w:ascii="Cambria Math" w:hAnsi="Cambria Math"/>
                        <w:color w:val="auto"/>
                      </w:rPr>
                      <m:t>Q</m:t>
                    </m:r>
                  </m:e>
                  <m:sub>
                    <m:r>
                      <w:rPr>
                        <w:rFonts w:ascii="Cambria Math" w:hAnsi="Cambria Math"/>
                        <w:color w:val="auto"/>
                      </w:rPr>
                      <m:t>j,t</m:t>
                    </m:r>
                  </m:sub>
                </m:sSub>
                <m:r>
                  <w:rPr>
                    <w:rFonts w:ascii="Cambria Math" w:hAnsi="Cambria Math"/>
                    <w:color w:val="auto"/>
                  </w:rPr>
                  <m:t xml:space="preserve">∙ </m:t>
                </m:r>
                <m:sSubSup>
                  <m:sSubSupPr>
                    <m:ctrlPr>
                      <w:rPr>
                        <w:rFonts w:ascii="Cambria Math" w:hAnsi="Cambria Math"/>
                        <w:color w:val="auto"/>
                      </w:rPr>
                    </m:ctrlPr>
                  </m:sSubSupPr>
                  <m:e>
                    <m:r>
                      <w:rPr>
                        <w:rFonts w:ascii="Cambria Math" w:hAnsi="Cambria Math"/>
                        <w:color w:val="auto"/>
                      </w:rPr>
                      <m:t>C</m:t>
                    </m:r>
                  </m:e>
                  <m:sub>
                    <m:r>
                      <w:rPr>
                        <w:rFonts w:ascii="Cambria Math" w:hAnsi="Cambria Math"/>
                        <w:color w:val="auto"/>
                      </w:rPr>
                      <m:t>t</m:t>
                    </m:r>
                  </m:sub>
                  <m:sup>
                    <m:r>
                      <w:rPr>
                        <w:rFonts w:ascii="Cambria Math" w:hAnsi="Cambria Math"/>
                        <w:color w:val="auto"/>
                      </w:rPr>
                      <m:t>DAM</m:t>
                    </m:r>
                  </m:sup>
                </m:sSubSup>
              </m:oMath>
            </m:oMathPara>
          </w:p>
        </w:tc>
        <w:tc>
          <w:tcPr>
            <w:tcW w:w="431" w:type="dxa"/>
            <w:vAlign w:val="center"/>
          </w:tcPr>
          <w:p w14:paraId="72FF796F" w14:textId="5AFB1F7D" w:rsidR="00022026" w:rsidRPr="00647E1F" w:rsidRDefault="00022026" w:rsidP="00966A38">
            <w:pPr>
              <w:pStyle w:val="MDPI3aequationnumber"/>
              <w:spacing w:line="260" w:lineRule="atLeast"/>
              <w:rPr>
                <w:color w:val="auto"/>
              </w:rPr>
            </w:pPr>
            <w:r w:rsidRPr="00647E1F">
              <w:rPr>
                <w:color w:val="auto"/>
              </w:rPr>
              <w:t>(</w:t>
            </w:r>
            <w:r>
              <w:rPr>
                <w:color w:val="auto"/>
              </w:rPr>
              <w:t>1</w:t>
            </w:r>
            <w:r w:rsidRPr="00647E1F">
              <w:rPr>
                <w:color w:val="auto"/>
              </w:rPr>
              <w:t>)</w:t>
            </w:r>
          </w:p>
        </w:tc>
      </w:tr>
    </w:tbl>
    <w:p w14:paraId="6EE9715F" w14:textId="77777777" w:rsidR="00022026" w:rsidRPr="00022026" w:rsidRDefault="00022026" w:rsidP="00022026">
      <w:pPr>
        <w:pStyle w:val="MDPI31text"/>
        <w:rPr>
          <w:color w:val="auto"/>
          <w:lang w:val="en-GB"/>
        </w:rPr>
      </w:pPr>
      <w:r w:rsidRPr="00022026">
        <w:rPr>
          <w:color w:val="auto"/>
          <w:lang w:val="en-GB"/>
        </w:rPr>
        <w:t>Where for the hour t:</w:t>
      </w:r>
    </w:p>
    <w:p w14:paraId="5E08A074" w14:textId="77777777" w:rsidR="000F522C" w:rsidRDefault="00000000" w:rsidP="00862F10">
      <w:pPr>
        <w:pStyle w:val="MDPI31text"/>
        <w:numPr>
          <w:ilvl w:val="0"/>
          <w:numId w:val="10"/>
        </w:numPr>
        <w:rPr>
          <w:lang w:val="en-GB"/>
        </w:rPr>
      </w:pP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j,t</m:t>
            </m:r>
          </m:sub>
        </m:sSub>
      </m:oMath>
      <w:r w:rsidR="000F522C" w:rsidRPr="000F522C">
        <w:rPr>
          <w:lang w:val="en-GB"/>
        </w:rPr>
        <w:t xml:space="preserve"> is the quantile </w:t>
      </w:r>
      <w:r w:rsidR="000F522C" w:rsidRPr="000F522C">
        <w:rPr>
          <w:i/>
          <w:iCs/>
          <w:lang w:val="en-GB"/>
        </w:rPr>
        <w:t>j</w:t>
      </w:r>
      <w:r w:rsidR="000F522C" w:rsidRPr="000F522C">
        <w:rPr>
          <w:lang w:val="en-GB"/>
        </w:rPr>
        <w:t xml:space="preserve">, with </w:t>
      </w:r>
      <w:r w:rsidR="000F522C" w:rsidRPr="000F522C">
        <w:rPr>
          <w:i/>
          <w:iCs/>
          <w:lang w:val="en-GB"/>
        </w:rPr>
        <w:t xml:space="preserve">j </w:t>
      </w:r>
      <w:r w:rsidR="000F522C" w:rsidRPr="000F522C">
        <w:rPr>
          <w:lang w:val="en-GB"/>
        </w:rPr>
        <w:t>representing the index ranging from 1 to 21.</w:t>
      </w:r>
    </w:p>
    <w:p w14:paraId="240A7031" w14:textId="5F626D51" w:rsidR="000F522C" w:rsidRPr="000F522C" w:rsidRDefault="00000000" w:rsidP="00862F10">
      <w:pPr>
        <w:pStyle w:val="MDPI31text"/>
        <w:numPr>
          <w:ilvl w:val="0"/>
          <w:numId w:val="10"/>
        </w:numPr>
        <w:rPr>
          <w:lang w:val="en-GB"/>
        </w:rPr>
      </w:pPr>
      <m:oMath>
        <m:sSubSup>
          <m:sSubSupPr>
            <m:ctrlPr>
              <w:rPr>
                <w:rFonts w:ascii="Cambria Math" w:hAnsi="Cambria Math"/>
                <w:i/>
                <w:lang w:val="en-GB"/>
              </w:rPr>
            </m:ctrlPr>
          </m:sSubSupPr>
          <m:e>
            <m:r>
              <w:rPr>
                <w:rFonts w:ascii="Cambria Math" w:hAnsi="Cambria Math"/>
                <w:lang w:val="en-GB"/>
              </w:rPr>
              <m:t>C</m:t>
            </m:r>
          </m:e>
          <m:sub>
            <m:r>
              <w:rPr>
                <w:rFonts w:ascii="Cambria Math" w:hAnsi="Cambria Math"/>
                <w:lang w:val="en-GB"/>
              </w:rPr>
              <m:t>t</m:t>
            </m:r>
          </m:sub>
          <m:sup>
            <m:r>
              <w:rPr>
                <w:rFonts w:ascii="Cambria Math" w:hAnsi="Cambria Math"/>
                <w:lang w:val="en-GB"/>
              </w:rPr>
              <m:t>DAM</m:t>
            </m:r>
          </m:sup>
        </m:sSubSup>
      </m:oMath>
      <w:r w:rsidR="000F522C" w:rsidRPr="000F522C">
        <w:rPr>
          <w:lang w:val="en-GB"/>
        </w:rPr>
        <w:t xml:space="preserve"> is the DAM price.</w:t>
      </w:r>
    </w:p>
    <w:p w14:paraId="3A1D2BFB" w14:textId="77777777" w:rsidR="00022026" w:rsidRPr="00022026" w:rsidRDefault="00022026" w:rsidP="00022026">
      <w:pPr>
        <w:pStyle w:val="MDPI31text"/>
        <w:rPr>
          <w:color w:val="auto"/>
          <w:lang w:val="en-GB"/>
        </w:rPr>
      </w:pPr>
    </w:p>
    <w:p w14:paraId="42246EC5" w14:textId="35B7F504" w:rsidR="000F522C" w:rsidRPr="00022026" w:rsidRDefault="00022026" w:rsidP="000F522C">
      <w:pPr>
        <w:pStyle w:val="MDPI31text"/>
        <w:rPr>
          <w:color w:val="auto"/>
          <w:lang w:val="en-GB"/>
        </w:rPr>
      </w:pPr>
      <w:r w:rsidRPr="00022026">
        <w:rPr>
          <w:color w:val="auto"/>
          <w:lang w:val="en-GB"/>
        </w:rPr>
        <w:t>The deviation between the observed power and th</w:t>
      </w:r>
      <w:r w:rsidR="000F522C">
        <w:rPr>
          <w:color w:val="auto"/>
          <w:lang w:val="en-GB"/>
        </w:rPr>
        <w:t>e quantile j for the hour t is: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0F522C" w:rsidRPr="00647E1F" w14:paraId="5A5064A5" w14:textId="77777777" w:rsidTr="00966A38">
        <w:tc>
          <w:tcPr>
            <w:tcW w:w="7428" w:type="dxa"/>
          </w:tcPr>
          <w:p w14:paraId="0ABA63B8" w14:textId="1D2066BD" w:rsidR="000F522C" w:rsidRPr="00647E1F" w:rsidRDefault="00000000" w:rsidP="000F522C">
            <w:pPr>
              <w:pStyle w:val="MDPI39equation"/>
              <w:rPr>
                <w:color w:val="auto"/>
              </w:rPr>
            </w:pPr>
            <m:oMathPara>
              <m:oMath>
                <m:sSubSup>
                  <m:sSubSupPr>
                    <m:ctrlPr>
                      <w:rPr>
                        <w:rFonts w:ascii="Cambria Math" w:hAnsi="Cambria Math"/>
                        <w:color w:val="auto"/>
                      </w:rPr>
                    </m:ctrlPr>
                  </m:sSubSupPr>
                  <m:e>
                    <m:r>
                      <w:rPr>
                        <w:rFonts w:ascii="Cambria Math" w:hAnsi="Cambria Math"/>
                        <w:color w:val="auto"/>
                      </w:rPr>
                      <m:t xml:space="preserve"> P</m:t>
                    </m:r>
                  </m:e>
                  <m:sub>
                    <m:r>
                      <w:rPr>
                        <w:rFonts w:ascii="Cambria Math" w:hAnsi="Cambria Math"/>
                        <w:color w:val="auto"/>
                      </w:rPr>
                      <m:t>j,t</m:t>
                    </m:r>
                  </m:sub>
                  <m:sup>
                    <m:r>
                      <w:rPr>
                        <w:rFonts w:ascii="Cambria Math" w:hAnsi="Cambria Math"/>
                        <w:color w:val="auto"/>
                      </w:rPr>
                      <m:t>dev</m:t>
                    </m:r>
                  </m:sup>
                </m:sSubSup>
                <m:r>
                  <w:rPr>
                    <w:rFonts w:ascii="Cambria Math" w:hAnsi="Cambria Math"/>
                    <w:color w:val="auto"/>
                  </w:rPr>
                  <m:t>=</m:t>
                </m:r>
                <m:sSubSup>
                  <m:sSubSupPr>
                    <m:ctrlPr>
                      <w:rPr>
                        <w:rFonts w:ascii="Cambria Math" w:hAnsi="Cambria Math"/>
                        <w:color w:val="auto"/>
                      </w:rPr>
                    </m:ctrlPr>
                  </m:sSubSupPr>
                  <m:e>
                    <m:r>
                      <w:rPr>
                        <w:rFonts w:ascii="Cambria Math" w:hAnsi="Cambria Math"/>
                        <w:color w:val="auto"/>
                      </w:rPr>
                      <m:t>P</m:t>
                    </m:r>
                  </m:e>
                  <m:sub>
                    <m:r>
                      <w:rPr>
                        <w:rFonts w:ascii="Cambria Math" w:hAnsi="Cambria Math"/>
                        <w:color w:val="auto"/>
                      </w:rPr>
                      <m:t>t</m:t>
                    </m:r>
                  </m:sub>
                  <m:sup>
                    <m:r>
                      <w:rPr>
                        <w:rFonts w:ascii="Cambria Math" w:hAnsi="Cambria Math"/>
                        <w:color w:val="auto"/>
                      </w:rPr>
                      <m:t>obs</m:t>
                    </m:r>
                  </m:sup>
                </m:sSubSup>
                <m:r>
                  <w:rPr>
                    <w:rFonts w:ascii="Cambria Math" w:hAnsi="Cambria Math"/>
                    <w:color w:val="auto"/>
                  </w:rPr>
                  <m:t>-</m:t>
                </m:r>
                <m:sSub>
                  <m:sSubPr>
                    <m:ctrlPr>
                      <w:rPr>
                        <w:rFonts w:ascii="Cambria Math" w:hAnsi="Cambria Math"/>
                        <w:color w:val="auto"/>
                      </w:rPr>
                    </m:ctrlPr>
                  </m:sSubPr>
                  <m:e>
                    <m:r>
                      <w:rPr>
                        <w:rFonts w:ascii="Cambria Math" w:hAnsi="Cambria Math"/>
                        <w:color w:val="auto"/>
                      </w:rPr>
                      <m:t>Q</m:t>
                    </m:r>
                  </m:e>
                  <m:sub>
                    <m:r>
                      <w:rPr>
                        <w:rFonts w:ascii="Cambria Math" w:hAnsi="Cambria Math"/>
                        <w:color w:val="auto"/>
                      </w:rPr>
                      <m:t>j,t</m:t>
                    </m:r>
                  </m:sub>
                </m:sSub>
              </m:oMath>
            </m:oMathPara>
          </w:p>
        </w:tc>
        <w:tc>
          <w:tcPr>
            <w:tcW w:w="431" w:type="dxa"/>
            <w:vAlign w:val="center"/>
          </w:tcPr>
          <w:p w14:paraId="2B904FC1" w14:textId="5B6A325E" w:rsidR="000F522C" w:rsidRPr="00647E1F" w:rsidRDefault="000F522C" w:rsidP="00966A38">
            <w:pPr>
              <w:pStyle w:val="MDPI3aequationnumber"/>
              <w:spacing w:line="260" w:lineRule="atLeast"/>
              <w:rPr>
                <w:color w:val="auto"/>
              </w:rPr>
            </w:pPr>
            <w:r w:rsidRPr="00647E1F">
              <w:rPr>
                <w:color w:val="auto"/>
              </w:rPr>
              <w:t>(</w:t>
            </w:r>
            <w:r>
              <w:rPr>
                <w:color w:val="auto"/>
              </w:rPr>
              <w:t>2</w:t>
            </w:r>
            <w:r w:rsidRPr="00647E1F">
              <w:rPr>
                <w:color w:val="auto"/>
              </w:rPr>
              <w:t>)</w:t>
            </w:r>
          </w:p>
        </w:tc>
      </w:tr>
    </w:tbl>
    <w:p w14:paraId="5B4509E8" w14:textId="5FB3DA0E" w:rsidR="000F522C" w:rsidRPr="000F522C" w:rsidRDefault="000F522C" w:rsidP="000F522C">
      <w:pPr>
        <w:pStyle w:val="MDPI31text"/>
        <w:rPr>
          <w:lang w:val="en-GB"/>
        </w:rPr>
      </w:pPr>
      <w:r w:rsidRPr="000F522C">
        <w:rPr>
          <w:lang w:val="en-GB"/>
        </w:rPr>
        <w:t xml:space="preserve">Since each period </w:t>
      </w:r>
      <w:r w:rsidRPr="000F522C">
        <w:rPr>
          <w:i/>
          <w:iCs/>
          <w:lang w:val="en-GB"/>
        </w:rPr>
        <w:t>t</w:t>
      </w:r>
      <w:r w:rsidRPr="000F522C">
        <w:rPr>
          <w:lang w:val="en-GB"/>
        </w:rPr>
        <w:t xml:space="preserve"> corresponds to one delivery hour, the energy volume representing the imbalance</w:t>
      </w:r>
      <w:r>
        <w:rPr>
          <w:lang w:val="en-GB"/>
        </w:rPr>
        <w:t>,</w:t>
      </w:r>
      <w:r w:rsidRPr="000F522C">
        <w:rPr>
          <w:lang w:val="en-GB"/>
        </w:rPr>
        <w:t xml:space="preserve"> </w:t>
      </w:r>
      <m:oMath>
        <m:sSubSup>
          <m:sSubSupPr>
            <m:ctrlPr>
              <w:rPr>
                <w:rFonts w:ascii="Cambria Math" w:hAnsi="Cambria Math"/>
                <w:i/>
                <w:lang w:val="en-GB"/>
              </w:rPr>
            </m:ctrlPr>
          </m:sSubSupPr>
          <m:e>
            <m:r>
              <w:rPr>
                <w:rFonts w:ascii="Cambria Math" w:hAnsi="Cambria Math"/>
                <w:lang w:val="en-GB"/>
              </w:rPr>
              <m:t>E</m:t>
            </m:r>
          </m:e>
          <m:sub>
            <m:r>
              <w:rPr>
                <w:rFonts w:ascii="Cambria Math" w:hAnsi="Cambria Math"/>
                <w:lang w:val="en-GB"/>
              </w:rPr>
              <m:t>j,t</m:t>
            </m:r>
          </m:sub>
          <m:sup>
            <m:r>
              <w:rPr>
                <w:rFonts w:ascii="Cambria Math" w:hAnsi="Cambria Math"/>
                <w:lang w:val="en-GB"/>
              </w:rPr>
              <m:t>dev</m:t>
            </m:r>
          </m:sup>
        </m:sSubSup>
      </m:oMath>
      <w:r w:rsidRPr="000F522C">
        <w:rPr>
          <w:lang w:val="en-GB"/>
        </w:rPr>
        <w:t>, is the power deviation for that hour as given by equation (2).</w:t>
      </w:r>
    </w:p>
    <w:p w14:paraId="3E3739F3" w14:textId="5F14A989" w:rsidR="00022026" w:rsidRPr="00022026" w:rsidRDefault="000F522C" w:rsidP="00022026">
      <w:pPr>
        <w:pStyle w:val="MDPI31text"/>
        <w:rPr>
          <w:color w:val="auto"/>
          <w:lang w:val="en-GB"/>
        </w:rPr>
      </w:pPr>
      <w:r>
        <w:rPr>
          <w:color w:val="auto"/>
          <w:lang w:val="en-GB"/>
        </w:rPr>
        <w:t>Considering the case where vRES only participate in the DAM, a</w:t>
      </w:r>
      <w:r w:rsidR="00022026" w:rsidRPr="00022026">
        <w:rPr>
          <w:color w:val="auto"/>
          <w:lang w:val="en-GB"/>
        </w:rPr>
        <w:t xml:space="preserve">fter the gate closure of the DAM, any deviations are settled in the </w:t>
      </w:r>
      <w:r w:rsidR="005C0F64">
        <w:rPr>
          <w:color w:val="auto"/>
          <w:lang w:val="en-GB"/>
        </w:rPr>
        <w:t>IS</w:t>
      </w:r>
      <w:r w:rsidR="00022026" w:rsidRPr="00022026">
        <w:rPr>
          <w:color w:val="auto"/>
          <w:lang w:val="en-GB"/>
        </w:rPr>
        <w:t xml:space="preserve"> period. The remuneration during this period depends on the direction of the imbalance, with producers either being penalized or compensated based on whether they over- or unde</w:t>
      </w:r>
      <w:r>
        <w:rPr>
          <w:color w:val="auto"/>
          <w:lang w:val="en-GB"/>
        </w:rPr>
        <w:t xml:space="preserve">r-deliver relative to their bid. </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0F522C" w:rsidRPr="00647E1F" w14:paraId="4809ABF2" w14:textId="77777777" w:rsidTr="00966A38">
        <w:tc>
          <w:tcPr>
            <w:tcW w:w="7428" w:type="dxa"/>
          </w:tcPr>
          <w:p w14:paraId="33220FDD" w14:textId="6288CE89" w:rsidR="000F522C" w:rsidRPr="00647E1F" w:rsidRDefault="00000000" w:rsidP="00966A38">
            <w:pPr>
              <w:pStyle w:val="MDPI39equation"/>
              <w:rPr>
                <w:color w:val="auto"/>
              </w:rPr>
            </w:pPr>
            <m:oMathPara>
              <m:oMath>
                <m:sSubSup>
                  <m:sSubSupPr>
                    <m:ctrlPr>
                      <w:rPr>
                        <w:rFonts w:ascii="Cambria Math" w:hAnsi="Cambria Math"/>
                        <w:color w:val="auto"/>
                      </w:rPr>
                    </m:ctrlPr>
                  </m:sSubSupPr>
                  <m:e>
                    <m:r>
                      <w:rPr>
                        <w:rFonts w:ascii="Cambria Math" w:hAnsi="Cambria Math"/>
                        <w:color w:val="auto"/>
                      </w:rPr>
                      <m:t>R</m:t>
                    </m:r>
                  </m:e>
                  <m:sub>
                    <m:r>
                      <w:rPr>
                        <w:rFonts w:ascii="Cambria Math" w:hAnsi="Cambria Math"/>
                        <w:color w:val="auto"/>
                      </w:rPr>
                      <m:t>j,t</m:t>
                    </m:r>
                  </m:sub>
                  <m:sup>
                    <m:r>
                      <w:rPr>
                        <w:rFonts w:ascii="Cambria Math" w:hAnsi="Cambria Math"/>
                        <w:color w:val="auto"/>
                      </w:rPr>
                      <m:t>IS</m:t>
                    </m:r>
                  </m:sup>
                </m:sSubSup>
                <m:r>
                  <w:rPr>
                    <w:rFonts w:ascii="Cambria Math" w:hAnsi="Cambria Math"/>
                    <w:color w:val="auto"/>
                  </w:rPr>
                  <m:t>=</m:t>
                </m:r>
                <m:sSubSup>
                  <m:sSubSupPr>
                    <m:ctrlPr>
                      <w:rPr>
                        <w:rFonts w:ascii="Cambria Math" w:hAnsi="Cambria Math"/>
                        <w:color w:val="auto"/>
                      </w:rPr>
                    </m:ctrlPr>
                  </m:sSubSupPr>
                  <m:e>
                    <m:r>
                      <w:rPr>
                        <w:rFonts w:ascii="Cambria Math" w:hAnsi="Cambria Math"/>
                        <w:color w:val="auto"/>
                      </w:rPr>
                      <m:t>E</m:t>
                    </m:r>
                  </m:e>
                  <m:sub>
                    <m:r>
                      <w:rPr>
                        <w:rFonts w:ascii="Cambria Math" w:hAnsi="Cambria Math"/>
                        <w:color w:val="auto"/>
                      </w:rPr>
                      <m:t>j,t</m:t>
                    </m:r>
                  </m:sub>
                  <m:sup>
                    <m:r>
                      <w:rPr>
                        <w:rFonts w:ascii="Cambria Math" w:hAnsi="Cambria Math"/>
                        <w:color w:val="auto"/>
                      </w:rPr>
                      <m:t>dev</m:t>
                    </m:r>
                  </m:sup>
                </m:sSubSup>
                <m:r>
                  <w:rPr>
                    <w:rFonts w:ascii="Cambria Math" w:hAnsi="Cambria Math"/>
                    <w:color w:val="auto"/>
                  </w:rPr>
                  <m:t>∙</m:t>
                </m:r>
                <m:d>
                  <m:dPr>
                    <m:begChr m:val="{"/>
                    <m:endChr m:val=""/>
                    <m:ctrlPr>
                      <w:rPr>
                        <w:rFonts w:ascii="Cambria Math" w:hAnsi="Cambria Math"/>
                        <w:color w:val="auto"/>
                      </w:rPr>
                    </m:ctrlPr>
                  </m:dPr>
                  <m:e>
                    <m:eqArr>
                      <m:eqArrPr>
                        <m:ctrlPr>
                          <w:rPr>
                            <w:rFonts w:ascii="Cambria Math" w:hAnsi="Cambria Math"/>
                            <w:color w:val="auto"/>
                          </w:rPr>
                        </m:ctrlPr>
                      </m:eqArrPr>
                      <m:e>
                        <m:sSubSup>
                          <m:sSubSupPr>
                            <m:ctrlPr>
                              <w:rPr>
                                <w:rFonts w:ascii="Cambria Math" w:hAnsi="Cambria Math"/>
                                <w:color w:val="auto"/>
                              </w:rPr>
                            </m:ctrlPr>
                          </m:sSubSupPr>
                          <m:e>
                            <m:r>
                              <w:rPr>
                                <w:rFonts w:ascii="Cambria Math" w:hAnsi="Cambria Math"/>
                                <w:color w:val="auto"/>
                              </w:rPr>
                              <m:t>C</m:t>
                            </m:r>
                          </m:e>
                          <m:sub>
                            <m:r>
                              <w:rPr>
                                <w:rFonts w:ascii="Cambria Math" w:hAnsi="Cambria Math"/>
                                <w:color w:val="auto"/>
                              </w:rPr>
                              <m:t>t</m:t>
                            </m:r>
                          </m:sub>
                          <m:sup>
                            <m:r>
                              <w:rPr>
                                <w:rFonts w:ascii="Cambria Math" w:hAnsi="Cambria Math"/>
                                <w:color w:val="auto"/>
                              </w:rPr>
                              <m:t>EXC</m:t>
                            </m:r>
                          </m:sup>
                        </m:sSubSup>
                        <m:r>
                          <w:rPr>
                            <w:rFonts w:ascii="Cambria Math" w:hAnsi="Cambria Math"/>
                            <w:color w:val="auto"/>
                          </w:rPr>
                          <m:t>,  if</m:t>
                        </m:r>
                        <m:sSubSup>
                          <m:sSubSupPr>
                            <m:ctrlPr>
                              <w:rPr>
                                <w:rFonts w:ascii="Cambria Math" w:hAnsi="Cambria Math"/>
                                <w:color w:val="auto"/>
                              </w:rPr>
                            </m:ctrlPr>
                          </m:sSubSupPr>
                          <m:e>
                            <m:r>
                              <w:rPr>
                                <w:rFonts w:ascii="Cambria Math" w:hAnsi="Cambria Math"/>
                                <w:color w:val="auto"/>
                              </w:rPr>
                              <m:t>E</m:t>
                            </m:r>
                          </m:e>
                          <m:sub>
                            <m:r>
                              <w:rPr>
                                <w:rFonts w:ascii="Cambria Math" w:hAnsi="Cambria Math"/>
                                <w:color w:val="auto"/>
                              </w:rPr>
                              <m:t>j,t</m:t>
                            </m:r>
                          </m:sub>
                          <m:sup>
                            <m:r>
                              <w:rPr>
                                <w:rFonts w:ascii="Cambria Math" w:hAnsi="Cambria Math"/>
                                <w:color w:val="auto"/>
                              </w:rPr>
                              <m:t>dev</m:t>
                            </m:r>
                          </m:sup>
                        </m:sSubSup>
                        <m:r>
                          <w:rPr>
                            <w:rFonts w:ascii="Cambria Math" w:hAnsi="Cambria Math"/>
                            <w:color w:val="auto"/>
                          </w:rPr>
                          <m:t>&gt;0</m:t>
                        </m:r>
                      </m:e>
                      <m:e>
                        <m:sSubSup>
                          <m:sSubSupPr>
                            <m:ctrlPr>
                              <w:rPr>
                                <w:rFonts w:ascii="Cambria Math" w:hAnsi="Cambria Math"/>
                                <w:color w:val="auto"/>
                              </w:rPr>
                            </m:ctrlPr>
                          </m:sSubSupPr>
                          <m:e>
                            <m:r>
                              <w:rPr>
                                <w:rFonts w:ascii="Cambria Math" w:hAnsi="Cambria Math"/>
                                <w:color w:val="auto"/>
                              </w:rPr>
                              <m:t>C</m:t>
                            </m:r>
                          </m:e>
                          <m:sub>
                            <m:r>
                              <w:rPr>
                                <w:rFonts w:ascii="Cambria Math" w:hAnsi="Cambria Math"/>
                                <w:color w:val="auto"/>
                              </w:rPr>
                              <m:t>t</m:t>
                            </m:r>
                          </m:sub>
                          <m:sup>
                            <m:r>
                              <w:rPr>
                                <w:rFonts w:ascii="Cambria Math" w:hAnsi="Cambria Math"/>
                                <w:color w:val="auto"/>
                              </w:rPr>
                              <m:t>DEF</m:t>
                            </m:r>
                          </m:sup>
                        </m:sSubSup>
                        <m:r>
                          <w:rPr>
                            <w:rFonts w:ascii="Cambria Math" w:hAnsi="Cambria Math"/>
                            <w:color w:val="auto"/>
                          </w:rPr>
                          <m:t xml:space="preserve">,  </m:t>
                        </m:r>
                        <m:sSubSup>
                          <m:sSubSupPr>
                            <m:ctrlPr>
                              <w:rPr>
                                <w:rFonts w:ascii="Cambria Math" w:hAnsi="Cambria Math"/>
                                <w:color w:val="auto"/>
                              </w:rPr>
                            </m:ctrlPr>
                          </m:sSubSupPr>
                          <m:e>
                            <m:r>
                              <w:rPr>
                                <w:rFonts w:ascii="Cambria Math" w:hAnsi="Cambria Math"/>
                                <w:color w:val="auto"/>
                              </w:rPr>
                              <m:t>ifE</m:t>
                            </m:r>
                          </m:e>
                          <m:sub>
                            <m:r>
                              <w:rPr>
                                <w:rFonts w:ascii="Cambria Math" w:hAnsi="Cambria Math"/>
                                <w:color w:val="auto"/>
                              </w:rPr>
                              <m:t>j,t</m:t>
                            </m:r>
                          </m:sub>
                          <m:sup>
                            <m:r>
                              <w:rPr>
                                <w:rFonts w:ascii="Cambria Math" w:hAnsi="Cambria Math"/>
                                <w:color w:val="auto"/>
                              </w:rPr>
                              <m:t>dev</m:t>
                            </m:r>
                          </m:sup>
                        </m:sSubSup>
                        <m:r>
                          <w:rPr>
                            <w:rFonts w:ascii="Cambria Math" w:hAnsi="Cambria Math"/>
                            <w:color w:val="auto"/>
                          </w:rPr>
                          <m:t>&lt;0</m:t>
                        </m:r>
                      </m:e>
                    </m:eqArr>
                  </m:e>
                </m:d>
              </m:oMath>
            </m:oMathPara>
          </w:p>
        </w:tc>
        <w:tc>
          <w:tcPr>
            <w:tcW w:w="431" w:type="dxa"/>
            <w:vAlign w:val="center"/>
          </w:tcPr>
          <w:p w14:paraId="3CC7620F" w14:textId="2570BD7C" w:rsidR="000F522C" w:rsidRPr="00647E1F" w:rsidRDefault="000F522C" w:rsidP="00966A38">
            <w:pPr>
              <w:pStyle w:val="MDPI3aequationnumber"/>
              <w:spacing w:line="260" w:lineRule="atLeast"/>
              <w:rPr>
                <w:color w:val="auto"/>
              </w:rPr>
            </w:pPr>
            <w:r w:rsidRPr="00647E1F">
              <w:rPr>
                <w:color w:val="auto"/>
              </w:rPr>
              <w:t>(</w:t>
            </w:r>
            <w:r>
              <w:rPr>
                <w:color w:val="auto"/>
              </w:rPr>
              <w:t>3</w:t>
            </w:r>
            <w:r w:rsidRPr="00647E1F">
              <w:rPr>
                <w:color w:val="auto"/>
              </w:rPr>
              <w:t>)</w:t>
            </w:r>
          </w:p>
        </w:tc>
      </w:tr>
    </w:tbl>
    <w:p w14:paraId="16796AD3" w14:textId="77777777" w:rsidR="00022026" w:rsidRPr="00022026" w:rsidRDefault="00022026" w:rsidP="00022026">
      <w:pPr>
        <w:pStyle w:val="MDPI31text"/>
        <w:rPr>
          <w:color w:val="auto"/>
          <w:lang w:val="en-GB"/>
        </w:rPr>
      </w:pPr>
      <w:r w:rsidRPr="00022026">
        <w:rPr>
          <w:color w:val="auto"/>
          <w:lang w:val="en-GB"/>
        </w:rPr>
        <w:t>Where for the hour t:</w:t>
      </w:r>
    </w:p>
    <w:p w14:paraId="585A1683" w14:textId="77777777" w:rsidR="000F522C" w:rsidRDefault="00000000" w:rsidP="00862F10">
      <w:pPr>
        <w:pStyle w:val="MDPI31text"/>
        <w:numPr>
          <w:ilvl w:val="0"/>
          <w:numId w:val="11"/>
        </w:numPr>
        <w:rPr>
          <w:lang w:val="en-GB"/>
        </w:rPr>
      </w:pPr>
      <m:oMath>
        <m:sSubSup>
          <m:sSubSupPr>
            <m:ctrlPr>
              <w:rPr>
                <w:rFonts w:ascii="Cambria Math" w:hAnsi="Cambria Math"/>
                <w:i/>
                <w:lang w:val="en-GB"/>
              </w:rPr>
            </m:ctrlPr>
          </m:sSubSupPr>
          <m:e>
            <m:r>
              <w:rPr>
                <w:rFonts w:ascii="Cambria Math" w:hAnsi="Cambria Math"/>
                <w:lang w:val="en-GB"/>
              </w:rPr>
              <m:t>C</m:t>
            </m:r>
          </m:e>
          <m:sub>
            <m:r>
              <w:rPr>
                <w:rFonts w:ascii="Cambria Math" w:hAnsi="Cambria Math"/>
                <w:lang w:val="en-GB"/>
              </w:rPr>
              <m:t>t</m:t>
            </m:r>
          </m:sub>
          <m:sup>
            <m:r>
              <w:rPr>
                <w:rFonts w:ascii="Cambria Math" w:hAnsi="Cambria Math"/>
                <w:lang w:val="en-GB"/>
              </w:rPr>
              <m:t>EXC</m:t>
            </m:r>
          </m:sup>
        </m:sSubSup>
        <m:r>
          <w:rPr>
            <w:rFonts w:ascii="Cambria Math" w:hAnsi="Cambria Math"/>
            <w:lang w:val="en-GB"/>
          </w:rPr>
          <m:t xml:space="preserve"> </m:t>
        </m:r>
      </m:oMath>
      <w:r w:rsidR="000F522C" w:rsidRPr="000F522C">
        <w:rPr>
          <w:lang w:val="en-GB"/>
        </w:rPr>
        <w:t xml:space="preserve">is the price paid to the producers with excess generation, </w:t>
      </w:r>
    </w:p>
    <w:p w14:paraId="79595111" w14:textId="06DFF22B" w:rsidR="000F522C" w:rsidRPr="000F522C" w:rsidRDefault="00000000" w:rsidP="00862F10">
      <w:pPr>
        <w:pStyle w:val="MDPI31text"/>
        <w:numPr>
          <w:ilvl w:val="0"/>
          <w:numId w:val="11"/>
        </w:numPr>
        <w:rPr>
          <w:lang w:val="en-GB"/>
        </w:rPr>
      </w:pPr>
      <m:oMath>
        <m:sSubSup>
          <m:sSubSupPr>
            <m:ctrlPr>
              <w:rPr>
                <w:rFonts w:ascii="Cambria Math" w:hAnsi="Cambria Math"/>
                <w:i/>
                <w:lang w:val="en-GB"/>
              </w:rPr>
            </m:ctrlPr>
          </m:sSubSupPr>
          <m:e>
            <m:r>
              <w:rPr>
                <w:rFonts w:ascii="Cambria Math" w:hAnsi="Cambria Math"/>
                <w:lang w:val="en-GB"/>
              </w:rPr>
              <m:t>C</m:t>
            </m:r>
          </m:e>
          <m:sub>
            <m:r>
              <w:rPr>
                <w:rFonts w:ascii="Cambria Math" w:hAnsi="Cambria Math"/>
                <w:lang w:val="en-GB"/>
              </w:rPr>
              <m:t>t</m:t>
            </m:r>
          </m:sub>
          <m:sup>
            <m:r>
              <w:rPr>
                <w:rFonts w:ascii="Cambria Math" w:hAnsi="Cambria Math"/>
                <w:lang w:val="en-GB"/>
              </w:rPr>
              <m:t>DEF</m:t>
            </m:r>
          </m:sup>
        </m:sSubSup>
      </m:oMath>
      <w:r w:rsidR="000F522C" w:rsidRPr="000F522C">
        <w:rPr>
          <w:lang w:val="en-GB"/>
        </w:rPr>
        <w:t xml:space="preserve"> the price paid by producers with a deficit. </w:t>
      </w:r>
    </w:p>
    <w:p w14:paraId="7C62CB7B" w14:textId="77777777" w:rsidR="00022026" w:rsidRPr="00022026" w:rsidRDefault="00022026" w:rsidP="00022026">
      <w:pPr>
        <w:pStyle w:val="MDPI31text"/>
        <w:rPr>
          <w:color w:val="auto"/>
          <w:lang w:val="en-GB"/>
        </w:rPr>
      </w:pPr>
      <w:r w:rsidRPr="00022026">
        <w:rPr>
          <w:color w:val="auto"/>
          <w:lang w:val="en-GB"/>
        </w:rPr>
        <w:t>The maximum total remuneration at hour t is given by:</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0F522C" w:rsidRPr="00647E1F" w14:paraId="671FFFA6" w14:textId="77777777" w:rsidTr="00966A38">
        <w:tc>
          <w:tcPr>
            <w:tcW w:w="7428" w:type="dxa"/>
          </w:tcPr>
          <w:p w14:paraId="743D49B5" w14:textId="003FCC50" w:rsidR="000F522C" w:rsidRPr="00647E1F" w:rsidRDefault="00000000" w:rsidP="000F522C">
            <w:pPr>
              <w:pStyle w:val="MDPI39equation"/>
              <w:rPr>
                <w:color w:val="auto"/>
              </w:rPr>
            </w:pPr>
            <m:oMathPara>
              <m:oMath>
                <m:sSub>
                  <m:sSubPr>
                    <m:ctrlPr>
                      <w:rPr>
                        <w:rFonts w:ascii="Cambria Math" w:hAnsi="Cambria Math"/>
                        <w:color w:val="auto"/>
                      </w:rPr>
                    </m:ctrlPr>
                  </m:sSubPr>
                  <m:e>
                    <m:r>
                      <w:rPr>
                        <w:rFonts w:ascii="Cambria Math" w:hAnsi="Cambria Math"/>
                        <w:color w:val="auto"/>
                      </w:rPr>
                      <m:t>R</m:t>
                    </m:r>
                  </m:e>
                  <m:sub>
                    <m:r>
                      <w:rPr>
                        <w:rFonts w:ascii="Cambria Math" w:hAnsi="Cambria Math"/>
                        <w:color w:val="auto"/>
                      </w:rPr>
                      <m:t>t</m:t>
                    </m:r>
                  </m:sub>
                </m:sSub>
                <m:r>
                  <w:rPr>
                    <w:rFonts w:ascii="Cambria Math" w:hAnsi="Cambria Math"/>
                    <w:color w:val="auto"/>
                  </w:rPr>
                  <m:t>=</m:t>
                </m:r>
                <m:func>
                  <m:funcPr>
                    <m:ctrlPr>
                      <w:rPr>
                        <w:rFonts w:ascii="Cambria Math" w:hAnsi="Cambria Math"/>
                        <w:color w:val="auto"/>
                      </w:rPr>
                    </m:ctrlPr>
                  </m:funcPr>
                  <m:fName>
                    <m:limLow>
                      <m:limLowPr>
                        <m:ctrlPr>
                          <w:rPr>
                            <w:rFonts w:ascii="Cambria Math" w:hAnsi="Cambria Math"/>
                            <w:color w:val="auto"/>
                          </w:rPr>
                        </m:ctrlPr>
                      </m:limLowPr>
                      <m:e>
                        <m:r>
                          <m:rPr>
                            <m:sty m:val="p"/>
                          </m:rPr>
                          <w:rPr>
                            <w:rFonts w:ascii="Cambria Math" w:hAnsi="Cambria Math"/>
                            <w:color w:val="auto"/>
                          </w:rPr>
                          <m:t>max</m:t>
                        </m:r>
                      </m:e>
                      <m:lim>
                        <m:r>
                          <w:rPr>
                            <w:rFonts w:ascii="Cambria Math" w:hAnsi="Cambria Math"/>
                            <w:color w:val="auto"/>
                          </w:rPr>
                          <m:t>j</m:t>
                        </m:r>
                      </m:lim>
                    </m:limLow>
                  </m:fName>
                  <m:e>
                    <m:d>
                      <m:dPr>
                        <m:ctrlPr>
                          <w:rPr>
                            <w:rFonts w:ascii="Cambria Math" w:hAnsi="Cambria Math"/>
                            <w:color w:val="auto"/>
                          </w:rPr>
                        </m:ctrlPr>
                      </m:dPr>
                      <m:e>
                        <m:sSubSup>
                          <m:sSubSupPr>
                            <m:ctrlPr>
                              <w:rPr>
                                <w:rFonts w:ascii="Cambria Math" w:hAnsi="Cambria Math"/>
                                <w:color w:val="auto"/>
                              </w:rPr>
                            </m:ctrlPr>
                          </m:sSubSupPr>
                          <m:e>
                            <m:r>
                              <w:rPr>
                                <w:rFonts w:ascii="Cambria Math" w:hAnsi="Cambria Math"/>
                                <w:color w:val="auto"/>
                              </w:rPr>
                              <m:t>R</m:t>
                            </m:r>
                          </m:e>
                          <m:sub>
                            <m:r>
                              <w:rPr>
                                <w:rFonts w:ascii="Cambria Math" w:hAnsi="Cambria Math"/>
                                <w:color w:val="auto"/>
                              </w:rPr>
                              <m:t>j,t</m:t>
                            </m:r>
                          </m:sub>
                          <m:sup>
                            <m:r>
                              <w:rPr>
                                <w:rFonts w:ascii="Cambria Math" w:hAnsi="Cambria Math"/>
                                <w:color w:val="auto"/>
                              </w:rPr>
                              <m:t>DAM</m:t>
                            </m:r>
                          </m:sup>
                        </m:sSubSup>
                        <m:r>
                          <w:rPr>
                            <w:rFonts w:ascii="Cambria Math" w:hAnsi="Cambria Math"/>
                            <w:color w:val="auto"/>
                          </w:rPr>
                          <m:t>+</m:t>
                        </m:r>
                        <m:sSubSup>
                          <m:sSubSupPr>
                            <m:ctrlPr>
                              <w:rPr>
                                <w:rFonts w:ascii="Cambria Math" w:hAnsi="Cambria Math"/>
                                <w:color w:val="auto"/>
                              </w:rPr>
                            </m:ctrlPr>
                          </m:sSubSupPr>
                          <m:e>
                            <m:r>
                              <w:rPr>
                                <w:rFonts w:ascii="Cambria Math" w:hAnsi="Cambria Math"/>
                                <w:color w:val="auto"/>
                              </w:rPr>
                              <m:t>R</m:t>
                            </m:r>
                          </m:e>
                          <m:sub>
                            <m:r>
                              <w:rPr>
                                <w:rFonts w:ascii="Cambria Math" w:hAnsi="Cambria Math"/>
                                <w:color w:val="auto"/>
                              </w:rPr>
                              <m:t>j,t</m:t>
                            </m:r>
                          </m:sub>
                          <m:sup>
                            <m:r>
                              <w:rPr>
                                <w:rFonts w:ascii="Cambria Math" w:hAnsi="Cambria Math"/>
                                <w:color w:val="auto"/>
                              </w:rPr>
                              <m:t>IS</m:t>
                            </m:r>
                          </m:sup>
                        </m:sSubSup>
                      </m:e>
                    </m:d>
                  </m:e>
                </m:func>
              </m:oMath>
            </m:oMathPara>
          </w:p>
        </w:tc>
        <w:tc>
          <w:tcPr>
            <w:tcW w:w="431" w:type="dxa"/>
            <w:vAlign w:val="center"/>
          </w:tcPr>
          <w:p w14:paraId="6E41A33B" w14:textId="79B33CB7" w:rsidR="000F522C" w:rsidRPr="00647E1F" w:rsidRDefault="000F522C" w:rsidP="000F522C">
            <w:pPr>
              <w:pStyle w:val="MDPI3aequationnumber"/>
              <w:spacing w:line="260" w:lineRule="atLeast"/>
              <w:rPr>
                <w:color w:val="auto"/>
              </w:rPr>
            </w:pPr>
            <w:r w:rsidRPr="00647E1F">
              <w:rPr>
                <w:color w:val="auto"/>
              </w:rPr>
              <w:t>(</w:t>
            </w:r>
            <w:r>
              <w:rPr>
                <w:color w:val="auto"/>
              </w:rPr>
              <w:t>4</w:t>
            </w:r>
            <w:r w:rsidRPr="00647E1F">
              <w:rPr>
                <w:color w:val="auto"/>
              </w:rPr>
              <w:t>)</w:t>
            </w:r>
          </w:p>
        </w:tc>
      </w:tr>
    </w:tbl>
    <w:p w14:paraId="2E07F318" w14:textId="77777777" w:rsidR="00022026" w:rsidRPr="00022026" w:rsidRDefault="00022026" w:rsidP="00022026">
      <w:pPr>
        <w:pStyle w:val="MDPI31text"/>
        <w:rPr>
          <w:color w:val="auto"/>
          <w:lang w:val="en-GB"/>
        </w:rPr>
      </w:pPr>
      <w:r w:rsidRPr="00022026">
        <w:rPr>
          <w:color w:val="auto"/>
          <w:lang w:val="en-GB"/>
        </w:rPr>
        <w:t>The optimal quantile for each hour t, which maximizes the total remuneration, corresponds to the quantile with index:</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0F522C" w:rsidRPr="00647E1F" w14:paraId="6F48E8BA" w14:textId="77777777" w:rsidTr="00966A38">
        <w:tc>
          <w:tcPr>
            <w:tcW w:w="7428" w:type="dxa"/>
          </w:tcPr>
          <w:p w14:paraId="07A48C8E" w14:textId="05AB3BF7" w:rsidR="000F522C" w:rsidRPr="00647E1F" w:rsidRDefault="00000000" w:rsidP="000F522C">
            <w:pPr>
              <w:pStyle w:val="MDPI39equation"/>
              <w:rPr>
                <w:color w:val="auto"/>
              </w:rPr>
            </w:pPr>
            <m:oMathPara>
              <m:oMath>
                <m:sSubSup>
                  <m:sSubSupPr>
                    <m:ctrlPr>
                      <w:rPr>
                        <w:rFonts w:ascii="Cambria Math" w:hAnsi="Cambria Math"/>
                        <w:color w:val="auto"/>
                      </w:rPr>
                    </m:ctrlPr>
                  </m:sSubSupPr>
                  <m:e>
                    <m:r>
                      <w:rPr>
                        <w:rFonts w:ascii="Cambria Math" w:hAnsi="Cambria Math"/>
                        <w:color w:val="auto"/>
                      </w:rPr>
                      <m:t>j</m:t>
                    </m:r>
                  </m:e>
                  <m:sub>
                    <m:r>
                      <w:rPr>
                        <w:rFonts w:ascii="Cambria Math" w:hAnsi="Cambria Math"/>
                        <w:color w:val="auto"/>
                      </w:rPr>
                      <m:t>t</m:t>
                    </m:r>
                  </m:sub>
                  <m:sup>
                    <m:r>
                      <w:rPr>
                        <w:rFonts w:ascii="Cambria Math" w:hAnsi="Cambria Math"/>
                        <w:color w:val="auto"/>
                      </w:rPr>
                      <m:t>*</m:t>
                    </m:r>
                  </m:sup>
                </m:sSubSup>
                <m:r>
                  <w:rPr>
                    <w:rFonts w:ascii="Cambria Math" w:hAnsi="Cambria Math"/>
                    <w:color w:val="auto"/>
                  </w:rPr>
                  <m:t>=</m:t>
                </m:r>
                <m:func>
                  <m:funcPr>
                    <m:ctrlPr>
                      <w:rPr>
                        <w:rFonts w:ascii="Cambria Math" w:hAnsi="Cambria Math"/>
                        <w:color w:val="auto"/>
                      </w:rPr>
                    </m:ctrlPr>
                  </m:funcPr>
                  <m:fName>
                    <m:r>
                      <w:rPr>
                        <w:rFonts w:ascii="Cambria Math" w:hAnsi="Cambria Math"/>
                        <w:color w:val="auto"/>
                      </w:rPr>
                      <m:t>arg</m:t>
                    </m:r>
                    <m:limLow>
                      <m:limLowPr>
                        <m:ctrlPr>
                          <w:rPr>
                            <w:rFonts w:ascii="Cambria Math" w:hAnsi="Cambria Math"/>
                            <w:color w:val="auto"/>
                          </w:rPr>
                        </m:ctrlPr>
                      </m:limLowPr>
                      <m:e>
                        <m:r>
                          <m:rPr>
                            <m:sty m:val="p"/>
                          </m:rPr>
                          <w:rPr>
                            <w:rFonts w:ascii="Cambria Math" w:hAnsi="Cambria Math"/>
                            <w:color w:val="auto"/>
                          </w:rPr>
                          <m:t>max</m:t>
                        </m:r>
                      </m:e>
                      <m:lim>
                        <m:r>
                          <w:rPr>
                            <w:rFonts w:ascii="Cambria Math" w:hAnsi="Cambria Math"/>
                            <w:color w:val="auto"/>
                          </w:rPr>
                          <m:t>j</m:t>
                        </m:r>
                      </m:lim>
                    </m:limLow>
                  </m:fName>
                  <m:e>
                    <m:r>
                      <w:rPr>
                        <w:rFonts w:ascii="Cambria Math" w:hAnsi="Cambria Math"/>
                        <w:color w:val="auto"/>
                      </w:rPr>
                      <m:t>(</m:t>
                    </m:r>
                    <m:sSub>
                      <m:sSubPr>
                        <m:ctrlPr>
                          <w:rPr>
                            <w:rFonts w:ascii="Cambria Math" w:hAnsi="Cambria Math"/>
                            <w:color w:val="auto"/>
                          </w:rPr>
                        </m:ctrlPr>
                      </m:sSubPr>
                      <m:e>
                        <m:r>
                          <w:rPr>
                            <w:rFonts w:ascii="Cambria Math" w:hAnsi="Cambria Math"/>
                            <w:color w:val="auto"/>
                          </w:rPr>
                          <m:t>R</m:t>
                        </m:r>
                      </m:e>
                      <m:sub>
                        <m:r>
                          <w:rPr>
                            <w:rFonts w:ascii="Cambria Math" w:hAnsi="Cambria Math"/>
                            <w:color w:val="auto"/>
                          </w:rPr>
                          <m:t>t</m:t>
                        </m:r>
                      </m:sub>
                    </m:sSub>
                  </m:e>
                </m:func>
                <m:r>
                  <w:rPr>
                    <w:rFonts w:ascii="Cambria Math" w:hAnsi="Cambria Math"/>
                    <w:color w:val="auto"/>
                  </w:rPr>
                  <m:t>)</m:t>
                </m:r>
              </m:oMath>
            </m:oMathPara>
          </w:p>
        </w:tc>
        <w:tc>
          <w:tcPr>
            <w:tcW w:w="431" w:type="dxa"/>
            <w:vAlign w:val="center"/>
          </w:tcPr>
          <w:p w14:paraId="4EB0CA2C" w14:textId="6DA5FD80" w:rsidR="000F522C" w:rsidRPr="00647E1F" w:rsidRDefault="000F522C" w:rsidP="000F522C">
            <w:pPr>
              <w:pStyle w:val="MDPI3aequationnumber"/>
              <w:spacing w:line="260" w:lineRule="atLeast"/>
              <w:rPr>
                <w:color w:val="auto"/>
              </w:rPr>
            </w:pPr>
            <w:r w:rsidRPr="00647E1F">
              <w:rPr>
                <w:color w:val="auto"/>
              </w:rPr>
              <w:t>(</w:t>
            </w:r>
            <w:r>
              <w:rPr>
                <w:color w:val="auto"/>
              </w:rPr>
              <w:t>5</w:t>
            </w:r>
            <w:r w:rsidRPr="00647E1F">
              <w:rPr>
                <w:color w:val="auto"/>
              </w:rPr>
              <w:t>)</w:t>
            </w:r>
          </w:p>
        </w:tc>
      </w:tr>
    </w:tbl>
    <w:p w14:paraId="7FB58B89" w14:textId="18C2050E" w:rsidR="00022026" w:rsidRPr="00022026" w:rsidRDefault="000F522C" w:rsidP="00022026">
      <w:pPr>
        <w:pStyle w:val="MDPI31text"/>
        <w:rPr>
          <w:color w:val="auto"/>
          <w:lang w:val="en-GB"/>
        </w:rPr>
      </w:pPr>
      <w:r>
        <w:rPr>
          <w:color w:val="auto"/>
          <w:lang w:val="en-GB"/>
        </w:rPr>
        <w:t>Considering also the participation of vRES in intraday and balancing markets, t</w:t>
      </w:r>
      <w:r w:rsidR="00022026" w:rsidRPr="00022026">
        <w:rPr>
          <w:color w:val="auto"/>
          <w:lang w:val="en-GB"/>
        </w:rPr>
        <w:t>he deviation from the DAM schedule (2) can be addressed in other markets, where the remuneration (4) depends on the market conditions and prices.</w:t>
      </w:r>
    </w:p>
    <w:p w14:paraId="49D4D5A7" w14:textId="3B1C8040" w:rsidR="00022026" w:rsidRPr="00022026" w:rsidRDefault="00022026" w:rsidP="00022026">
      <w:pPr>
        <w:pStyle w:val="MDPI31text"/>
        <w:rPr>
          <w:color w:val="auto"/>
          <w:lang w:val="en-GB"/>
        </w:rPr>
      </w:pPr>
      <w:r w:rsidRPr="00022026">
        <w:rPr>
          <w:color w:val="auto"/>
          <w:lang w:val="en-GB"/>
        </w:rPr>
        <w:t xml:space="preserve">When participating in the IDMs, the producer can adjust their position after the DAM and before the </w:t>
      </w:r>
      <w:r w:rsidR="005C0F64">
        <w:rPr>
          <w:color w:val="auto"/>
          <w:lang w:val="en-GB"/>
        </w:rPr>
        <w:t>IS</w:t>
      </w:r>
      <w:r w:rsidRPr="00022026">
        <w:rPr>
          <w:color w:val="auto"/>
          <w:lang w:val="en-GB"/>
        </w:rPr>
        <w:t>. In the ideal scenario, any deviation can be settled in the market with a higher price in the case of a positive deviation, or a lower price if there is a deficit.</w:t>
      </w:r>
      <w:r w:rsidR="00EC78BB">
        <w:rPr>
          <w:color w:val="auto"/>
          <w:lang w:val="en-GB"/>
        </w:rPr>
        <w:t xml:space="preserve"> </w:t>
      </w:r>
      <w:r w:rsidRPr="00022026">
        <w:rPr>
          <w:color w:val="auto"/>
          <w:lang w:val="en-GB"/>
        </w:rPr>
        <w:t xml:space="preserve">The price considered for </w:t>
      </w:r>
      <w:r w:rsidR="005C0F64">
        <w:rPr>
          <w:color w:val="auto"/>
          <w:lang w:val="en-GB"/>
        </w:rPr>
        <w:t>intraday continuous (</w:t>
      </w:r>
      <w:r w:rsidRPr="00022026">
        <w:rPr>
          <w:color w:val="auto"/>
          <w:lang w:val="en-GB"/>
        </w:rPr>
        <w:t>IDC</w:t>
      </w:r>
      <w:r w:rsidR="005C0F64">
        <w:rPr>
          <w:color w:val="auto"/>
          <w:lang w:val="en-GB"/>
        </w:rPr>
        <w:t>)</w:t>
      </w:r>
      <w:r w:rsidRPr="00022026">
        <w:rPr>
          <w:color w:val="auto"/>
          <w:lang w:val="en-GB"/>
        </w:rPr>
        <w:t xml:space="preserve"> is the DAM price.</w:t>
      </w:r>
    </w:p>
    <w:p w14:paraId="1C596012" w14:textId="2FF58FC5" w:rsidR="00022026" w:rsidRPr="00022026" w:rsidRDefault="00022026" w:rsidP="00022026">
      <w:pPr>
        <w:pStyle w:val="MDPI31text"/>
        <w:rPr>
          <w:color w:val="auto"/>
          <w:lang w:val="en-GB"/>
        </w:rPr>
      </w:pPr>
      <w:r w:rsidRPr="00022026">
        <w:rPr>
          <w:color w:val="auto"/>
          <w:lang w:val="en-GB"/>
        </w:rPr>
        <w:t>Since primary reserve is not procured in markets, only the participation in the secondary and tertiary reserve</w:t>
      </w:r>
      <w:r w:rsidR="005C0F64">
        <w:rPr>
          <w:color w:val="auto"/>
          <w:lang w:val="en-GB"/>
        </w:rPr>
        <w:t xml:space="preserve"> (TR)</w:t>
      </w:r>
      <w:r w:rsidRPr="00022026">
        <w:rPr>
          <w:color w:val="auto"/>
          <w:lang w:val="en-GB"/>
        </w:rPr>
        <w:t xml:space="preserve"> were considered.</w:t>
      </w:r>
    </w:p>
    <w:p w14:paraId="1B92E28D" w14:textId="182101AC" w:rsidR="00022026" w:rsidRPr="00022026" w:rsidRDefault="00022026" w:rsidP="00022026">
      <w:pPr>
        <w:pStyle w:val="MDPI31text"/>
        <w:rPr>
          <w:color w:val="auto"/>
          <w:lang w:val="en-GB"/>
        </w:rPr>
      </w:pPr>
      <w:r w:rsidRPr="00022026">
        <w:rPr>
          <w:color w:val="auto"/>
          <w:lang w:val="en-GB"/>
        </w:rPr>
        <w:t xml:space="preserve">Participation in the secondary reserve </w:t>
      </w:r>
      <w:r w:rsidR="005C0F64">
        <w:rPr>
          <w:color w:val="auto"/>
          <w:lang w:val="en-GB"/>
        </w:rPr>
        <w:t xml:space="preserve">(SR) </w:t>
      </w:r>
      <w:r w:rsidRPr="00022026">
        <w:rPr>
          <w:color w:val="auto"/>
          <w:lang w:val="en-GB"/>
        </w:rPr>
        <w:t xml:space="preserve">includes both the capacity and energy markets, as well as the </w:t>
      </w:r>
      <w:r w:rsidR="005C0F64">
        <w:rPr>
          <w:color w:val="auto"/>
          <w:lang w:val="en-GB"/>
        </w:rPr>
        <w:t>IS</w:t>
      </w:r>
      <w:r w:rsidRPr="00022026">
        <w:rPr>
          <w:color w:val="auto"/>
          <w:lang w:val="en-GB"/>
        </w:rPr>
        <w:t xml:space="preserve"> process.</w:t>
      </w:r>
    </w:p>
    <w:p w14:paraId="34DCEF3F" w14:textId="20FFBBC7" w:rsidR="00022026" w:rsidRPr="00022026" w:rsidRDefault="00022026" w:rsidP="00022026">
      <w:pPr>
        <w:pStyle w:val="MDPI31text"/>
        <w:rPr>
          <w:color w:val="auto"/>
          <w:lang w:val="en-GB"/>
        </w:rPr>
      </w:pPr>
      <w:r w:rsidRPr="00022026">
        <w:rPr>
          <w:color w:val="auto"/>
          <w:lang w:val="en-GB"/>
        </w:rPr>
        <w:t>In the capacity market, the producer receives</w:t>
      </w:r>
      <w:r w:rsidR="000F522C">
        <w:rPr>
          <w:color w:val="auto"/>
          <w:lang w:val="en-GB"/>
        </w:rPr>
        <w:t xml:space="preserve"> </w:t>
      </w:r>
      <m:oMath>
        <m:sSubSup>
          <m:sSubSupPr>
            <m:ctrlPr>
              <w:rPr>
                <w:rFonts w:ascii="Cambria Math" w:hAnsi="Cambria Math"/>
                <w:color w:val="auto"/>
                <w:lang w:val="en-GB"/>
              </w:rPr>
            </m:ctrlPr>
          </m:sSubSupPr>
          <m:e>
            <m:r>
              <w:rPr>
                <w:rFonts w:ascii="Cambria Math" w:hAnsi="Cambria Math"/>
                <w:color w:val="auto"/>
                <w:lang w:val="en-GB"/>
              </w:rPr>
              <m:t>C</m:t>
            </m:r>
          </m:e>
          <m:sub>
            <m:r>
              <w:rPr>
                <w:rFonts w:ascii="Cambria Math" w:hAnsi="Cambria Math"/>
                <w:color w:val="auto"/>
                <w:lang w:val="en-GB"/>
              </w:rPr>
              <m:t>t</m:t>
            </m:r>
          </m:sub>
          <m:sup>
            <m:r>
              <w:rPr>
                <w:rFonts w:ascii="Cambria Math" w:hAnsi="Cambria Math"/>
                <w:color w:val="auto"/>
                <w:lang w:val="en-GB"/>
              </w:rPr>
              <m:t>CAP</m:t>
            </m:r>
          </m:sup>
        </m:sSubSup>
        <m:r>
          <w:rPr>
            <w:rFonts w:ascii="Cambria Math"/>
            <w:color w:val="auto"/>
            <w:lang w:val="en-GB"/>
          </w:rPr>
          <m:t xml:space="preserve"> </m:t>
        </m:r>
      </m:oMath>
      <w:r w:rsidRPr="00022026">
        <w:rPr>
          <w:color w:val="auto"/>
          <w:lang w:val="en-GB"/>
        </w:rPr>
        <w:t xml:space="preserve">for each unit of reserve capacity sold. The offer is constrained by the TSO’s requirements, meaning the producer cannot </w:t>
      </w:r>
      <w:r w:rsidRPr="00022026">
        <w:rPr>
          <w:color w:val="auto"/>
          <w:lang w:val="en-GB"/>
        </w:rPr>
        <w:lastRenderedPageBreak/>
        <w:t xml:space="preserve">offer more balancing capacity than the TSO’s needs. Under both the </w:t>
      </w:r>
      <w:r w:rsidR="00B320ED">
        <w:rPr>
          <w:color w:val="auto"/>
          <w:lang w:val="en-GB"/>
        </w:rPr>
        <w:t>past</w:t>
      </w:r>
      <w:r w:rsidRPr="00022026">
        <w:rPr>
          <w:color w:val="auto"/>
          <w:lang w:val="en-GB"/>
        </w:rPr>
        <w:t xml:space="preserve"> and current market designs, the bid for downward balancing capacity must be half of the bid for upward balancing capacity.</w:t>
      </w:r>
    </w:p>
    <w:p w14:paraId="1AD319D5" w14:textId="3BEDB398" w:rsidR="00022026" w:rsidRPr="00022026" w:rsidRDefault="00022026" w:rsidP="00022026">
      <w:pPr>
        <w:pStyle w:val="MDPI31text"/>
        <w:rPr>
          <w:color w:val="auto"/>
          <w:lang w:val="en-GB"/>
        </w:rPr>
      </w:pPr>
      <w:r w:rsidRPr="00022026">
        <w:rPr>
          <w:color w:val="auto"/>
          <w:lang w:val="en-GB"/>
        </w:rPr>
        <w:t>However, under perfect forecasting, the offer for upward balancing capacity is not limited to available capacity. Producers can bid beyond their available resources and capitalize on potential negative prices in the IS.</w:t>
      </w:r>
    </w:p>
    <w:p w14:paraId="2F92C0F8" w14:textId="77777777" w:rsidR="00022026" w:rsidRPr="00022026" w:rsidRDefault="00022026" w:rsidP="00022026">
      <w:pPr>
        <w:pStyle w:val="MDPI31text"/>
        <w:rPr>
          <w:color w:val="auto"/>
          <w:lang w:val="en-GB"/>
        </w:rPr>
      </w:pPr>
      <w:r w:rsidRPr="00022026">
        <w:rPr>
          <w:color w:val="auto"/>
          <w:lang w:val="en-GB"/>
        </w:rPr>
        <w:t>The final offer consists of the bid in the DAM and the upward balancing capacity.</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0F522C" w:rsidRPr="00647E1F" w14:paraId="719DD95C" w14:textId="77777777" w:rsidTr="00966A38">
        <w:tc>
          <w:tcPr>
            <w:tcW w:w="7428" w:type="dxa"/>
          </w:tcPr>
          <w:p w14:paraId="7C4C7059" w14:textId="2CB0B4BB" w:rsidR="000F522C" w:rsidRPr="00647E1F" w:rsidRDefault="00000000" w:rsidP="00966A38">
            <w:pPr>
              <w:pStyle w:val="MDPI39equation"/>
              <w:rPr>
                <w:color w:val="auto"/>
              </w:rPr>
            </w:pPr>
            <m:oMathPara>
              <m:oMath>
                <m:sSubSup>
                  <m:sSubSupPr>
                    <m:ctrlPr>
                      <w:rPr>
                        <w:rFonts w:ascii="Cambria Math" w:hAnsi="Cambria Math"/>
                        <w:color w:val="auto"/>
                      </w:rPr>
                    </m:ctrlPr>
                  </m:sSubSupPr>
                  <m:e>
                    <m:r>
                      <w:rPr>
                        <w:rFonts w:ascii="Cambria Math" w:hAnsi="Cambria Math"/>
                        <w:color w:val="auto"/>
                      </w:rPr>
                      <m:t>P</m:t>
                    </m:r>
                  </m:e>
                  <m:sub>
                    <m:r>
                      <w:rPr>
                        <w:rFonts w:ascii="Cambria Math" w:hAnsi="Cambria Math"/>
                        <w:color w:val="auto"/>
                      </w:rPr>
                      <m:t>j,t</m:t>
                    </m:r>
                  </m:sub>
                  <m:sup>
                    <m:r>
                      <w:rPr>
                        <w:rFonts w:ascii="Cambria Math" w:hAnsi="Cambria Math"/>
                        <w:color w:val="auto"/>
                      </w:rPr>
                      <m:t>final offer</m:t>
                    </m:r>
                  </m:sup>
                </m:sSubSup>
                <m:r>
                  <w:rPr>
                    <w:rFonts w:ascii="Cambria Math" w:hAnsi="Cambria Math"/>
                    <w:color w:val="auto"/>
                  </w:rPr>
                  <m:t>=</m:t>
                </m:r>
                <m:sSubSup>
                  <m:sSubSupPr>
                    <m:ctrlPr>
                      <w:rPr>
                        <w:rFonts w:ascii="Cambria Math" w:hAnsi="Cambria Math"/>
                        <w:color w:val="auto"/>
                      </w:rPr>
                    </m:ctrlPr>
                  </m:sSubSupPr>
                  <m:e>
                    <m:r>
                      <w:rPr>
                        <w:rFonts w:ascii="Cambria Math" w:hAnsi="Cambria Math"/>
                        <w:color w:val="auto"/>
                      </w:rPr>
                      <m:t>P</m:t>
                    </m:r>
                  </m:e>
                  <m:sub>
                    <m:r>
                      <w:rPr>
                        <w:rFonts w:ascii="Cambria Math" w:hAnsi="Cambria Math"/>
                        <w:color w:val="auto"/>
                      </w:rPr>
                      <m:t>j,t</m:t>
                    </m:r>
                  </m:sub>
                  <m:sup>
                    <m:r>
                      <w:rPr>
                        <w:rFonts w:ascii="Cambria Math" w:hAnsi="Cambria Math"/>
                        <w:color w:val="auto"/>
                      </w:rPr>
                      <m:t>DAM</m:t>
                    </m:r>
                  </m:sup>
                </m:sSubSup>
                <m:r>
                  <w:rPr>
                    <w:rFonts w:ascii="Cambria Math" w:hAnsi="Cambria Math"/>
                    <w:color w:val="auto"/>
                  </w:rPr>
                  <m:t>+</m:t>
                </m:r>
                <m:sSubSup>
                  <m:sSubSupPr>
                    <m:ctrlPr>
                      <w:rPr>
                        <w:rFonts w:ascii="Cambria Math" w:hAnsi="Cambria Math"/>
                        <w:color w:val="auto"/>
                      </w:rPr>
                    </m:ctrlPr>
                  </m:sSubSupPr>
                  <m:e>
                    <m:r>
                      <w:rPr>
                        <w:rFonts w:ascii="Cambria Math" w:hAnsi="Cambria Math"/>
                        <w:color w:val="auto"/>
                      </w:rPr>
                      <m:t>P</m:t>
                    </m:r>
                  </m:e>
                  <m:sub>
                    <m:r>
                      <w:rPr>
                        <w:rFonts w:ascii="Cambria Math" w:hAnsi="Cambria Math"/>
                        <w:color w:val="auto"/>
                      </w:rPr>
                      <m:t>j,t</m:t>
                    </m:r>
                  </m:sub>
                  <m:sup>
                    <m:r>
                      <w:rPr>
                        <w:rFonts w:ascii="Cambria Math" w:hAnsi="Cambria Math"/>
                        <w:color w:val="auto"/>
                      </w:rPr>
                      <m:t>SR+</m:t>
                    </m:r>
                  </m:sup>
                </m:sSubSup>
              </m:oMath>
            </m:oMathPara>
          </w:p>
        </w:tc>
        <w:tc>
          <w:tcPr>
            <w:tcW w:w="431" w:type="dxa"/>
            <w:vAlign w:val="center"/>
          </w:tcPr>
          <w:p w14:paraId="1B7EFC32" w14:textId="354A1028" w:rsidR="000F522C" w:rsidRPr="00647E1F" w:rsidRDefault="000F522C" w:rsidP="000F522C">
            <w:pPr>
              <w:pStyle w:val="MDPI3aequationnumber"/>
              <w:spacing w:line="260" w:lineRule="atLeast"/>
              <w:rPr>
                <w:color w:val="auto"/>
              </w:rPr>
            </w:pPr>
            <w:r w:rsidRPr="00647E1F">
              <w:rPr>
                <w:color w:val="auto"/>
              </w:rPr>
              <w:t>(</w:t>
            </w:r>
            <w:r>
              <w:rPr>
                <w:color w:val="auto"/>
              </w:rPr>
              <w:t>6</w:t>
            </w:r>
            <w:r w:rsidRPr="00647E1F">
              <w:rPr>
                <w:color w:val="auto"/>
              </w:rPr>
              <w:t>)</w:t>
            </w:r>
          </w:p>
        </w:tc>
      </w:tr>
    </w:tbl>
    <w:p w14:paraId="2339AA5D" w14:textId="07E1217A" w:rsidR="00022026" w:rsidRPr="00022026" w:rsidRDefault="00022026" w:rsidP="00022026">
      <w:pPr>
        <w:pStyle w:val="MDPI31text"/>
        <w:rPr>
          <w:color w:val="auto"/>
          <w:lang w:val="en-GB"/>
        </w:rPr>
      </w:pPr>
      <w:r w:rsidRPr="00022026">
        <w:rPr>
          <w:color w:val="auto"/>
          <w:lang w:val="en-GB"/>
        </w:rPr>
        <w:t>The bid in the energy market must fall within the range set by the offer in the capacity market and is subject to the TSO's requirements. The producer bids at 0 €/MWh for upward regulation and at the DAM price for downward regulation, either receiving or paying the cleari</w:t>
      </w:r>
      <w:r w:rsidR="000F522C">
        <w:rPr>
          <w:color w:val="auto"/>
          <w:lang w:val="en-GB"/>
        </w:rPr>
        <w:t xml:space="preserve">ng price. The producer receives </w:t>
      </w:r>
      <m:oMath>
        <m:sSubSup>
          <m:sSubSupPr>
            <m:ctrlPr>
              <w:rPr>
                <w:rFonts w:ascii="Cambria Math" w:hAnsi="Cambria Math"/>
                <w:color w:val="auto"/>
                <w:lang w:val="en-GB"/>
              </w:rPr>
            </m:ctrlPr>
          </m:sSubSupPr>
          <m:e>
            <m:r>
              <w:rPr>
                <w:rFonts w:ascii="Cambria Math" w:hAnsi="Cambria Math"/>
                <w:color w:val="auto"/>
                <w:lang w:val="en-GB"/>
              </w:rPr>
              <m:t>C</m:t>
            </m:r>
          </m:e>
          <m:sub>
            <m:r>
              <w:rPr>
                <w:rFonts w:ascii="Cambria Math" w:hAnsi="Cambria Math"/>
                <w:color w:val="auto"/>
                <w:lang w:val="en-GB"/>
              </w:rPr>
              <m:t>t</m:t>
            </m:r>
          </m:sub>
          <m:sup>
            <m:r>
              <w:rPr>
                <w:rFonts w:ascii="Cambria Math" w:hAnsi="Cambria Math"/>
                <w:color w:val="auto"/>
                <w:lang w:val="en-GB"/>
              </w:rPr>
              <m:t>TR+</m:t>
            </m:r>
          </m:sup>
        </m:sSubSup>
      </m:oMath>
      <w:r w:rsidRPr="00022026">
        <w:rPr>
          <w:color w:val="auto"/>
          <w:lang w:val="en-GB"/>
        </w:rPr>
        <w:t xml:space="preserve">when providing upward balancing energy and pays </w:t>
      </w:r>
      <m:oMath>
        <m:sSubSup>
          <m:sSubSupPr>
            <m:ctrlPr>
              <w:rPr>
                <w:rFonts w:ascii="Cambria Math" w:hAnsi="Cambria Math"/>
                <w:color w:val="auto"/>
                <w:lang w:val="en-GB"/>
              </w:rPr>
            </m:ctrlPr>
          </m:sSubSupPr>
          <m:e>
            <m:r>
              <w:rPr>
                <w:rFonts w:ascii="Cambria Math" w:hAnsi="Cambria Math"/>
                <w:color w:val="auto"/>
                <w:lang w:val="en-GB"/>
              </w:rPr>
              <m:t>C</m:t>
            </m:r>
          </m:e>
          <m:sub>
            <m:r>
              <w:rPr>
                <w:rFonts w:ascii="Cambria Math" w:hAnsi="Cambria Math"/>
                <w:color w:val="auto"/>
                <w:lang w:val="en-GB"/>
              </w:rPr>
              <m:t>t</m:t>
            </m:r>
          </m:sub>
          <m:sup>
            <m:r>
              <w:rPr>
                <w:rFonts w:ascii="Cambria Math" w:hAnsi="Cambria Math"/>
                <w:color w:val="auto"/>
                <w:lang w:val="en-GB"/>
              </w:rPr>
              <m:t>TR-</m:t>
            </m:r>
          </m:sup>
        </m:sSubSup>
        <m:r>
          <w:rPr>
            <w:rFonts w:ascii="Cambria Math"/>
            <w:color w:val="auto"/>
            <w:lang w:val="en-GB"/>
          </w:rPr>
          <m:t xml:space="preserve"> </m:t>
        </m:r>
      </m:oMath>
      <w:r w:rsidRPr="00022026">
        <w:rPr>
          <w:color w:val="auto"/>
          <w:lang w:val="en-GB"/>
        </w:rPr>
        <w:t>when required to provide downward balancing energy.</w:t>
      </w:r>
    </w:p>
    <w:p w14:paraId="76497B10" w14:textId="77777777" w:rsidR="00022026" w:rsidRPr="00022026" w:rsidRDefault="00022026" w:rsidP="00022026">
      <w:pPr>
        <w:pStyle w:val="MDPI31text"/>
        <w:rPr>
          <w:color w:val="auto"/>
          <w:lang w:val="en-GB"/>
        </w:rPr>
      </w:pPr>
      <w:r w:rsidRPr="00022026">
        <w:rPr>
          <w:color w:val="auto"/>
          <w:lang w:val="en-GB"/>
        </w:rPr>
        <w:t>The remuneration from the energy market is: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1549DD" w:rsidRPr="00647E1F" w14:paraId="674FE851" w14:textId="77777777" w:rsidTr="00966A38">
        <w:tc>
          <w:tcPr>
            <w:tcW w:w="7428" w:type="dxa"/>
          </w:tcPr>
          <w:p w14:paraId="5C76A965" w14:textId="6ABF0BEC" w:rsidR="001549DD" w:rsidRPr="00647E1F" w:rsidRDefault="00000000" w:rsidP="00966A38">
            <w:pPr>
              <w:pStyle w:val="MDPI39equation"/>
              <w:rPr>
                <w:color w:val="auto"/>
              </w:rPr>
            </w:pPr>
            <m:oMathPara>
              <m:oMath>
                <m:sSubSup>
                  <m:sSubSupPr>
                    <m:ctrlPr>
                      <w:rPr>
                        <w:rFonts w:ascii="Cambria Math" w:hAnsi="Cambria Math"/>
                        <w:color w:val="auto"/>
                      </w:rPr>
                    </m:ctrlPr>
                  </m:sSubSupPr>
                  <m:e>
                    <m:r>
                      <w:rPr>
                        <w:rFonts w:ascii="Cambria Math" w:hAnsi="Cambria Math"/>
                        <w:color w:val="auto"/>
                      </w:rPr>
                      <m:t>R</m:t>
                    </m:r>
                  </m:e>
                  <m:sub>
                    <m:r>
                      <w:rPr>
                        <w:rFonts w:ascii="Cambria Math" w:hAnsi="Cambria Math"/>
                        <w:color w:val="auto"/>
                      </w:rPr>
                      <m:t>j,t</m:t>
                    </m:r>
                  </m:sub>
                  <m:sup>
                    <m:r>
                      <w:rPr>
                        <w:rFonts w:ascii="Cambria Math" w:hAnsi="Cambria Math"/>
                        <w:color w:val="auto"/>
                      </w:rPr>
                      <m:t>EN</m:t>
                    </m:r>
                  </m:sup>
                </m:sSubSup>
                <m:r>
                  <w:rPr>
                    <w:rFonts w:ascii="Cambria Math" w:hAnsi="Cambria Math"/>
                    <w:color w:val="auto"/>
                  </w:rPr>
                  <m:t>=</m:t>
                </m:r>
                <m:d>
                  <m:dPr>
                    <m:begChr m:val="{"/>
                    <m:endChr m:val=""/>
                    <m:ctrlPr>
                      <w:rPr>
                        <w:rFonts w:ascii="Cambria Math" w:hAnsi="Cambria Math"/>
                        <w:color w:val="auto"/>
                      </w:rPr>
                    </m:ctrlPr>
                  </m:dPr>
                  <m:e>
                    <m:eqArr>
                      <m:eqArrPr>
                        <m:ctrlPr>
                          <w:rPr>
                            <w:rFonts w:ascii="Cambria Math" w:hAnsi="Cambria Math"/>
                            <w:color w:val="auto"/>
                          </w:rPr>
                        </m:ctrlPr>
                      </m:eqArrPr>
                      <m:e>
                        <m:sSubSup>
                          <m:sSubSupPr>
                            <m:ctrlPr>
                              <w:rPr>
                                <w:rFonts w:ascii="Cambria Math" w:hAnsi="Cambria Math"/>
                                <w:color w:val="auto"/>
                              </w:rPr>
                            </m:ctrlPr>
                          </m:sSubSupPr>
                          <m:e>
                            <m:sSubSup>
                              <m:sSubSupPr>
                                <m:ctrlPr>
                                  <w:rPr>
                                    <w:rFonts w:ascii="Cambria Math" w:hAnsi="Cambria Math"/>
                                    <w:color w:val="auto"/>
                                  </w:rPr>
                                </m:ctrlPr>
                              </m:sSubSupPr>
                              <m:e>
                                <m:r>
                                  <w:rPr>
                                    <w:rFonts w:ascii="Cambria Math" w:hAnsi="Cambria Math"/>
                                    <w:color w:val="auto"/>
                                  </w:rPr>
                                  <m:t>E</m:t>
                                </m:r>
                              </m:e>
                              <m:sub>
                                <m:r>
                                  <w:rPr>
                                    <w:rFonts w:ascii="Cambria Math" w:hAnsi="Cambria Math"/>
                                    <w:color w:val="auto"/>
                                  </w:rPr>
                                  <m:t>j,t</m:t>
                                </m:r>
                              </m:sub>
                              <m:sup>
                                <m:r>
                                  <w:rPr>
                                    <w:rFonts w:ascii="Cambria Math" w:hAnsi="Cambria Math"/>
                                    <w:color w:val="auto"/>
                                  </w:rPr>
                                  <m:t>SR+</m:t>
                                </m:r>
                              </m:sup>
                            </m:sSubSup>
                            <m:r>
                              <w:rPr>
                                <w:rFonts w:ascii="Cambria Math" w:hAnsi="Cambria Math"/>
                                <w:color w:val="auto"/>
                              </w:rPr>
                              <m:t>∙C</m:t>
                            </m:r>
                          </m:e>
                          <m:sub>
                            <m:r>
                              <w:rPr>
                                <w:rFonts w:ascii="Cambria Math" w:hAnsi="Cambria Math"/>
                                <w:color w:val="auto"/>
                              </w:rPr>
                              <m:t>t</m:t>
                            </m:r>
                          </m:sub>
                          <m:sup>
                            <m:r>
                              <w:rPr>
                                <w:rFonts w:ascii="Cambria Math" w:hAnsi="Cambria Math"/>
                                <w:color w:val="auto"/>
                              </w:rPr>
                              <m:t>TR+</m:t>
                            </m:r>
                          </m:sup>
                        </m:sSubSup>
                        <m:r>
                          <w:rPr>
                            <w:rFonts w:ascii="Cambria Math" w:hAnsi="Cambria Math"/>
                            <w:color w:val="auto"/>
                          </w:rPr>
                          <m:t xml:space="preserve">,  if </m:t>
                        </m:r>
                        <m:sSubSup>
                          <m:sSubSupPr>
                            <m:ctrlPr>
                              <w:rPr>
                                <w:rFonts w:ascii="Cambria Math" w:hAnsi="Cambria Math"/>
                                <w:color w:val="auto"/>
                              </w:rPr>
                            </m:ctrlPr>
                          </m:sSubSupPr>
                          <m:e>
                            <m:r>
                              <w:rPr>
                                <w:rFonts w:ascii="Cambria Math" w:hAnsi="Cambria Math"/>
                                <w:color w:val="auto"/>
                              </w:rPr>
                              <m:t>E</m:t>
                            </m:r>
                          </m:e>
                          <m:sub>
                            <m:r>
                              <w:rPr>
                                <w:rFonts w:ascii="Cambria Math" w:hAnsi="Cambria Math"/>
                                <w:color w:val="auto"/>
                              </w:rPr>
                              <m:t>j,t</m:t>
                            </m:r>
                          </m:sub>
                          <m:sup>
                            <m:r>
                              <w:rPr>
                                <w:rFonts w:ascii="Cambria Math" w:hAnsi="Cambria Math"/>
                                <w:color w:val="auto"/>
                              </w:rPr>
                              <m:t>SR+</m:t>
                            </m:r>
                          </m:sup>
                        </m:sSubSup>
                        <m:r>
                          <w:rPr>
                            <w:rFonts w:ascii="Cambria Math" w:hAnsi="Cambria Math"/>
                            <w:color w:val="auto"/>
                          </w:rPr>
                          <m:t>&gt;0</m:t>
                        </m:r>
                      </m:e>
                      <m:e>
                        <m:sSubSup>
                          <m:sSubSupPr>
                            <m:ctrlPr>
                              <w:rPr>
                                <w:rFonts w:ascii="Cambria Math" w:hAnsi="Cambria Math"/>
                                <w:color w:val="auto"/>
                              </w:rPr>
                            </m:ctrlPr>
                          </m:sSubSupPr>
                          <m:e>
                            <m:r>
                              <w:rPr>
                                <w:rFonts w:ascii="Cambria Math" w:hAnsi="Cambria Math"/>
                                <w:color w:val="auto"/>
                              </w:rPr>
                              <m:t>- E</m:t>
                            </m:r>
                          </m:e>
                          <m:sub>
                            <m:r>
                              <w:rPr>
                                <w:rFonts w:ascii="Cambria Math" w:hAnsi="Cambria Math"/>
                                <w:color w:val="auto"/>
                              </w:rPr>
                              <m:t>j,t</m:t>
                            </m:r>
                          </m:sub>
                          <m:sup>
                            <m:r>
                              <w:rPr>
                                <w:rFonts w:ascii="Cambria Math" w:hAnsi="Cambria Math"/>
                                <w:color w:val="auto"/>
                              </w:rPr>
                              <m:t>SR-</m:t>
                            </m:r>
                          </m:sup>
                        </m:sSubSup>
                        <m:r>
                          <w:rPr>
                            <w:rFonts w:ascii="Cambria Math" w:hAnsi="Cambria Math"/>
                            <w:color w:val="auto"/>
                          </w:rPr>
                          <m:t>∙</m:t>
                        </m:r>
                        <m:sSubSup>
                          <m:sSubSupPr>
                            <m:ctrlPr>
                              <w:rPr>
                                <w:rFonts w:ascii="Cambria Math" w:hAnsi="Cambria Math"/>
                                <w:color w:val="auto"/>
                              </w:rPr>
                            </m:ctrlPr>
                          </m:sSubSupPr>
                          <m:e>
                            <m:r>
                              <w:rPr>
                                <w:rFonts w:ascii="Cambria Math" w:hAnsi="Cambria Math"/>
                                <w:color w:val="auto"/>
                              </w:rPr>
                              <m:t>C</m:t>
                            </m:r>
                          </m:e>
                          <m:sub>
                            <m:r>
                              <w:rPr>
                                <w:rFonts w:ascii="Cambria Math" w:hAnsi="Cambria Math"/>
                                <w:color w:val="auto"/>
                              </w:rPr>
                              <m:t>t</m:t>
                            </m:r>
                          </m:sub>
                          <m:sup>
                            <m:r>
                              <w:rPr>
                                <w:rFonts w:ascii="Cambria Math" w:hAnsi="Cambria Math"/>
                                <w:color w:val="auto"/>
                              </w:rPr>
                              <m:t>TR-</m:t>
                            </m:r>
                          </m:sup>
                        </m:sSubSup>
                        <m:r>
                          <w:rPr>
                            <w:rFonts w:ascii="Cambria Math" w:hAnsi="Cambria Math"/>
                            <w:color w:val="auto"/>
                          </w:rPr>
                          <m:t xml:space="preserve">,   if </m:t>
                        </m:r>
                        <m:sSubSup>
                          <m:sSubSupPr>
                            <m:ctrlPr>
                              <w:rPr>
                                <w:rFonts w:ascii="Cambria Math" w:hAnsi="Cambria Math"/>
                                <w:color w:val="auto"/>
                              </w:rPr>
                            </m:ctrlPr>
                          </m:sSubSupPr>
                          <m:e>
                            <m:r>
                              <w:rPr>
                                <w:rFonts w:ascii="Cambria Math" w:hAnsi="Cambria Math"/>
                                <w:color w:val="auto"/>
                              </w:rPr>
                              <m:t>E</m:t>
                            </m:r>
                          </m:e>
                          <m:sub>
                            <m:r>
                              <w:rPr>
                                <w:rFonts w:ascii="Cambria Math" w:hAnsi="Cambria Math"/>
                                <w:color w:val="auto"/>
                              </w:rPr>
                              <m:t>j,t</m:t>
                            </m:r>
                          </m:sub>
                          <m:sup>
                            <m:r>
                              <w:rPr>
                                <w:rFonts w:ascii="Cambria Math" w:hAnsi="Cambria Math"/>
                                <w:color w:val="auto"/>
                              </w:rPr>
                              <m:t>SR-</m:t>
                            </m:r>
                          </m:sup>
                        </m:sSubSup>
                        <m:r>
                          <w:rPr>
                            <w:rFonts w:ascii="Cambria Math" w:hAnsi="Cambria Math"/>
                            <w:color w:val="auto"/>
                          </w:rPr>
                          <m:t>&gt;0</m:t>
                        </m:r>
                      </m:e>
                    </m:eqArr>
                  </m:e>
                </m:d>
              </m:oMath>
            </m:oMathPara>
          </w:p>
        </w:tc>
        <w:tc>
          <w:tcPr>
            <w:tcW w:w="431" w:type="dxa"/>
            <w:vAlign w:val="center"/>
          </w:tcPr>
          <w:p w14:paraId="4F4D6607" w14:textId="45838BC3" w:rsidR="001549DD" w:rsidRPr="00647E1F" w:rsidRDefault="001549DD" w:rsidP="001549DD">
            <w:pPr>
              <w:pStyle w:val="MDPI3aequationnumber"/>
              <w:spacing w:line="260" w:lineRule="atLeast"/>
              <w:rPr>
                <w:color w:val="auto"/>
              </w:rPr>
            </w:pPr>
            <w:r w:rsidRPr="00647E1F">
              <w:rPr>
                <w:color w:val="auto"/>
              </w:rPr>
              <w:t>(</w:t>
            </w:r>
            <w:r>
              <w:rPr>
                <w:color w:val="auto"/>
              </w:rPr>
              <w:t>7</w:t>
            </w:r>
            <w:r w:rsidRPr="00647E1F">
              <w:rPr>
                <w:color w:val="auto"/>
              </w:rPr>
              <w:t>)</w:t>
            </w:r>
          </w:p>
        </w:tc>
      </w:tr>
    </w:tbl>
    <w:p w14:paraId="56B398DC" w14:textId="77777777" w:rsidR="00022026" w:rsidRPr="00022026" w:rsidRDefault="00022026" w:rsidP="00022026">
      <w:pPr>
        <w:pStyle w:val="MDPI31text"/>
        <w:rPr>
          <w:color w:val="auto"/>
          <w:lang w:val="en-GB"/>
        </w:rPr>
      </w:pPr>
      <w:r w:rsidRPr="00022026">
        <w:rPr>
          <w:color w:val="auto"/>
          <w:lang w:val="en-GB"/>
        </w:rPr>
        <w:t>Where for the hour t:</w:t>
      </w:r>
    </w:p>
    <w:p w14:paraId="3FE1EF71" w14:textId="5C668FAE" w:rsidR="001549DD" w:rsidRDefault="00000000" w:rsidP="00862F10">
      <w:pPr>
        <w:pStyle w:val="MDPI31text"/>
        <w:numPr>
          <w:ilvl w:val="0"/>
          <w:numId w:val="12"/>
        </w:numPr>
        <w:rPr>
          <w:rFonts w:eastAsiaTheme="minorEastAsia"/>
          <w:lang w:val="en-GB"/>
        </w:rPr>
      </w:pPr>
      <m:oMath>
        <m:sSubSup>
          <m:sSubSupPr>
            <m:ctrlPr>
              <w:rPr>
                <w:rFonts w:ascii="Cambria Math" w:hAnsi="Cambria Math"/>
                <w:i/>
                <w:lang w:val="pt-PT"/>
              </w:rPr>
            </m:ctrlPr>
          </m:sSubSupPr>
          <m:e>
            <m:r>
              <w:rPr>
                <w:rFonts w:ascii="Cambria Math" w:hAnsi="Cambria Math"/>
                <w:lang w:val="pt-PT"/>
              </w:rPr>
              <m:t>E</m:t>
            </m:r>
          </m:e>
          <m:sub>
            <m:r>
              <w:rPr>
                <w:rFonts w:ascii="Cambria Math" w:hAnsi="Cambria Math"/>
                <w:lang w:val="pt-PT"/>
              </w:rPr>
              <m:t>j</m:t>
            </m:r>
            <m:r>
              <w:rPr>
                <w:rFonts w:ascii="Cambria Math" w:hAnsi="Cambria Math"/>
                <w:lang w:val="en-GB"/>
              </w:rPr>
              <m:t>,</m:t>
            </m:r>
            <m:r>
              <w:rPr>
                <w:rFonts w:ascii="Cambria Math" w:hAnsi="Cambria Math"/>
                <w:lang w:val="pt-PT"/>
              </w:rPr>
              <m:t>t</m:t>
            </m:r>
          </m:sub>
          <m:sup>
            <m:r>
              <w:rPr>
                <w:rFonts w:ascii="Cambria Math" w:hAnsi="Cambria Math"/>
                <w:lang w:val="pt-PT"/>
              </w:rPr>
              <m:t>SR</m:t>
            </m:r>
            <m:r>
              <w:rPr>
                <w:rFonts w:ascii="Cambria Math" w:hAnsi="Cambria Math"/>
                <w:lang w:val="en-GB"/>
              </w:rPr>
              <m:t>+</m:t>
            </m:r>
          </m:sup>
        </m:sSubSup>
      </m:oMath>
      <w:r w:rsidR="001549DD" w:rsidRPr="001549DD">
        <w:rPr>
          <w:rFonts w:eastAsiaTheme="minorEastAsia"/>
          <w:lang w:val="en-GB"/>
        </w:rPr>
        <w:t xml:space="preserve"> is the upward secondary balancing energy provided by the </w:t>
      </w:r>
      <w:r w:rsidR="00D41151">
        <w:rPr>
          <w:rFonts w:eastAsiaTheme="minorEastAsia"/>
          <w:lang w:val="en-GB"/>
        </w:rPr>
        <w:t>vRES</w:t>
      </w:r>
      <w:r w:rsidR="001549DD" w:rsidRPr="001549DD">
        <w:rPr>
          <w:rFonts w:eastAsiaTheme="minorEastAsia"/>
          <w:lang w:val="en-GB"/>
        </w:rPr>
        <w:t>.</w:t>
      </w:r>
    </w:p>
    <w:p w14:paraId="5F6BB8F2" w14:textId="1F9A8F6C" w:rsidR="001549DD" w:rsidRPr="001549DD" w:rsidRDefault="00000000" w:rsidP="00862F10">
      <w:pPr>
        <w:pStyle w:val="MDPI31text"/>
        <w:numPr>
          <w:ilvl w:val="0"/>
          <w:numId w:val="12"/>
        </w:numPr>
        <w:rPr>
          <w:rFonts w:eastAsiaTheme="minorEastAsia"/>
          <w:lang w:val="en-GB"/>
        </w:rPr>
      </w:pPr>
      <m:oMath>
        <m:sSubSup>
          <m:sSubSupPr>
            <m:ctrlPr>
              <w:rPr>
                <w:rFonts w:ascii="Cambria Math" w:hAnsi="Cambria Math"/>
                <w:i/>
                <w:lang w:val="pt-PT"/>
              </w:rPr>
            </m:ctrlPr>
          </m:sSubSupPr>
          <m:e>
            <m:r>
              <w:rPr>
                <w:rFonts w:ascii="Cambria Math" w:hAnsi="Cambria Math"/>
                <w:lang w:val="pt-PT"/>
              </w:rPr>
              <m:t>E</m:t>
            </m:r>
          </m:e>
          <m:sub>
            <m:r>
              <w:rPr>
                <w:rFonts w:ascii="Cambria Math" w:hAnsi="Cambria Math"/>
                <w:lang w:val="pt-PT"/>
              </w:rPr>
              <m:t>j</m:t>
            </m:r>
            <m:r>
              <w:rPr>
                <w:rFonts w:ascii="Cambria Math" w:hAnsi="Cambria Math"/>
                <w:lang w:val="en-GB"/>
              </w:rPr>
              <m:t>,</m:t>
            </m:r>
            <m:r>
              <w:rPr>
                <w:rFonts w:ascii="Cambria Math" w:hAnsi="Cambria Math"/>
                <w:lang w:val="pt-PT"/>
              </w:rPr>
              <m:t>t</m:t>
            </m:r>
          </m:sub>
          <m:sup>
            <m:r>
              <w:rPr>
                <w:rFonts w:ascii="Cambria Math" w:hAnsi="Cambria Math"/>
                <w:lang w:val="pt-PT"/>
              </w:rPr>
              <m:t>SR</m:t>
            </m:r>
            <m:r>
              <w:rPr>
                <w:rFonts w:ascii="Cambria Math" w:hAnsi="Cambria Math"/>
                <w:lang w:val="en-GB"/>
              </w:rPr>
              <m:t>-</m:t>
            </m:r>
          </m:sup>
        </m:sSubSup>
      </m:oMath>
      <w:r w:rsidR="001549DD" w:rsidRPr="001549DD">
        <w:rPr>
          <w:rFonts w:eastAsiaTheme="minorEastAsia"/>
          <w:lang w:val="en-GB"/>
        </w:rPr>
        <w:t xml:space="preserve"> represents the downward secondary balancing energy provided by the </w:t>
      </w:r>
      <w:r w:rsidR="00D41151">
        <w:rPr>
          <w:rFonts w:eastAsiaTheme="minorEastAsia"/>
          <w:lang w:val="en-GB"/>
        </w:rPr>
        <w:t>vRES</w:t>
      </w:r>
      <w:r w:rsidR="001549DD" w:rsidRPr="001549DD">
        <w:rPr>
          <w:rFonts w:eastAsiaTheme="minorEastAsia"/>
          <w:lang w:val="en-GB"/>
        </w:rPr>
        <w:t xml:space="preserve">, which corresponds to the energy withdrawn from the grid when requested by the TSO. The negative sign indicates the payment made by the BRP to the TSO </w:t>
      </w:r>
    </w:p>
    <w:p w14:paraId="4D96F04F" w14:textId="4D24B694" w:rsidR="00022026" w:rsidRPr="00022026" w:rsidRDefault="00022026" w:rsidP="00022026">
      <w:pPr>
        <w:pStyle w:val="MDPI31text"/>
        <w:rPr>
          <w:color w:val="auto"/>
          <w:lang w:val="en-GB"/>
        </w:rPr>
      </w:pPr>
      <w:r w:rsidRPr="00022026">
        <w:rPr>
          <w:color w:val="auto"/>
          <w:lang w:val="en-GB"/>
        </w:rPr>
        <w:t xml:space="preserve">The final schedule accounts for the </w:t>
      </w:r>
      <w:r w:rsidR="00D41151">
        <w:rPr>
          <w:color w:val="auto"/>
          <w:lang w:val="en-GB"/>
        </w:rPr>
        <w:t>vRES</w:t>
      </w:r>
      <w:r w:rsidRPr="00022026">
        <w:rPr>
          <w:color w:val="auto"/>
          <w:lang w:val="en-GB"/>
        </w:rPr>
        <w:t xml:space="preserve">’s position (which in the ideal case is the bid in </w:t>
      </w:r>
      <w:r w:rsidR="001549DD">
        <w:t xml:space="preserve">DAM, </w:t>
      </w:r>
      <m:oMath>
        <m:sSubSup>
          <m:sSubSupPr>
            <m:ctrlPr>
              <w:rPr>
                <w:rFonts w:ascii="Cambria Math" w:hAnsi="Cambria Math" w:cs="Arial"/>
                <w:i/>
                <w:kern w:val="2"/>
                <w:sz w:val="22"/>
              </w:rPr>
            </m:ctrlPr>
          </m:sSubSupPr>
          <m:e>
            <m:r>
              <w:rPr>
                <w:rFonts w:ascii="Cambria Math" w:hAnsi="Cambria Math"/>
              </w:rPr>
              <m:t>P</m:t>
            </m:r>
          </m:e>
          <m:sub>
            <m:r>
              <w:rPr>
                <w:rFonts w:ascii="Cambria Math" w:hAnsi="Cambria Math"/>
              </w:rPr>
              <m:t>j,t</m:t>
            </m:r>
          </m:sub>
          <m:sup>
            <m:r>
              <w:rPr>
                <w:rFonts w:ascii="Cambria Math" w:hAnsi="Cambria Math"/>
              </w:rPr>
              <m:t>DAM</m:t>
            </m:r>
          </m:sup>
        </m:sSubSup>
      </m:oMath>
      <w:r w:rsidR="001549DD">
        <w:t xml:space="preserve">) </w:t>
      </w:r>
      <w:r w:rsidRPr="00022026">
        <w:rPr>
          <w:color w:val="auto"/>
          <w:lang w:val="en-GB"/>
        </w:rPr>
        <w:t>increasing with the upward energy provided and decreasing with the downward energy activated.</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1549DD" w:rsidRPr="00647E1F" w14:paraId="5C23D821" w14:textId="77777777" w:rsidTr="00966A38">
        <w:tc>
          <w:tcPr>
            <w:tcW w:w="7428" w:type="dxa"/>
          </w:tcPr>
          <w:p w14:paraId="0764CF80" w14:textId="61153CB4" w:rsidR="001549DD" w:rsidRPr="00647E1F" w:rsidRDefault="00000000" w:rsidP="00966A38">
            <w:pPr>
              <w:pStyle w:val="MDPI39equation"/>
              <w:rPr>
                <w:color w:val="auto"/>
              </w:rPr>
            </w:pPr>
            <m:oMathPara>
              <m:oMath>
                <m:sSubSup>
                  <m:sSubSupPr>
                    <m:ctrlPr>
                      <w:rPr>
                        <w:rFonts w:ascii="Cambria Math" w:hAnsi="Cambria Math"/>
                        <w:color w:val="auto"/>
                      </w:rPr>
                    </m:ctrlPr>
                  </m:sSubSupPr>
                  <m:e>
                    <m:r>
                      <w:rPr>
                        <w:rFonts w:ascii="Cambria Math" w:hAnsi="Cambria Math"/>
                        <w:color w:val="auto"/>
                      </w:rPr>
                      <m:t>E</m:t>
                    </m:r>
                  </m:e>
                  <m:sub>
                    <m:r>
                      <w:rPr>
                        <w:rFonts w:ascii="Cambria Math" w:hAnsi="Cambria Math"/>
                        <w:color w:val="auto"/>
                      </w:rPr>
                      <m:t>j,t</m:t>
                    </m:r>
                  </m:sub>
                  <m:sup>
                    <m:r>
                      <w:rPr>
                        <w:rFonts w:ascii="Cambria Math" w:hAnsi="Cambria Math"/>
                        <w:color w:val="auto"/>
                      </w:rPr>
                      <m:t>schedule</m:t>
                    </m:r>
                  </m:sup>
                </m:sSubSup>
                <m:r>
                  <w:rPr>
                    <w:rFonts w:ascii="Cambria Math" w:hAnsi="Cambria Math"/>
                    <w:color w:val="auto"/>
                  </w:rPr>
                  <m:t>=</m:t>
                </m:r>
                <m:sSubSup>
                  <m:sSubSupPr>
                    <m:ctrlPr>
                      <w:rPr>
                        <w:rFonts w:ascii="Cambria Math" w:hAnsi="Cambria Math"/>
                        <w:color w:val="auto"/>
                      </w:rPr>
                    </m:ctrlPr>
                  </m:sSubSupPr>
                  <m:e>
                    <m:r>
                      <w:rPr>
                        <w:rFonts w:ascii="Cambria Math" w:hAnsi="Cambria Math"/>
                        <w:color w:val="auto"/>
                      </w:rPr>
                      <m:t>E</m:t>
                    </m:r>
                  </m:e>
                  <m:sub>
                    <m:r>
                      <w:rPr>
                        <w:rFonts w:ascii="Cambria Math" w:hAnsi="Cambria Math"/>
                        <w:color w:val="auto"/>
                      </w:rPr>
                      <m:t>j,t</m:t>
                    </m:r>
                  </m:sub>
                  <m:sup>
                    <m:r>
                      <w:rPr>
                        <w:rFonts w:ascii="Cambria Math" w:hAnsi="Cambria Math"/>
                        <w:color w:val="auto"/>
                      </w:rPr>
                      <m:t>position</m:t>
                    </m:r>
                  </m:sup>
                </m:sSubSup>
                <m:r>
                  <w:rPr>
                    <w:rFonts w:ascii="Cambria Math" w:hAnsi="Cambria Math"/>
                    <w:color w:val="auto"/>
                  </w:rPr>
                  <m:t>+</m:t>
                </m:r>
                <m:sSubSup>
                  <m:sSubSupPr>
                    <m:ctrlPr>
                      <w:rPr>
                        <w:rFonts w:ascii="Cambria Math" w:hAnsi="Cambria Math"/>
                        <w:color w:val="auto"/>
                      </w:rPr>
                    </m:ctrlPr>
                  </m:sSubSupPr>
                  <m:e>
                    <m:r>
                      <w:rPr>
                        <w:rFonts w:ascii="Cambria Math" w:hAnsi="Cambria Math"/>
                        <w:color w:val="auto"/>
                      </w:rPr>
                      <m:t>E</m:t>
                    </m:r>
                  </m:e>
                  <m:sub>
                    <m:r>
                      <w:rPr>
                        <w:rFonts w:ascii="Cambria Math" w:hAnsi="Cambria Math"/>
                        <w:color w:val="auto"/>
                      </w:rPr>
                      <m:t>j,t</m:t>
                    </m:r>
                  </m:sub>
                  <m:sup>
                    <m:r>
                      <w:rPr>
                        <w:rFonts w:ascii="Cambria Math" w:hAnsi="Cambria Math"/>
                        <w:color w:val="auto"/>
                      </w:rPr>
                      <m:t>SR+</m:t>
                    </m:r>
                  </m:sup>
                </m:sSubSup>
                <m:r>
                  <w:rPr>
                    <w:rFonts w:ascii="Cambria Math" w:hAnsi="Cambria Math"/>
                    <w:color w:val="auto"/>
                  </w:rPr>
                  <m:t>-</m:t>
                </m:r>
                <m:sSubSup>
                  <m:sSubSupPr>
                    <m:ctrlPr>
                      <w:rPr>
                        <w:rFonts w:ascii="Cambria Math" w:hAnsi="Cambria Math"/>
                        <w:color w:val="auto"/>
                      </w:rPr>
                    </m:ctrlPr>
                  </m:sSubSupPr>
                  <m:e>
                    <m:r>
                      <w:rPr>
                        <w:rFonts w:ascii="Cambria Math" w:hAnsi="Cambria Math"/>
                        <w:color w:val="auto"/>
                      </w:rPr>
                      <m:t>E</m:t>
                    </m:r>
                  </m:e>
                  <m:sub>
                    <m:r>
                      <w:rPr>
                        <w:rFonts w:ascii="Cambria Math" w:hAnsi="Cambria Math"/>
                        <w:color w:val="auto"/>
                      </w:rPr>
                      <m:t>j,t</m:t>
                    </m:r>
                  </m:sub>
                  <m:sup>
                    <m:r>
                      <w:rPr>
                        <w:rFonts w:ascii="Cambria Math" w:hAnsi="Cambria Math"/>
                        <w:color w:val="auto"/>
                      </w:rPr>
                      <m:t>SR-</m:t>
                    </m:r>
                  </m:sup>
                </m:sSubSup>
              </m:oMath>
            </m:oMathPara>
          </w:p>
        </w:tc>
        <w:tc>
          <w:tcPr>
            <w:tcW w:w="431" w:type="dxa"/>
            <w:vAlign w:val="center"/>
          </w:tcPr>
          <w:p w14:paraId="41790E3C" w14:textId="215C213C" w:rsidR="001549DD" w:rsidRPr="00647E1F" w:rsidRDefault="001549DD" w:rsidP="001549DD">
            <w:pPr>
              <w:pStyle w:val="MDPI3aequationnumber"/>
              <w:spacing w:line="260" w:lineRule="atLeast"/>
              <w:rPr>
                <w:color w:val="auto"/>
              </w:rPr>
            </w:pPr>
            <w:r w:rsidRPr="00647E1F">
              <w:rPr>
                <w:color w:val="auto"/>
              </w:rPr>
              <w:t>(</w:t>
            </w:r>
            <w:r>
              <w:rPr>
                <w:color w:val="auto"/>
              </w:rPr>
              <w:t>8</w:t>
            </w:r>
            <w:r w:rsidRPr="00647E1F">
              <w:rPr>
                <w:color w:val="auto"/>
              </w:rPr>
              <w:t>)</w:t>
            </w:r>
          </w:p>
        </w:tc>
      </w:tr>
    </w:tbl>
    <w:p w14:paraId="443369D0" w14:textId="7449A9EA" w:rsidR="00022026" w:rsidRPr="00022026" w:rsidRDefault="00022026" w:rsidP="00022026">
      <w:pPr>
        <w:pStyle w:val="MDPI31text"/>
        <w:rPr>
          <w:color w:val="auto"/>
          <w:lang w:val="en-GB"/>
        </w:rPr>
      </w:pPr>
      <w:r w:rsidRPr="00022026">
        <w:rPr>
          <w:color w:val="auto"/>
          <w:lang w:val="en-GB"/>
        </w:rPr>
        <w:t xml:space="preserve">The final deviation to be adjusted in the </w:t>
      </w:r>
      <w:r w:rsidR="005C0F64">
        <w:rPr>
          <w:color w:val="auto"/>
          <w:lang w:val="en-GB"/>
        </w:rPr>
        <w:t>IS</w:t>
      </w:r>
      <w:r w:rsidRPr="00022026">
        <w:rPr>
          <w:color w:val="auto"/>
          <w:lang w:val="en-GB"/>
        </w:rPr>
        <w:t xml:space="preserve"> is the difference between actual production and the final schedule.</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1549DD" w:rsidRPr="00647E1F" w14:paraId="15ADC55C" w14:textId="77777777" w:rsidTr="00966A38">
        <w:tc>
          <w:tcPr>
            <w:tcW w:w="7428" w:type="dxa"/>
          </w:tcPr>
          <w:p w14:paraId="36BA6B0E" w14:textId="1D85C612" w:rsidR="001549DD" w:rsidRPr="00647E1F" w:rsidRDefault="00000000" w:rsidP="00966A38">
            <w:pPr>
              <w:pStyle w:val="MDPI39equation"/>
              <w:rPr>
                <w:color w:val="auto"/>
              </w:rPr>
            </w:pPr>
            <m:oMathPara>
              <m:oMath>
                <m:sSubSup>
                  <m:sSubSupPr>
                    <m:ctrlPr>
                      <w:rPr>
                        <w:rFonts w:ascii="Cambria Math" w:hAnsi="Cambria Math"/>
                        <w:color w:val="auto"/>
                      </w:rPr>
                    </m:ctrlPr>
                  </m:sSubSupPr>
                  <m:e>
                    <m:r>
                      <w:rPr>
                        <w:rFonts w:ascii="Cambria Math" w:hAnsi="Cambria Math"/>
                        <w:color w:val="auto"/>
                      </w:rPr>
                      <m:t>E</m:t>
                    </m:r>
                  </m:e>
                  <m:sub>
                    <m:r>
                      <w:rPr>
                        <w:rFonts w:ascii="Cambria Math" w:hAnsi="Cambria Math"/>
                        <w:color w:val="auto"/>
                      </w:rPr>
                      <m:t>j,t</m:t>
                    </m:r>
                  </m:sub>
                  <m:sup>
                    <m:r>
                      <w:rPr>
                        <w:rFonts w:ascii="Cambria Math" w:hAnsi="Cambria Math"/>
                        <w:color w:val="auto"/>
                      </w:rPr>
                      <m:t>dev</m:t>
                    </m:r>
                  </m:sup>
                </m:sSubSup>
                <m:r>
                  <w:rPr>
                    <w:rFonts w:ascii="Cambria Math" w:hAnsi="Cambria Math"/>
                    <w:color w:val="auto"/>
                  </w:rPr>
                  <m:t>=</m:t>
                </m:r>
                <m:sSubSup>
                  <m:sSubSupPr>
                    <m:ctrlPr>
                      <w:rPr>
                        <w:rFonts w:ascii="Cambria Math" w:hAnsi="Cambria Math"/>
                        <w:color w:val="auto"/>
                      </w:rPr>
                    </m:ctrlPr>
                  </m:sSubSupPr>
                  <m:e>
                    <m:r>
                      <w:rPr>
                        <w:rFonts w:ascii="Cambria Math" w:hAnsi="Cambria Math"/>
                        <w:color w:val="auto"/>
                      </w:rPr>
                      <m:t>E</m:t>
                    </m:r>
                  </m:e>
                  <m:sub>
                    <m:r>
                      <w:rPr>
                        <w:rFonts w:ascii="Cambria Math" w:hAnsi="Cambria Math"/>
                        <w:color w:val="auto"/>
                      </w:rPr>
                      <m:t>t</m:t>
                    </m:r>
                  </m:sub>
                  <m:sup>
                    <m:r>
                      <w:rPr>
                        <w:rFonts w:ascii="Cambria Math" w:hAnsi="Cambria Math"/>
                        <w:color w:val="auto"/>
                      </w:rPr>
                      <m:t>prod</m:t>
                    </m:r>
                  </m:sup>
                </m:sSubSup>
                <m:r>
                  <w:rPr>
                    <w:rFonts w:ascii="Cambria Math" w:hAnsi="Cambria Math"/>
                    <w:color w:val="auto"/>
                  </w:rPr>
                  <m:t>-</m:t>
                </m:r>
                <m:sSubSup>
                  <m:sSubSupPr>
                    <m:ctrlPr>
                      <w:rPr>
                        <w:rFonts w:ascii="Cambria Math" w:hAnsi="Cambria Math"/>
                        <w:color w:val="auto"/>
                      </w:rPr>
                    </m:ctrlPr>
                  </m:sSubSupPr>
                  <m:e>
                    <m:r>
                      <w:rPr>
                        <w:rFonts w:ascii="Cambria Math" w:hAnsi="Cambria Math"/>
                        <w:color w:val="auto"/>
                      </w:rPr>
                      <m:t>E</m:t>
                    </m:r>
                  </m:e>
                  <m:sub>
                    <m:r>
                      <w:rPr>
                        <w:rFonts w:ascii="Cambria Math" w:hAnsi="Cambria Math"/>
                        <w:color w:val="auto"/>
                      </w:rPr>
                      <m:t>j,t</m:t>
                    </m:r>
                  </m:sub>
                  <m:sup>
                    <m:r>
                      <w:rPr>
                        <w:rFonts w:ascii="Cambria Math" w:hAnsi="Cambria Math"/>
                        <w:color w:val="auto"/>
                      </w:rPr>
                      <m:t>schedule</m:t>
                    </m:r>
                  </m:sup>
                </m:sSubSup>
              </m:oMath>
            </m:oMathPara>
          </w:p>
        </w:tc>
        <w:tc>
          <w:tcPr>
            <w:tcW w:w="431" w:type="dxa"/>
            <w:vAlign w:val="center"/>
          </w:tcPr>
          <w:p w14:paraId="28A9D06E" w14:textId="55F7CBA3" w:rsidR="001549DD" w:rsidRPr="00647E1F" w:rsidRDefault="001549DD" w:rsidP="001549DD">
            <w:pPr>
              <w:pStyle w:val="MDPI3aequationnumber"/>
              <w:spacing w:line="260" w:lineRule="atLeast"/>
              <w:rPr>
                <w:color w:val="auto"/>
              </w:rPr>
            </w:pPr>
            <w:r w:rsidRPr="00647E1F">
              <w:rPr>
                <w:color w:val="auto"/>
              </w:rPr>
              <w:t>(</w:t>
            </w:r>
            <w:r>
              <w:rPr>
                <w:color w:val="auto"/>
              </w:rPr>
              <w:t>9</w:t>
            </w:r>
            <w:r w:rsidRPr="00647E1F">
              <w:rPr>
                <w:color w:val="auto"/>
              </w:rPr>
              <w:t>)</w:t>
            </w:r>
          </w:p>
        </w:tc>
      </w:tr>
    </w:tbl>
    <w:p w14:paraId="6F7DBEAA" w14:textId="0A3E110C" w:rsidR="00022026" w:rsidRPr="00022026" w:rsidRDefault="00022026" w:rsidP="00022026">
      <w:pPr>
        <w:pStyle w:val="MDPI31text"/>
        <w:rPr>
          <w:color w:val="auto"/>
          <w:lang w:val="en-GB"/>
        </w:rPr>
      </w:pPr>
      <w:r w:rsidRPr="00022026">
        <w:rPr>
          <w:color w:val="auto"/>
          <w:lang w:val="en-GB"/>
        </w:rPr>
        <w:t xml:space="preserve">Where </w:t>
      </w:r>
      <m:oMath>
        <m:sSubSup>
          <m:sSubSupPr>
            <m:ctrlPr>
              <w:rPr>
                <w:rFonts w:ascii="Cambria Math" w:hAnsi="Cambria Math"/>
                <w:color w:val="auto"/>
                <w:lang w:val="en-GB"/>
              </w:rPr>
            </m:ctrlPr>
          </m:sSubSupPr>
          <m:e>
            <m:r>
              <w:rPr>
                <w:rFonts w:ascii="Cambria Math" w:hAnsi="Cambria Math"/>
                <w:color w:val="auto"/>
                <w:lang w:val="en-GB"/>
              </w:rPr>
              <m:t>E</m:t>
            </m:r>
          </m:e>
          <m:sub>
            <m:r>
              <w:rPr>
                <w:rFonts w:ascii="Cambria Math" w:hAnsi="Cambria Math"/>
                <w:color w:val="auto"/>
                <w:lang w:val="en-GB"/>
              </w:rPr>
              <m:t>t</m:t>
            </m:r>
          </m:sub>
          <m:sup>
            <m:r>
              <w:rPr>
                <w:rFonts w:ascii="Cambria Math" w:hAnsi="Cambria Math"/>
                <w:color w:val="auto"/>
                <w:lang w:val="en-GB"/>
              </w:rPr>
              <m:t>prod</m:t>
            </m:r>
          </m:sup>
        </m:sSubSup>
      </m:oMath>
      <w:r w:rsidRPr="00022026">
        <w:rPr>
          <w:color w:val="auto"/>
          <w:lang w:val="en-GB"/>
        </w:rPr>
        <w:t xml:space="preserve">the observed power at hour </w:t>
      </w:r>
      <w:r w:rsidRPr="001549DD">
        <w:rPr>
          <w:i/>
          <w:color w:val="auto"/>
          <w:lang w:val="en-GB"/>
        </w:rPr>
        <w:t>t</w:t>
      </w:r>
      <w:r w:rsidRPr="00022026">
        <w:rPr>
          <w:color w:val="auto"/>
          <w:lang w:val="en-GB"/>
        </w:rPr>
        <w:t>.</w:t>
      </w:r>
    </w:p>
    <w:p w14:paraId="46087B77" w14:textId="77777777" w:rsidR="00022026" w:rsidRPr="00022026" w:rsidRDefault="00022026" w:rsidP="00022026">
      <w:pPr>
        <w:pStyle w:val="MDPI31text"/>
        <w:rPr>
          <w:color w:val="auto"/>
          <w:lang w:val="en-GB"/>
        </w:rPr>
      </w:pPr>
      <w:r w:rsidRPr="00022026">
        <w:rPr>
          <w:color w:val="auto"/>
          <w:lang w:val="en-GB"/>
        </w:rPr>
        <w:t>Remuneration in this market segment depends on the direction of the imbalance and includes a penalty for producers who fail to supply the allocated capacity. The penalty applied to the imbalances for each hour t is calculated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1549DD" w:rsidRPr="00647E1F" w14:paraId="4991560A" w14:textId="77777777" w:rsidTr="00966A38">
        <w:tc>
          <w:tcPr>
            <w:tcW w:w="7428" w:type="dxa"/>
          </w:tcPr>
          <w:p w14:paraId="3F9C7C14" w14:textId="2B566735" w:rsidR="001549DD" w:rsidRPr="00647E1F" w:rsidRDefault="00000000" w:rsidP="001549DD">
            <w:pPr>
              <w:pStyle w:val="MDPI39equation"/>
              <w:ind w:left="0"/>
              <w:jc w:val="both"/>
              <w:rPr>
                <w:color w:val="auto"/>
              </w:rPr>
            </w:pPr>
            <m:oMathPara>
              <m:oMath>
                <m:sSubSup>
                  <m:sSubSupPr>
                    <m:ctrlPr>
                      <w:rPr>
                        <w:rFonts w:ascii="Cambria Math" w:hAnsi="Cambria Math"/>
                        <w:color w:val="auto"/>
                      </w:rPr>
                    </m:ctrlPr>
                  </m:sSubSupPr>
                  <m:e>
                    <m:r>
                      <w:rPr>
                        <w:rFonts w:ascii="Cambria Math" w:hAnsi="Cambria Math"/>
                        <w:color w:val="auto"/>
                      </w:rPr>
                      <m:t>C</m:t>
                    </m:r>
                  </m:e>
                  <m:sub>
                    <m:r>
                      <w:rPr>
                        <w:rFonts w:ascii="Cambria Math" w:hAnsi="Cambria Math"/>
                        <w:color w:val="auto"/>
                      </w:rPr>
                      <m:t>t</m:t>
                    </m:r>
                  </m:sub>
                  <m:sup>
                    <m:r>
                      <w:rPr>
                        <w:rFonts w:ascii="Cambria Math" w:hAnsi="Cambria Math"/>
                        <w:color w:val="auto"/>
                      </w:rPr>
                      <m:t>penalty</m:t>
                    </m:r>
                  </m:sup>
                </m:sSubSup>
                <m:r>
                  <w:rPr>
                    <w:rFonts w:ascii="Cambria Math" w:hAnsi="Cambria Math"/>
                    <w:color w:val="auto"/>
                  </w:rPr>
                  <m:t>=3∙</m:t>
                </m:r>
                <m:d>
                  <m:dPr>
                    <m:ctrlPr>
                      <w:rPr>
                        <w:rFonts w:ascii="Cambria Math" w:hAnsi="Cambria Math"/>
                        <w:color w:val="auto"/>
                      </w:rPr>
                    </m:ctrlPr>
                  </m:dPr>
                  <m:e>
                    <m:sSubSup>
                      <m:sSubSupPr>
                        <m:ctrlPr>
                          <w:rPr>
                            <w:rFonts w:ascii="Cambria Math" w:hAnsi="Cambria Math"/>
                            <w:color w:val="auto"/>
                          </w:rPr>
                        </m:ctrlPr>
                      </m:sSubSupPr>
                      <m:e>
                        <m:r>
                          <w:rPr>
                            <w:rFonts w:ascii="Cambria Math" w:hAnsi="Cambria Math"/>
                            <w:color w:val="auto"/>
                          </w:rPr>
                          <m:t>C</m:t>
                        </m:r>
                      </m:e>
                      <m:sub>
                        <m:r>
                          <w:rPr>
                            <w:rFonts w:ascii="Cambria Math" w:hAnsi="Cambria Math"/>
                            <w:color w:val="auto"/>
                          </w:rPr>
                          <m:t>t</m:t>
                        </m:r>
                      </m:sub>
                      <m:sup>
                        <m:r>
                          <w:rPr>
                            <w:rFonts w:ascii="Cambria Math" w:hAnsi="Cambria Math"/>
                            <w:color w:val="auto"/>
                          </w:rPr>
                          <m:t>DAM</m:t>
                        </m:r>
                      </m:sup>
                    </m:sSubSup>
                    <m:r>
                      <w:rPr>
                        <w:rFonts w:ascii="Cambria Math" w:hAnsi="Cambria Math"/>
                        <w:color w:val="auto"/>
                      </w:rPr>
                      <m:t>-</m:t>
                    </m:r>
                    <m:sSubSup>
                      <m:sSubSupPr>
                        <m:ctrlPr>
                          <w:rPr>
                            <w:rFonts w:ascii="Cambria Math" w:hAnsi="Cambria Math"/>
                            <w:color w:val="auto"/>
                          </w:rPr>
                        </m:ctrlPr>
                      </m:sSubSupPr>
                      <m:e>
                        <m:r>
                          <w:rPr>
                            <w:rFonts w:ascii="Cambria Math" w:hAnsi="Cambria Math"/>
                            <w:color w:val="auto"/>
                          </w:rPr>
                          <m:t>C</m:t>
                        </m:r>
                      </m:e>
                      <m:sub>
                        <m:r>
                          <w:rPr>
                            <w:rFonts w:ascii="Cambria Math" w:hAnsi="Cambria Math"/>
                            <w:color w:val="auto"/>
                          </w:rPr>
                          <m:t>t</m:t>
                        </m:r>
                      </m:sub>
                      <m:sup>
                        <m:r>
                          <w:rPr>
                            <w:rFonts w:ascii="Cambria Math" w:hAnsi="Cambria Math"/>
                            <w:color w:val="auto"/>
                          </w:rPr>
                          <m:t>EXC</m:t>
                        </m:r>
                      </m:sup>
                    </m:sSubSup>
                  </m:e>
                </m:d>
              </m:oMath>
            </m:oMathPara>
          </w:p>
        </w:tc>
        <w:tc>
          <w:tcPr>
            <w:tcW w:w="431" w:type="dxa"/>
            <w:vAlign w:val="center"/>
          </w:tcPr>
          <w:p w14:paraId="7150F343" w14:textId="2BAAF7C5" w:rsidR="001549DD" w:rsidRPr="00647E1F" w:rsidRDefault="001549DD" w:rsidP="001549DD">
            <w:pPr>
              <w:pStyle w:val="MDPI3aequationnumber"/>
              <w:spacing w:line="260" w:lineRule="atLeast"/>
              <w:rPr>
                <w:color w:val="auto"/>
              </w:rPr>
            </w:pPr>
            <w:r w:rsidRPr="00647E1F">
              <w:rPr>
                <w:color w:val="auto"/>
              </w:rPr>
              <w:t>(</w:t>
            </w:r>
            <w:r>
              <w:rPr>
                <w:color w:val="auto"/>
              </w:rPr>
              <w:t>10</w:t>
            </w:r>
            <w:r w:rsidRPr="00647E1F">
              <w:rPr>
                <w:color w:val="auto"/>
              </w:rPr>
              <w:t>)</w:t>
            </w:r>
          </w:p>
        </w:tc>
      </w:tr>
    </w:tbl>
    <w:p w14:paraId="00758922" w14:textId="474DFC6D" w:rsidR="00022026" w:rsidRPr="00022026" w:rsidRDefault="00022026" w:rsidP="00022026">
      <w:pPr>
        <w:pStyle w:val="MDPI31text"/>
        <w:rPr>
          <w:color w:val="auto"/>
          <w:lang w:val="en-GB"/>
        </w:rPr>
      </w:pPr>
      <w:r w:rsidRPr="00022026">
        <w:rPr>
          <w:color w:val="auto"/>
          <w:lang w:val="en-GB"/>
        </w:rPr>
        <w:t xml:space="preserve">The imbalance price for hour </w:t>
      </w:r>
      <m:oMath>
        <m:r>
          <w:rPr>
            <w:rFonts w:ascii="Cambria Math" w:hAnsi="Cambria Math"/>
            <w:color w:val="auto"/>
            <w:lang w:val="en-GB"/>
          </w:rPr>
          <m:t>t</m:t>
        </m:r>
      </m:oMath>
      <w:r w:rsidRPr="00022026">
        <w:rPr>
          <w:color w:val="auto"/>
          <w:lang w:val="en-GB"/>
        </w:rPr>
        <w:t xml:space="preserve"> is: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1549DD" w:rsidRPr="00647E1F" w14:paraId="445317D3" w14:textId="77777777" w:rsidTr="00966A38">
        <w:tc>
          <w:tcPr>
            <w:tcW w:w="7428" w:type="dxa"/>
          </w:tcPr>
          <w:p w14:paraId="01B2459D" w14:textId="1B3D65AC" w:rsidR="001549DD" w:rsidRPr="00647E1F" w:rsidRDefault="00000000" w:rsidP="00966A38">
            <w:pPr>
              <w:pStyle w:val="MDPI39equation"/>
              <w:rPr>
                <w:color w:val="auto"/>
              </w:rPr>
            </w:pPr>
            <m:oMathPara>
              <m:oMath>
                <m:sSubSup>
                  <m:sSubSupPr>
                    <m:ctrlPr>
                      <w:rPr>
                        <w:rFonts w:ascii="Cambria Math" w:hAnsi="Cambria Math"/>
                        <w:color w:val="auto"/>
                      </w:rPr>
                    </m:ctrlPr>
                  </m:sSubSupPr>
                  <m:e>
                    <m:r>
                      <w:rPr>
                        <w:rFonts w:ascii="Cambria Math" w:hAnsi="Cambria Math"/>
                        <w:color w:val="auto"/>
                      </w:rPr>
                      <m:t>C</m:t>
                    </m:r>
                  </m:e>
                  <m:sub>
                    <m:r>
                      <w:rPr>
                        <w:rFonts w:ascii="Cambria Math" w:hAnsi="Cambria Math"/>
                        <w:color w:val="auto"/>
                      </w:rPr>
                      <m:t>t</m:t>
                    </m:r>
                  </m:sub>
                  <m:sup>
                    <m:r>
                      <w:rPr>
                        <w:rFonts w:ascii="Cambria Math" w:hAnsi="Cambria Math"/>
                        <w:color w:val="auto"/>
                      </w:rPr>
                      <m:t>IMB</m:t>
                    </m:r>
                  </m:sup>
                </m:sSubSup>
                <m:r>
                  <w:rPr>
                    <w:rFonts w:ascii="Cambria Math" w:hAnsi="Cambria Math"/>
                    <w:color w:val="auto"/>
                  </w:rPr>
                  <m:t>=</m:t>
                </m:r>
                <m:d>
                  <m:dPr>
                    <m:begChr m:val="{"/>
                    <m:endChr m:val=""/>
                    <m:ctrlPr>
                      <w:rPr>
                        <w:rFonts w:ascii="Cambria Math" w:hAnsi="Cambria Math"/>
                        <w:color w:val="auto"/>
                      </w:rPr>
                    </m:ctrlPr>
                  </m:dPr>
                  <m:e>
                    <m:eqArr>
                      <m:eqArrPr>
                        <m:ctrlPr>
                          <w:rPr>
                            <w:rFonts w:ascii="Cambria Math" w:hAnsi="Cambria Math"/>
                            <w:color w:val="auto"/>
                          </w:rPr>
                        </m:ctrlPr>
                      </m:eqArrPr>
                      <m:e>
                        <m:sSubSup>
                          <m:sSubSupPr>
                            <m:ctrlPr>
                              <w:rPr>
                                <w:rFonts w:ascii="Cambria Math" w:hAnsi="Cambria Math"/>
                                <w:color w:val="auto"/>
                              </w:rPr>
                            </m:ctrlPr>
                          </m:sSubSupPr>
                          <m:e>
                            <m:r>
                              <w:rPr>
                                <w:rFonts w:ascii="Cambria Math" w:hAnsi="Cambria Math"/>
                                <w:color w:val="auto"/>
                              </w:rPr>
                              <m:t>C</m:t>
                            </m:r>
                          </m:e>
                          <m:sub>
                            <m:r>
                              <w:rPr>
                                <w:rFonts w:ascii="Cambria Math" w:hAnsi="Cambria Math"/>
                                <w:color w:val="auto"/>
                              </w:rPr>
                              <m:t>t</m:t>
                            </m:r>
                          </m:sub>
                          <m:sup>
                            <m:r>
                              <w:rPr>
                                <w:rFonts w:ascii="Cambria Math" w:hAnsi="Cambria Math"/>
                                <w:color w:val="auto"/>
                              </w:rPr>
                              <m:t>DAM</m:t>
                            </m:r>
                          </m:sup>
                        </m:sSubSup>
                        <m:r>
                          <w:rPr>
                            <w:rFonts w:ascii="Cambria Math" w:hAnsi="Cambria Math"/>
                            <w:color w:val="auto"/>
                          </w:rPr>
                          <m:t>-</m:t>
                        </m:r>
                        <m:sSubSup>
                          <m:sSubSupPr>
                            <m:ctrlPr>
                              <w:rPr>
                                <w:rFonts w:ascii="Cambria Math" w:hAnsi="Cambria Math"/>
                                <w:color w:val="auto"/>
                              </w:rPr>
                            </m:ctrlPr>
                          </m:sSubSupPr>
                          <m:e>
                            <m:r>
                              <w:rPr>
                                <w:rFonts w:ascii="Cambria Math" w:hAnsi="Cambria Math"/>
                                <w:color w:val="auto"/>
                              </w:rPr>
                              <m:t>C</m:t>
                            </m:r>
                          </m:e>
                          <m:sub>
                            <m:r>
                              <w:rPr>
                                <w:rFonts w:ascii="Cambria Math" w:hAnsi="Cambria Math"/>
                                <w:color w:val="auto"/>
                              </w:rPr>
                              <m:t>t</m:t>
                            </m:r>
                          </m:sub>
                          <m:sup>
                            <m:r>
                              <w:rPr>
                                <w:rFonts w:ascii="Cambria Math" w:hAnsi="Cambria Math"/>
                                <w:color w:val="auto"/>
                              </w:rPr>
                              <m:t>Penalty</m:t>
                            </m:r>
                          </m:sup>
                        </m:sSubSup>
                        <m:r>
                          <w:rPr>
                            <w:rFonts w:ascii="Cambria Math" w:hAnsi="Cambria Math"/>
                            <w:color w:val="auto"/>
                          </w:rPr>
                          <m:t>,  if</m:t>
                        </m:r>
                        <m:sSubSup>
                          <m:sSubSupPr>
                            <m:ctrlPr>
                              <w:rPr>
                                <w:rFonts w:ascii="Cambria Math" w:hAnsi="Cambria Math"/>
                                <w:color w:val="auto"/>
                              </w:rPr>
                            </m:ctrlPr>
                          </m:sSubSupPr>
                          <m:e>
                            <m:r>
                              <w:rPr>
                                <w:rFonts w:ascii="Cambria Math" w:hAnsi="Cambria Math"/>
                                <w:color w:val="auto"/>
                              </w:rPr>
                              <m:t>E</m:t>
                            </m:r>
                          </m:e>
                          <m:sub>
                            <m:r>
                              <w:rPr>
                                <w:rFonts w:ascii="Cambria Math" w:hAnsi="Cambria Math"/>
                                <w:color w:val="auto"/>
                              </w:rPr>
                              <m:t>j,t</m:t>
                            </m:r>
                          </m:sub>
                          <m:sup>
                            <m:r>
                              <w:rPr>
                                <w:rFonts w:ascii="Cambria Math" w:hAnsi="Cambria Math"/>
                                <w:color w:val="auto"/>
                              </w:rPr>
                              <m:t>dev</m:t>
                            </m:r>
                          </m:sup>
                        </m:sSubSup>
                        <m:r>
                          <w:rPr>
                            <w:rFonts w:ascii="Cambria Math" w:hAnsi="Cambria Math"/>
                            <w:color w:val="auto"/>
                          </w:rPr>
                          <m:t>&gt;0</m:t>
                        </m:r>
                      </m:e>
                      <m:e>
                        <m:sSubSup>
                          <m:sSubSupPr>
                            <m:ctrlPr>
                              <w:rPr>
                                <w:rFonts w:ascii="Cambria Math" w:hAnsi="Cambria Math"/>
                                <w:color w:val="auto"/>
                              </w:rPr>
                            </m:ctrlPr>
                          </m:sSubSupPr>
                          <m:e>
                            <m:r>
                              <w:rPr>
                                <w:rFonts w:ascii="Cambria Math" w:hAnsi="Cambria Math"/>
                                <w:color w:val="auto"/>
                              </w:rPr>
                              <m:t>C</m:t>
                            </m:r>
                          </m:e>
                          <m:sub>
                            <m:r>
                              <w:rPr>
                                <w:rFonts w:ascii="Cambria Math" w:hAnsi="Cambria Math"/>
                                <w:color w:val="auto"/>
                              </w:rPr>
                              <m:t>t</m:t>
                            </m:r>
                          </m:sub>
                          <m:sup>
                            <m:r>
                              <w:rPr>
                                <w:rFonts w:ascii="Cambria Math" w:hAnsi="Cambria Math"/>
                                <w:color w:val="auto"/>
                              </w:rPr>
                              <m:t>DAM</m:t>
                            </m:r>
                          </m:sup>
                        </m:sSubSup>
                        <m:r>
                          <w:rPr>
                            <w:rFonts w:ascii="Cambria Math" w:hAnsi="Cambria Math"/>
                            <w:color w:val="auto"/>
                          </w:rPr>
                          <m:t>+</m:t>
                        </m:r>
                        <m:sSubSup>
                          <m:sSubSupPr>
                            <m:ctrlPr>
                              <w:rPr>
                                <w:rFonts w:ascii="Cambria Math" w:hAnsi="Cambria Math"/>
                                <w:color w:val="auto"/>
                              </w:rPr>
                            </m:ctrlPr>
                          </m:sSubSupPr>
                          <m:e>
                            <m:r>
                              <w:rPr>
                                <w:rFonts w:ascii="Cambria Math" w:hAnsi="Cambria Math"/>
                                <w:color w:val="auto"/>
                              </w:rPr>
                              <m:t>C</m:t>
                            </m:r>
                          </m:e>
                          <m:sub>
                            <m:r>
                              <w:rPr>
                                <w:rFonts w:ascii="Cambria Math" w:hAnsi="Cambria Math"/>
                                <w:color w:val="auto"/>
                              </w:rPr>
                              <m:t>t</m:t>
                            </m:r>
                          </m:sub>
                          <m:sup>
                            <m:r>
                              <w:rPr>
                                <w:rFonts w:ascii="Cambria Math" w:hAnsi="Cambria Math"/>
                                <w:color w:val="auto"/>
                              </w:rPr>
                              <m:t>Penalty</m:t>
                            </m:r>
                          </m:sup>
                        </m:sSubSup>
                        <m:r>
                          <w:rPr>
                            <w:rFonts w:ascii="Cambria Math" w:hAnsi="Cambria Math"/>
                            <w:color w:val="auto"/>
                          </w:rPr>
                          <m:t xml:space="preserve">,  </m:t>
                        </m:r>
                        <m:sSubSup>
                          <m:sSubSupPr>
                            <m:ctrlPr>
                              <w:rPr>
                                <w:rFonts w:ascii="Cambria Math" w:hAnsi="Cambria Math"/>
                                <w:color w:val="auto"/>
                              </w:rPr>
                            </m:ctrlPr>
                          </m:sSubSupPr>
                          <m:e>
                            <m:r>
                              <w:rPr>
                                <w:rFonts w:ascii="Cambria Math" w:hAnsi="Cambria Math"/>
                                <w:color w:val="auto"/>
                              </w:rPr>
                              <m:t>ifE</m:t>
                            </m:r>
                          </m:e>
                          <m:sub>
                            <m:r>
                              <w:rPr>
                                <w:rFonts w:ascii="Cambria Math" w:hAnsi="Cambria Math"/>
                                <w:color w:val="auto"/>
                              </w:rPr>
                              <m:t>j,t</m:t>
                            </m:r>
                          </m:sub>
                          <m:sup>
                            <m:r>
                              <w:rPr>
                                <w:rFonts w:ascii="Cambria Math" w:hAnsi="Cambria Math"/>
                                <w:color w:val="auto"/>
                              </w:rPr>
                              <m:t>dev</m:t>
                            </m:r>
                          </m:sup>
                        </m:sSubSup>
                        <m:r>
                          <w:rPr>
                            <w:rFonts w:ascii="Cambria Math" w:hAnsi="Cambria Math"/>
                            <w:color w:val="auto"/>
                          </w:rPr>
                          <m:t>&lt;0</m:t>
                        </m:r>
                      </m:e>
                    </m:eqArr>
                  </m:e>
                </m:d>
              </m:oMath>
            </m:oMathPara>
          </w:p>
        </w:tc>
        <w:tc>
          <w:tcPr>
            <w:tcW w:w="431" w:type="dxa"/>
            <w:vAlign w:val="center"/>
          </w:tcPr>
          <w:p w14:paraId="2F25484A" w14:textId="4AF56DB2" w:rsidR="001549DD" w:rsidRPr="00647E1F" w:rsidRDefault="001549DD" w:rsidP="001549DD">
            <w:pPr>
              <w:pStyle w:val="MDPI3aequationnumber"/>
              <w:spacing w:line="260" w:lineRule="atLeast"/>
              <w:rPr>
                <w:color w:val="auto"/>
              </w:rPr>
            </w:pPr>
            <w:r w:rsidRPr="00647E1F">
              <w:rPr>
                <w:color w:val="auto"/>
              </w:rPr>
              <w:t>(</w:t>
            </w:r>
            <w:r>
              <w:rPr>
                <w:color w:val="auto"/>
              </w:rPr>
              <w:t>11</w:t>
            </w:r>
            <w:r w:rsidRPr="00647E1F">
              <w:rPr>
                <w:color w:val="auto"/>
              </w:rPr>
              <w:t>)</w:t>
            </w:r>
          </w:p>
        </w:tc>
      </w:tr>
    </w:tbl>
    <w:p w14:paraId="7B048DD0" w14:textId="77777777" w:rsidR="001549DD" w:rsidRPr="001549DD" w:rsidRDefault="001549DD" w:rsidP="001549DD">
      <w:pPr>
        <w:pStyle w:val="MDPI31text"/>
        <w:rPr>
          <w:rFonts w:eastAsiaTheme="minorEastAsia"/>
          <w:lang w:val="en-GB"/>
        </w:rPr>
      </w:pPr>
      <w:r w:rsidRPr="001549DD">
        <w:rPr>
          <w:rFonts w:eastAsiaTheme="minorEastAsia"/>
          <w:lang w:val="en-GB"/>
        </w:rPr>
        <w:t>The producer faces significant penalties if they fail to fulfil their balancing service contracts. If the producer has surplus generation and the imbalance price for a positive deviation is negative, they can voluntarily curtail their excess generation to avoid incurring costs associated with overproduction.</w:t>
      </w:r>
    </w:p>
    <w:p w14:paraId="78C16FED" w14:textId="506776B3" w:rsidR="001549DD" w:rsidRDefault="001549DD" w:rsidP="001549DD">
      <w:pPr>
        <w:pStyle w:val="MDPI31text"/>
        <w:rPr>
          <w:rFonts w:eastAsiaTheme="minorEastAsia"/>
          <w:lang w:val="en-GB"/>
        </w:rPr>
      </w:pPr>
      <w:r w:rsidRPr="001549DD">
        <w:rPr>
          <w:rFonts w:eastAsiaTheme="minorEastAsia"/>
          <w:lang w:val="en-GB"/>
        </w:rPr>
        <w:t xml:space="preserve">The remuneration from the </w:t>
      </w:r>
      <w:r w:rsidR="005C0F64">
        <w:rPr>
          <w:rFonts w:eastAsiaTheme="minorEastAsia"/>
          <w:lang w:val="en-GB"/>
        </w:rPr>
        <w:t>IS</w:t>
      </w:r>
      <w:r w:rsidRPr="001549DD">
        <w:rPr>
          <w:rFonts w:eastAsiaTheme="minorEastAsia"/>
          <w:lang w:val="en-GB"/>
        </w:rPr>
        <w:t xml:space="preserve"> is: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1549DD" w:rsidRPr="00647E1F" w14:paraId="54F72C76" w14:textId="77777777" w:rsidTr="00966A38">
        <w:tc>
          <w:tcPr>
            <w:tcW w:w="7428" w:type="dxa"/>
          </w:tcPr>
          <w:p w14:paraId="057DB169" w14:textId="5B2D809A" w:rsidR="001549DD" w:rsidRPr="00647E1F" w:rsidRDefault="00000000" w:rsidP="00966A38">
            <w:pPr>
              <w:pStyle w:val="MDPI39equation"/>
              <w:ind w:left="0"/>
              <w:jc w:val="both"/>
              <w:rPr>
                <w:color w:val="auto"/>
              </w:rPr>
            </w:pPr>
            <m:oMathPara>
              <m:oMath>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j,t</m:t>
                    </m:r>
                  </m:sub>
                  <m:sup>
                    <m:r>
                      <w:rPr>
                        <w:rFonts w:ascii="Cambria Math" w:hAnsi="Cambria Math"/>
                        <w:lang w:val="en-GB"/>
                      </w:rPr>
                      <m:t>IS</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E</m:t>
                    </m:r>
                  </m:e>
                  <m:sub>
                    <m:r>
                      <w:rPr>
                        <w:rFonts w:ascii="Cambria Math" w:hAnsi="Cambria Math"/>
                        <w:lang w:val="en-GB"/>
                      </w:rPr>
                      <m:t>j,t</m:t>
                    </m:r>
                  </m:sub>
                  <m:sup>
                    <m:r>
                      <w:rPr>
                        <w:rFonts w:ascii="Cambria Math" w:hAnsi="Cambria Math"/>
                        <w:lang w:val="en-GB"/>
                      </w:rPr>
                      <m:t>dev</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C</m:t>
                    </m:r>
                  </m:e>
                  <m:sub>
                    <m:r>
                      <w:rPr>
                        <w:rFonts w:ascii="Cambria Math" w:hAnsi="Cambria Math"/>
                        <w:lang w:val="en-GB"/>
                      </w:rPr>
                      <m:t>t</m:t>
                    </m:r>
                  </m:sub>
                  <m:sup>
                    <m:r>
                      <w:rPr>
                        <w:rFonts w:ascii="Cambria Math" w:hAnsi="Cambria Math"/>
                        <w:lang w:val="en-GB"/>
                      </w:rPr>
                      <m:t>IMB</m:t>
                    </m:r>
                  </m:sup>
                </m:sSubSup>
              </m:oMath>
            </m:oMathPara>
          </w:p>
        </w:tc>
        <w:tc>
          <w:tcPr>
            <w:tcW w:w="431" w:type="dxa"/>
            <w:vAlign w:val="center"/>
          </w:tcPr>
          <w:p w14:paraId="420BACF6" w14:textId="4C5C5DA8" w:rsidR="001549DD" w:rsidRPr="00647E1F" w:rsidRDefault="001549DD" w:rsidP="001549DD">
            <w:pPr>
              <w:pStyle w:val="MDPI3aequationnumber"/>
              <w:spacing w:line="260" w:lineRule="atLeast"/>
              <w:rPr>
                <w:color w:val="auto"/>
              </w:rPr>
            </w:pPr>
            <w:r w:rsidRPr="00647E1F">
              <w:rPr>
                <w:color w:val="auto"/>
              </w:rPr>
              <w:t>(</w:t>
            </w:r>
            <w:r>
              <w:rPr>
                <w:color w:val="auto"/>
              </w:rPr>
              <w:t>12</w:t>
            </w:r>
            <w:r w:rsidRPr="00647E1F">
              <w:rPr>
                <w:color w:val="auto"/>
              </w:rPr>
              <w:t>)</w:t>
            </w:r>
          </w:p>
        </w:tc>
      </w:tr>
    </w:tbl>
    <w:p w14:paraId="1E49008D" w14:textId="0CAECE91" w:rsidR="001549DD" w:rsidRDefault="001549DD" w:rsidP="001549DD">
      <w:pPr>
        <w:pStyle w:val="MDPI31text"/>
        <w:rPr>
          <w:lang w:val="en-GB"/>
        </w:rPr>
      </w:pPr>
      <w:r w:rsidRPr="001549DD">
        <w:rPr>
          <w:lang w:val="en-GB"/>
        </w:rPr>
        <w:t>Revenue from participation in SR is given by the sum of the three market segments: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1549DD" w:rsidRPr="00647E1F" w14:paraId="57AFE5EF" w14:textId="77777777" w:rsidTr="00966A38">
        <w:tc>
          <w:tcPr>
            <w:tcW w:w="7428" w:type="dxa"/>
          </w:tcPr>
          <w:p w14:paraId="7F93F802" w14:textId="0E3FE7D3" w:rsidR="001549DD" w:rsidRPr="00647E1F" w:rsidRDefault="00000000" w:rsidP="00966A38">
            <w:pPr>
              <w:pStyle w:val="MDPI39equation"/>
              <w:ind w:left="0"/>
              <w:jc w:val="both"/>
              <w:rPr>
                <w:color w:val="auto"/>
              </w:rPr>
            </w:pPr>
            <m:oMathPara>
              <m:oMath>
                <m:sSubSup>
                  <m:sSubSupPr>
                    <m:ctrlPr>
                      <w:rPr>
                        <w:rFonts w:ascii="Cambria Math" w:hAnsi="Cambria Math"/>
                        <w:i/>
                        <w:lang w:val="en-GB"/>
                      </w:rPr>
                    </m:ctrlPr>
                  </m:sSubSupPr>
                  <m:e>
                    <m:r>
                      <w:rPr>
                        <w:rFonts w:ascii="Cambria Math" w:hAnsi="Cambria Math" w:cs="Calibri"/>
                        <w:lang w:val="en-GB"/>
                      </w:rPr>
                      <m:t>R</m:t>
                    </m:r>
                  </m:e>
                  <m:sub>
                    <m:r>
                      <w:rPr>
                        <w:rFonts w:ascii="Cambria Math" w:hAnsi="Cambria Math" w:cs="Calibri"/>
                        <w:lang w:val="en-GB"/>
                      </w:rPr>
                      <m:t>j,t</m:t>
                    </m:r>
                  </m:sub>
                  <m:sup>
                    <m:r>
                      <w:rPr>
                        <w:rFonts w:ascii="Cambria Math" w:hAnsi="Cambria Math" w:cs="Calibri"/>
                        <w:lang w:val="en-GB"/>
                      </w:rPr>
                      <m:t>SR</m:t>
                    </m:r>
                  </m:sup>
                </m:sSubSup>
                <m:r>
                  <w:rPr>
                    <w:rFonts w:ascii="Cambria Math" w:hAnsi="Cambria Math" w:cs="Calibri"/>
                    <w:lang w:val="en-GB"/>
                  </w:rPr>
                  <m:t>=</m:t>
                </m:r>
                <m:sSubSup>
                  <m:sSubSupPr>
                    <m:ctrlPr>
                      <w:rPr>
                        <w:rFonts w:ascii="Cambria Math" w:hAnsi="Cambria Math"/>
                        <w:i/>
                        <w:lang w:val="en-GB"/>
                      </w:rPr>
                    </m:ctrlPr>
                  </m:sSubSupPr>
                  <m:e>
                    <m:r>
                      <w:rPr>
                        <w:rFonts w:ascii="Cambria Math" w:hAnsi="Cambria Math" w:cs="Calibri"/>
                        <w:lang w:val="en-GB"/>
                      </w:rPr>
                      <m:t>R</m:t>
                    </m:r>
                  </m:e>
                  <m:sub>
                    <m:r>
                      <w:rPr>
                        <w:rFonts w:ascii="Cambria Math" w:hAnsi="Cambria Math" w:cs="Calibri"/>
                        <w:lang w:val="en-GB"/>
                      </w:rPr>
                      <m:t>j,t</m:t>
                    </m:r>
                  </m:sub>
                  <m:sup>
                    <m:r>
                      <w:rPr>
                        <w:rFonts w:ascii="Cambria Math" w:hAnsi="Cambria Math" w:cs="Calibri"/>
                        <w:lang w:val="en-GB"/>
                      </w:rPr>
                      <m:t>CAP</m:t>
                    </m:r>
                  </m:sup>
                </m:sSubSup>
                <m:r>
                  <w:rPr>
                    <w:rFonts w:ascii="Cambria Math" w:hAnsi="Cambria Math" w:cs="Calibri"/>
                    <w:lang w:val="en-GB"/>
                  </w:rPr>
                  <m:t>+</m:t>
                </m:r>
                <m:sSubSup>
                  <m:sSubSupPr>
                    <m:ctrlPr>
                      <w:rPr>
                        <w:rFonts w:ascii="Cambria Math" w:hAnsi="Cambria Math"/>
                        <w:i/>
                        <w:lang w:val="en-GB"/>
                      </w:rPr>
                    </m:ctrlPr>
                  </m:sSubSupPr>
                  <m:e>
                    <m:r>
                      <w:rPr>
                        <w:rFonts w:ascii="Cambria Math" w:hAnsi="Cambria Math" w:cs="Calibri"/>
                        <w:lang w:val="en-GB"/>
                      </w:rPr>
                      <m:t>R</m:t>
                    </m:r>
                  </m:e>
                  <m:sub>
                    <m:r>
                      <w:rPr>
                        <w:rFonts w:ascii="Cambria Math" w:hAnsi="Cambria Math" w:cs="Calibri"/>
                        <w:lang w:val="en-GB"/>
                      </w:rPr>
                      <m:t>j,t</m:t>
                    </m:r>
                  </m:sub>
                  <m:sup>
                    <m:r>
                      <w:rPr>
                        <w:rFonts w:ascii="Cambria Math" w:hAnsi="Cambria Math" w:cs="Calibri"/>
                        <w:lang w:val="en-GB"/>
                      </w:rPr>
                      <m:t>EN</m:t>
                    </m:r>
                  </m:sup>
                </m:sSubSup>
                <m:r>
                  <w:rPr>
                    <w:rFonts w:ascii="Cambria Math" w:eastAsiaTheme="minorEastAsia" w:hAnsi="Cambria Math"/>
                    <w:lang w:val="en-GB"/>
                  </w:rPr>
                  <m:t>+</m:t>
                </m:r>
                <m:sSubSup>
                  <m:sSubSupPr>
                    <m:ctrlPr>
                      <w:rPr>
                        <w:rFonts w:ascii="Cambria Math" w:hAnsi="Cambria Math"/>
                        <w:i/>
                        <w:lang w:val="en-GB"/>
                      </w:rPr>
                    </m:ctrlPr>
                  </m:sSubSupPr>
                  <m:e>
                    <m:r>
                      <w:rPr>
                        <w:rFonts w:ascii="Cambria Math" w:hAnsi="Cambria Math" w:cs="Calibri"/>
                        <w:lang w:val="en-GB"/>
                      </w:rPr>
                      <m:t>R</m:t>
                    </m:r>
                  </m:e>
                  <m:sub>
                    <m:r>
                      <w:rPr>
                        <w:rFonts w:ascii="Cambria Math" w:hAnsi="Cambria Math" w:cs="Calibri"/>
                        <w:lang w:val="en-GB"/>
                      </w:rPr>
                      <m:t>j,t</m:t>
                    </m:r>
                  </m:sub>
                  <m:sup>
                    <m:r>
                      <w:rPr>
                        <w:rFonts w:ascii="Cambria Math" w:hAnsi="Cambria Math" w:cs="Calibri"/>
                        <w:lang w:val="en-GB"/>
                      </w:rPr>
                      <m:t>IS</m:t>
                    </m:r>
                  </m:sup>
                </m:sSubSup>
              </m:oMath>
            </m:oMathPara>
          </w:p>
        </w:tc>
        <w:tc>
          <w:tcPr>
            <w:tcW w:w="431" w:type="dxa"/>
            <w:vAlign w:val="center"/>
          </w:tcPr>
          <w:p w14:paraId="6A9E5857" w14:textId="18F299EE" w:rsidR="001549DD" w:rsidRPr="00647E1F" w:rsidRDefault="001549DD" w:rsidP="001549DD">
            <w:pPr>
              <w:pStyle w:val="MDPI3aequationnumber"/>
              <w:spacing w:line="260" w:lineRule="atLeast"/>
              <w:rPr>
                <w:color w:val="auto"/>
              </w:rPr>
            </w:pPr>
            <w:r w:rsidRPr="00647E1F">
              <w:rPr>
                <w:color w:val="auto"/>
              </w:rPr>
              <w:t>(</w:t>
            </w:r>
            <w:r>
              <w:rPr>
                <w:color w:val="auto"/>
              </w:rPr>
              <w:t>13</w:t>
            </w:r>
            <w:r w:rsidRPr="00647E1F">
              <w:rPr>
                <w:color w:val="auto"/>
              </w:rPr>
              <w:t>)</w:t>
            </w:r>
          </w:p>
        </w:tc>
      </w:tr>
    </w:tbl>
    <w:p w14:paraId="755AA9A3" w14:textId="0F6CD5BB" w:rsidR="001549DD" w:rsidRPr="001549DD" w:rsidRDefault="001549DD" w:rsidP="001549DD">
      <w:pPr>
        <w:pStyle w:val="MDPI31text"/>
        <w:rPr>
          <w:b/>
          <w:bCs/>
          <w:u w:val="single"/>
          <w:lang w:val="en-GB"/>
        </w:rPr>
      </w:pPr>
      <w:r w:rsidRPr="001549DD">
        <w:rPr>
          <w:lang w:val="en-GB"/>
        </w:rPr>
        <w:t>The producer can settle deviation (2) in the mFRR market. For negative imbalances, producer can bid the deviation (2) to downward regulation and pay the price</w:t>
      </w:r>
      <w:r w:rsidR="005D51A1">
        <w:rPr>
          <w:lang w:val="en-GB"/>
        </w:rPr>
        <w:t xml:space="preserve"> </w:t>
      </w:r>
      <m:oMath>
        <m:sSubSup>
          <m:sSubSupPr>
            <m:ctrlPr>
              <w:rPr>
                <w:rFonts w:ascii="Cambria Math" w:hAnsi="Cambria Math"/>
                <w:i/>
                <w:lang w:val="en-GB"/>
              </w:rPr>
            </m:ctrlPr>
          </m:sSubSupPr>
          <m:e>
            <m:r>
              <w:rPr>
                <w:rFonts w:ascii="Cambria Math" w:hAnsi="Cambria Math"/>
                <w:lang w:val="en-GB"/>
              </w:rPr>
              <m:t>C</m:t>
            </m:r>
          </m:e>
          <m:sub>
            <m:r>
              <w:rPr>
                <w:rFonts w:ascii="Cambria Math" w:hAnsi="Cambria Math"/>
                <w:lang w:val="en-GB"/>
              </w:rPr>
              <m:t>t</m:t>
            </m:r>
          </m:sub>
          <m:sup>
            <m:sSup>
              <m:sSupPr>
                <m:ctrlPr>
                  <w:rPr>
                    <w:rFonts w:ascii="Cambria Math" w:hAnsi="Cambria Math"/>
                    <w:i/>
                    <w:lang w:val="en-GB"/>
                  </w:rPr>
                </m:ctrlPr>
              </m:sSupPr>
              <m:e>
                <m:r>
                  <w:rPr>
                    <w:rFonts w:ascii="Cambria Math" w:hAnsi="Cambria Math"/>
                    <w:lang w:val="en-GB"/>
                  </w:rPr>
                  <m:t>TR</m:t>
                </m:r>
              </m:e>
              <m:sup>
                <m:r>
                  <w:rPr>
                    <w:rFonts w:ascii="Cambria Math" w:hAnsi="Cambria Math"/>
                    <w:lang w:val="en-GB"/>
                  </w:rPr>
                  <m:t>down</m:t>
                </m:r>
              </m:sup>
            </m:sSup>
          </m:sup>
        </m:sSubSup>
      </m:oMath>
      <w:r w:rsidRPr="001549DD">
        <w:rPr>
          <w:rFonts w:eastAsiaTheme="minorEastAsia"/>
          <w:lang w:val="en-GB"/>
        </w:rPr>
        <w:t xml:space="preserve"> . For positive imbal</w:t>
      </w:r>
      <w:r w:rsidR="00D41151">
        <w:rPr>
          <w:rFonts w:eastAsiaTheme="minorEastAsia"/>
          <w:lang w:val="en-GB"/>
        </w:rPr>
        <w:t>ances, the producer can receive</w:t>
      </w:r>
      <w:r w:rsidR="005D51A1">
        <w:rPr>
          <w:rFonts w:eastAsiaTheme="minorEastAsia"/>
          <w:lang w:val="en-GB"/>
        </w:rPr>
        <w:t xml:space="preserve"> </w:t>
      </w:r>
      <m:oMath>
        <m:sSubSup>
          <m:sSubSupPr>
            <m:ctrlPr>
              <w:rPr>
                <w:rFonts w:ascii="Cambria Math" w:hAnsi="Cambria Math"/>
                <w:i/>
                <w:lang w:val="en-GB"/>
              </w:rPr>
            </m:ctrlPr>
          </m:sSubSupPr>
          <m:e>
            <m:r>
              <w:rPr>
                <w:rFonts w:ascii="Cambria Math" w:hAnsi="Cambria Math"/>
                <w:lang w:val="en-GB"/>
              </w:rPr>
              <m:t>C</m:t>
            </m:r>
          </m:e>
          <m:sub>
            <m:r>
              <w:rPr>
                <w:rFonts w:ascii="Cambria Math" w:hAnsi="Cambria Math"/>
                <w:lang w:val="en-GB"/>
              </w:rPr>
              <m:t>t</m:t>
            </m:r>
          </m:sub>
          <m:sup>
            <m:sSup>
              <m:sSupPr>
                <m:ctrlPr>
                  <w:rPr>
                    <w:rFonts w:ascii="Cambria Math" w:hAnsi="Cambria Math"/>
                    <w:i/>
                    <w:lang w:val="en-GB"/>
                  </w:rPr>
                </m:ctrlPr>
              </m:sSupPr>
              <m:e>
                <m:r>
                  <w:rPr>
                    <w:rFonts w:ascii="Cambria Math" w:hAnsi="Cambria Math"/>
                    <w:lang w:val="en-GB"/>
                  </w:rPr>
                  <m:t>TR</m:t>
                </m:r>
              </m:e>
              <m:sup>
                <m:r>
                  <w:rPr>
                    <w:rFonts w:ascii="Cambria Math" w:hAnsi="Cambria Math"/>
                    <w:lang w:val="en-GB"/>
                  </w:rPr>
                  <m:t>up</m:t>
                </m:r>
              </m:sup>
            </m:sSup>
          </m:sup>
        </m:sSubSup>
      </m:oMath>
      <w:r w:rsidRPr="001549DD">
        <w:rPr>
          <w:rFonts w:eastAsiaTheme="minorEastAsia"/>
          <w:lang w:val="en-GB"/>
        </w:rPr>
        <w:t xml:space="preserve">. </w:t>
      </w:r>
    </w:p>
    <w:p w14:paraId="322AD33E" w14:textId="4DC3FCE3" w:rsidR="001549DD" w:rsidRDefault="001549DD" w:rsidP="001549DD">
      <w:pPr>
        <w:pStyle w:val="MDPI31text"/>
        <w:rPr>
          <w:rFonts w:eastAsiaTheme="minorEastAsia"/>
          <w:lang w:val="en-GB"/>
        </w:rPr>
      </w:pPr>
      <w:r w:rsidRPr="001549DD">
        <w:rPr>
          <w:rFonts w:eastAsiaTheme="minorEastAsia"/>
          <w:lang w:val="en-GB"/>
        </w:rPr>
        <w:t xml:space="preserve">If the deviation exceeds the needs of the TSO, the remaining imbalance can be adjusted in the IDMs or through </w:t>
      </w:r>
      <w:r w:rsidR="005C0F64">
        <w:rPr>
          <w:rFonts w:eastAsiaTheme="minorEastAsia"/>
          <w:lang w:val="en-GB"/>
        </w:rPr>
        <w:t>IS</w:t>
      </w:r>
      <w:r w:rsidRPr="001549DD">
        <w:rPr>
          <w:rFonts w:eastAsiaTheme="minorEastAsia"/>
          <w:lang w:val="en-GB"/>
        </w:rPr>
        <w:t xml:space="preserve">, with penalties applied as described for the </w:t>
      </w:r>
      <w:r w:rsidR="005C0F64">
        <w:rPr>
          <w:rFonts w:eastAsiaTheme="minorEastAsia"/>
          <w:lang w:val="en-GB"/>
        </w:rPr>
        <w:t>SR</w:t>
      </w:r>
      <w:r w:rsidRPr="001549DD">
        <w:rPr>
          <w:rFonts w:eastAsiaTheme="minorEastAsia"/>
          <w:lang w:val="en-GB"/>
        </w:rPr>
        <w:t>.</w:t>
      </w:r>
    </w:p>
    <w:p w14:paraId="6FDD6A0D" w14:textId="1715E1F7" w:rsidR="001549DD" w:rsidRDefault="001549DD" w:rsidP="00862F10">
      <w:pPr>
        <w:pStyle w:val="MDPI22heading2"/>
        <w:numPr>
          <w:ilvl w:val="1"/>
          <w:numId w:val="7"/>
        </w:numPr>
        <w:ind w:firstLine="1760"/>
      </w:pPr>
      <w:r>
        <w:t>Operational</w:t>
      </w:r>
      <w:r w:rsidRPr="001549DD">
        <w:t xml:space="preserve"> Case</w:t>
      </w:r>
    </w:p>
    <w:p w14:paraId="3E409C01" w14:textId="77777777" w:rsidR="001549DD" w:rsidRPr="001549DD" w:rsidRDefault="001549DD" w:rsidP="001549DD">
      <w:pPr>
        <w:pStyle w:val="MDPI31text"/>
        <w:rPr>
          <w:lang w:val="en-GB"/>
        </w:rPr>
      </w:pPr>
      <w:r w:rsidRPr="001549DD">
        <w:rPr>
          <w:lang w:val="en-GB"/>
        </w:rPr>
        <w:t>Participation in EMs involves inherent uncertainties and limited visibility into market conditions and production levels. Producers often rely on forecasts and bidding strategies to navigate these markets effectively. While minimizing forecasting errors is crucial, some level of uncertainty remains inevitable. Therefore, maintaining operational flexibility and adopting proactive planning are key to managing these challenges and optimizing performance.</w:t>
      </w:r>
    </w:p>
    <w:p w14:paraId="51E578E5" w14:textId="77777777" w:rsidR="001549DD" w:rsidRPr="001549DD" w:rsidRDefault="001549DD" w:rsidP="001549DD">
      <w:pPr>
        <w:pStyle w:val="MDPI31text"/>
        <w:rPr>
          <w:lang w:val="en-GB"/>
        </w:rPr>
      </w:pPr>
      <w:r w:rsidRPr="001549DD">
        <w:rPr>
          <w:lang w:val="en-GB"/>
        </w:rPr>
        <w:t xml:space="preserve">The bidding strategy is designed to optimize revenue by dynamically selecting the quantile offered in the DAM based on market conditions. To achieve this, the producer uses the perfect case scenario as a benchmark to identify the average DAM price when the highest quantile is the optimal bid. This threshold price, denoted as </w:t>
      </w:r>
      <w:r w:rsidRPr="001549DD">
        <w:rPr>
          <w:i/>
          <w:iCs/>
          <w:lang w:val="en-GB"/>
        </w:rPr>
        <w:t>n</w:t>
      </w:r>
      <w:r w:rsidRPr="001549DD">
        <w:rPr>
          <w:lang w:val="en-GB"/>
        </w:rPr>
        <w:t xml:space="preserve">, sets the upper limit for bids in the operational mode, ensuring that offers remain competitive while mitigating risk. </w:t>
      </w:r>
    </w:p>
    <w:p w14:paraId="6B5BBD09" w14:textId="7D89073A" w:rsidR="001549DD" w:rsidRPr="001549DD" w:rsidRDefault="001549DD" w:rsidP="001549DD">
      <w:pPr>
        <w:pStyle w:val="MDPI31text"/>
        <w:rPr>
          <w:lang w:val="en-GB"/>
        </w:rPr>
      </w:pPr>
      <w:r w:rsidRPr="001549DD">
        <w:rPr>
          <w:lang w:val="en-GB"/>
        </w:rPr>
        <w:t xml:space="preserve">The </w:t>
      </w:r>
      <w:r w:rsidR="00DC08B7">
        <w:rPr>
          <w:lang w:val="en-GB"/>
        </w:rPr>
        <w:t>K</w:t>
      </w:r>
      <w:r w:rsidRPr="001549DD">
        <w:rPr>
          <w:lang w:val="en-GB"/>
        </w:rPr>
        <w:t xml:space="preserve"> forecast quantiles</w:t>
      </w:r>
      <m:oMath>
        <m:sSub>
          <m:sSubPr>
            <m:ctrlPr>
              <w:rPr>
                <w:rFonts w:ascii="Cambria Math" w:hAnsi="Cambria Math"/>
                <w:i/>
                <w:lang w:val="en-GB"/>
              </w:rPr>
            </m:ctrlPr>
          </m:sSubPr>
          <m:e>
            <m:r>
              <w:rPr>
                <w:rFonts w:ascii="Cambria Math" w:hAnsi="Cambria Math"/>
                <w:lang w:val="en-GB"/>
              </w:rPr>
              <m:t xml:space="preserve"> Q</m:t>
            </m:r>
          </m:e>
          <m:sub>
            <m:r>
              <w:rPr>
                <w:rFonts w:ascii="Cambria Math" w:hAnsi="Cambria Math"/>
                <w:lang w:val="en-GB"/>
              </w:rPr>
              <m:t>j,t</m:t>
            </m:r>
          </m:sub>
        </m:sSub>
      </m:oMath>
      <w:r w:rsidRPr="001549DD">
        <w:rPr>
          <w:lang w:val="en-GB"/>
        </w:rPr>
        <w:t xml:space="preserve"> are mapped to a price range from 0 €/MWh to </w:t>
      </w:r>
      <w:r w:rsidRPr="001549DD">
        <w:rPr>
          <w:i/>
          <w:iCs/>
          <w:lang w:val="en-GB"/>
        </w:rPr>
        <w:t>n</w:t>
      </w:r>
      <w:r w:rsidRPr="001549DD">
        <w:rPr>
          <w:lang w:val="en-GB"/>
        </w:rPr>
        <w:t xml:space="preserve">, with equal increments between each quantile. The highest quantile is offered when </w:t>
      </w:r>
      <m:oMath>
        <m:sSubSup>
          <m:sSubSupPr>
            <m:ctrlPr>
              <w:rPr>
                <w:rFonts w:ascii="Cambria Math" w:hAnsi="Cambria Math"/>
                <w:i/>
                <w:lang w:val="en-GB"/>
              </w:rPr>
            </m:ctrlPr>
          </m:sSubSupPr>
          <m:e>
            <m:r>
              <w:rPr>
                <w:rFonts w:ascii="Cambria Math" w:hAnsi="Cambria Math"/>
                <w:lang w:val="en-GB"/>
              </w:rPr>
              <m:t>C</m:t>
            </m:r>
          </m:e>
          <m:sub>
            <m:r>
              <w:rPr>
                <w:rFonts w:ascii="Cambria Math" w:hAnsi="Cambria Math"/>
                <w:lang w:val="en-GB"/>
              </w:rPr>
              <m:t>t</m:t>
            </m:r>
          </m:sub>
          <m:sup>
            <m:r>
              <w:rPr>
                <w:rFonts w:ascii="Cambria Math" w:hAnsi="Cambria Math"/>
                <w:lang w:val="en-GB"/>
              </w:rPr>
              <m:t>DAM</m:t>
            </m:r>
          </m:sup>
        </m:sSubSup>
        <m:r>
          <w:rPr>
            <w:rFonts w:ascii="Cambria Math" w:hAnsi="Cambria Math"/>
            <w:lang w:val="en-GB"/>
          </w:rPr>
          <m:t>≥n</m:t>
        </m:r>
      </m:oMath>
      <w:r w:rsidRPr="001549DD">
        <w:rPr>
          <w:lang w:val="en-GB"/>
        </w:rPr>
        <w:t>.</w:t>
      </w:r>
    </w:p>
    <w:p w14:paraId="396FE5ED" w14:textId="13B35E7A" w:rsidR="001549DD" w:rsidRDefault="001549DD" w:rsidP="001549DD">
      <w:pPr>
        <w:pStyle w:val="MDPI31text"/>
        <w:rPr>
          <w:lang w:val="en-GB"/>
        </w:rPr>
      </w:pPr>
      <w:r w:rsidRPr="001549DD">
        <w:rPr>
          <w:lang w:val="en-GB"/>
        </w:rPr>
        <w:t xml:space="preserve">The price interval for each of the others quantiles </w:t>
      </w:r>
      <w:r w:rsidRPr="001549DD">
        <w:rPr>
          <w:i/>
          <w:iCs/>
          <w:lang w:val="en-GB"/>
        </w:rPr>
        <w:t xml:space="preserve">k </w:t>
      </w:r>
      <w:r w:rsidRPr="001549DD">
        <w:rPr>
          <w:lang w:val="en-GB"/>
        </w:rPr>
        <w:t>(where k =1,…,</w:t>
      </w:r>
      <w:r w:rsidR="00DC08B7">
        <w:rPr>
          <w:lang w:val="en-GB"/>
        </w:rPr>
        <w:t>K</w:t>
      </w:r>
      <w:r w:rsidRPr="001549DD">
        <w:rPr>
          <w:lang w:val="en-GB"/>
        </w:rPr>
        <w:t>) is given by the following formula:</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1549DD" w:rsidRPr="00647E1F" w14:paraId="7A9EC66B" w14:textId="77777777" w:rsidTr="00966A38">
        <w:tc>
          <w:tcPr>
            <w:tcW w:w="7428" w:type="dxa"/>
          </w:tcPr>
          <w:p w14:paraId="46AF565A" w14:textId="430BFADC" w:rsidR="001549DD" w:rsidRPr="00647E1F" w:rsidRDefault="00000000" w:rsidP="00DC08B7">
            <w:pPr>
              <w:pStyle w:val="MDPI39equation"/>
              <w:ind w:left="0"/>
              <w:jc w:val="both"/>
              <w:rPr>
                <w:color w:val="auto"/>
              </w:rPr>
            </w:pPr>
            <m:oMathPara>
              <m:oMath>
                <m:sSub>
                  <m:sSubPr>
                    <m:ctrlPr>
                      <w:rPr>
                        <w:rFonts w:ascii="Cambria Math" w:hAnsi="Cambria Math"/>
                        <w:i/>
                        <w:lang w:val="en-GB"/>
                      </w:rPr>
                    </m:ctrlPr>
                  </m:sSubPr>
                  <m:e>
                    <m:r>
                      <w:rPr>
                        <w:rFonts w:ascii="Cambria Math" w:hAnsi="Cambria Math"/>
                        <w:lang w:val="en-GB"/>
                      </w:rPr>
                      <m:t>Price Interval</m:t>
                    </m:r>
                  </m:e>
                  <m:sub>
                    <m:r>
                      <w:rPr>
                        <w:rFonts w:ascii="Cambria Math" w:hAnsi="Cambria Math"/>
                        <w:lang w:val="en-GB"/>
                      </w:rPr>
                      <m:t>k</m:t>
                    </m:r>
                  </m:sub>
                </m:sSub>
                <m:r>
                  <w:rPr>
                    <w:rFonts w:ascii="Cambria Math" w:hAnsi="Cambria Math"/>
                    <w:lang w:val="en-GB"/>
                  </w:rPr>
                  <m:t>=</m:t>
                </m:r>
                <m:d>
                  <m:dPr>
                    <m:begChr m:val="["/>
                    <m:endChr m:val=""/>
                    <m:ctrlPr>
                      <w:rPr>
                        <w:rFonts w:ascii="Cambria Math" w:hAnsi="Cambria Math"/>
                        <w:i/>
                        <w:lang w:val="en-GB"/>
                      </w:rPr>
                    </m:ctrlPr>
                  </m:dPr>
                  <m:e>
                    <m:f>
                      <m:fPr>
                        <m:ctrlPr>
                          <w:rPr>
                            <w:rFonts w:ascii="Cambria Math" w:hAnsi="Cambria Math"/>
                            <w:i/>
                            <w:lang w:val="en-GB"/>
                          </w:rPr>
                        </m:ctrlPr>
                      </m:fPr>
                      <m:num>
                        <m:d>
                          <m:dPr>
                            <m:ctrlPr>
                              <w:rPr>
                                <w:rFonts w:ascii="Cambria Math" w:hAnsi="Cambria Math"/>
                                <w:i/>
                                <w:lang w:val="en-GB"/>
                              </w:rPr>
                            </m:ctrlPr>
                          </m:dPr>
                          <m:e>
                            <m:r>
                              <w:rPr>
                                <w:rFonts w:ascii="Cambria Math" w:hAnsi="Cambria Math"/>
                                <w:lang w:val="en-GB"/>
                              </w:rPr>
                              <m:t>k-1</m:t>
                            </m:r>
                          </m:e>
                        </m:d>
                      </m:num>
                      <m:den>
                        <m:r>
                          <w:rPr>
                            <w:rFonts w:ascii="Cambria Math" w:hAnsi="Cambria Math"/>
                            <w:lang w:val="en-GB"/>
                          </w:rPr>
                          <m:t>K</m:t>
                        </m:r>
                      </m:den>
                    </m:f>
                    <m:r>
                      <w:rPr>
                        <w:rFonts w:ascii="Cambria Math" w:hAnsi="Cambria Math"/>
                        <w:lang w:val="en-GB"/>
                      </w:rPr>
                      <m:t>∙n,</m:t>
                    </m:r>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k</m:t>
                            </m:r>
                          </m:num>
                          <m:den>
                            <m:r>
                              <w:rPr>
                                <w:rFonts w:ascii="Cambria Math" w:hAnsi="Cambria Math"/>
                                <w:lang w:val="en-GB"/>
                              </w:rPr>
                              <m:t>K</m:t>
                            </m:r>
                          </m:den>
                        </m:f>
                        <m:r>
                          <w:rPr>
                            <w:rFonts w:ascii="Cambria Math" w:hAnsi="Cambria Math"/>
                            <w:lang w:val="en-GB"/>
                          </w:rPr>
                          <m:t>∙n</m:t>
                        </m:r>
                      </m:e>
                    </m:d>
                  </m:e>
                </m:d>
              </m:oMath>
            </m:oMathPara>
          </w:p>
        </w:tc>
        <w:tc>
          <w:tcPr>
            <w:tcW w:w="431" w:type="dxa"/>
            <w:vAlign w:val="center"/>
          </w:tcPr>
          <w:p w14:paraId="4F90A1DF" w14:textId="04387246" w:rsidR="001549DD" w:rsidRPr="00647E1F" w:rsidRDefault="001549DD" w:rsidP="001549DD">
            <w:pPr>
              <w:pStyle w:val="MDPI3aequationnumber"/>
              <w:spacing w:line="260" w:lineRule="atLeast"/>
              <w:rPr>
                <w:color w:val="auto"/>
              </w:rPr>
            </w:pPr>
            <w:r w:rsidRPr="00647E1F">
              <w:rPr>
                <w:color w:val="auto"/>
              </w:rPr>
              <w:t>(</w:t>
            </w:r>
            <w:r>
              <w:rPr>
                <w:color w:val="auto"/>
              </w:rPr>
              <w:t>14</w:t>
            </w:r>
            <w:r w:rsidRPr="00647E1F">
              <w:rPr>
                <w:color w:val="auto"/>
              </w:rPr>
              <w:t>)</w:t>
            </w:r>
          </w:p>
        </w:tc>
      </w:tr>
    </w:tbl>
    <w:p w14:paraId="371AFA47" w14:textId="47DCDEEE" w:rsidR="001549DD" w:rsidRPr="001549DD" w:rsidRDefault="001549DD" w:rsidP="001549DD">
      <w:pPr>
        <w:pStyle w:val="MDPI31text"/>
        <w:rPr>
          <w:lang w:val="en-GB"/>
        </w:rPr>
      </w:pPr>
      <w:r w:rsidRPr="001549DD">
        <w:rPr>
          <w:lang w:val="en-GB"/>
        </w:rPr>
        <w:t xml:space="preserve">Where </w:t>
      </w:r>
      <w:r w:rsidRPr="001549DD">
        <w:rPr>
          <w:i/>
          <w:iCs/>
          <w:lang w:val="en-GB"/>
        </w:rPr>
        <w:t>k</w:t>
      </w:r>
      <w:r w:rsidRPr="001549DD">
        <w:rPr>
          <w:lang w:val="en-GB"/>
        </w:rPr>
        <w:t xml:space="preserve"> ranges from 1 to </w:t>
      </w:r>
      <w:r w:rsidR="00DC08B7">
        <w:rPr>
          <w:lang w:val="en-GB"/>
        </w:rPr>
        <w:t>K</w:t>
      </w:r>
      <w:r w:rsidRPr="001549DD">
        <w:rPr>
          <w:lang w:val="en-GB"/>
        </w:rPr>
        <w:t xml:space="preserve"> (for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0.02</m:t>
            </m:r>
          </m:sub>
        </m:sSub>
      </m:oMath>
      <w:r w:rsidRPr="001549DD">
        <w:rPr>
          <w:lang w:val="en-GB"/>
        </w:rPr>
        <w:t xml:space="preserve"> to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0.95</m:t>
            </m:r>
          </m:sub>
        </m:sSub>
      </m:oMath>
      <w:r w:rsidRPr="001549DD">
        <w:rPr>
          <w:lang w:val="en-GB"/>
        </w:rPr>
        <w:t xml:space="preserve">). </w:t>
      </w:r>
    </w:p>
    <w:p w14:paraId="2100467E" w14:textId="7D6F67C6" w:rsidR="001549DD" w:rsidRDefault="001549DD" w:rsidP="001549DD">
      <w:pPr>
        <w:pStyle w:val="MDPI31text"/>
        <w:rPr>
          <w:lang w:val="en-GB"/>
        </w:rPr>
      </w:pPr>
      <w:r w:rsidRPr="001549DD">
        <w:rPr>
          <w:lang w:val="en-GB"/>
        </w:rPr>
        <w:t xml:space="preserve">The quantile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k</m:t>
            </m:r>
          </m:sub>
        </m:sSub>
        <m:r>
          <w:rPr>
            <w:rFonts w:ascii="Cambria Math" w:hAnsi="Cambria Math"/>
            <w:lang w:val="en-GB"/>
          </w:rPr>
          <m:t xml:space="preserve"> </m:t>
        </m:r>
      </m:oMath>
      <w:r w:rsidRPr="001549DD">
        <w:rPr>
          <w:rFonts w:eastAsiaTheme="minorEastAsia"/>
          <w:lang w:val="en-GB"/>
        </w:rPr>
        <w:t xml:space="preserve">is the bid in DAM, </w:t>
      </w:r>
      <m:oMath>
        <m:sSubSup>
          <m:sSubSupPr>
            <m:ctrlPr>
              <w:rPr>
                <w:rFonts w:ascii="Cambria Math" w:eastAsiaTheme="minorEastAsia" w:hAnsi="Cambria Math"/>
                <w:i/>
                <w:lang w:val="en-GB"/>
              </w:rPr>
            </m:ctrlPr>
          </m:sSubSupPr>
          <m:e>
            <m:r>
              <w:rPr>
                <w:rFonts w:ascii="Cambria Math" w:eastAsiaTheme="minorEastAsia" w:hAnsi="Cambria Math"/>
                <w:lang w:val="en-GB"/>
              </w:rPr>
              <m:t>P</m:t>
            </m:r>
          </m:e>
          <m:sub>
            <m:r>
              <w:rPr>
                <w:rFonts w:ascii="Cambria Math" w:eastAsiaTheme="minorEastAsia" w:hAnsi="Cambria Math"/>
                <w:lang w:val="en-GB"/>
              </w:rPr>
              <m:t>t</m:t>
            </m:r>
          </m:sub>
          <m:sup>
            <m:r>
              <w:rPr>
                <w:rFonts w:ascii="Cambria Math" w:eastAsiaTheme="minorEastAsia" w:hAnsi="Cambria Math"/>
                <w:lang w:val="en-GB"/>
              </w:rPr>
              <m:t>DAM</m:t>
            </m:r>
          </m:sup>
        </m:sSubSup>
        <m:r>
          <w:rPr>
            <w:rFonts w:ascii="Cambria Math" w:eastAsiaTheme="minorEastAsia" w:hAnsi="Cambria Math"/>
            <w:lang w:val="en-GB"/>
          </w:rPr>
          <m:t xml:space="preserve">, </m:t>
        </m:r>
      </m:oMath>
      <w:r w:rsidRPr="001549DD">
        <w:rPr>
          <w:rFonts w:eastAsiaTheme="minorEastAsia"/>
          <w:lang w:val="en-GB"/>
        </w:rPr>
        <w:t>if</w:t>
      </w:r>
      <w:r w:rsidRPr="001549DD">
        <w:rPr>
          <w:lang w:val="en-GB"/>
        </w:rPr>
        <w:t xml:space="preserve"> the DAM price for that hour falls within the price interval as described in:</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966A38" w:rsidRPr="00647E1F" w14:paraId="28025F54" w14:textId="77777777" w:rsidTr="00966A38">
        <w:tc>
          <w:tcPr>
            <w:tcW w:w="7428" w:type="dxa"/>
          </w:tcPr>
          <w:p w14:paraId="27570AD2" w14:textId="6C39FAC4" w:rsidR="00966A38" w:rsidRPr="00647E1F" w:rsidRDefault="00000000" w:rsidP="00DC08B7">
            <w:pPr>
              <w:pStyle w:val="MDPI39equation"/>
              <w:ind w:left="0"/>
              <w:jc w:val="both"/>
              <w:rPr>
                <w:color w:val="auto"/>
              </w:rPr>
            </w:pPr>
            <m:oMathPara>
              <m:oMath>
                <m:f>
                  <m:fPr>
                    <m:ctrlPr>
                      <w:rPr>
                        <w:rFonts w:ascii="Cambria Math" w:hAnsi="Cambria Math"/>
                        <w:i/>
                        <w:lang w:val="en-GB"/>
                      </w:rPr>
                    </m:ctrlPr>
                  </m:fPr>
                  <m:num>
                    <m:d>
                      <m:dPr>
                        <m:ctrlPr>
                          <w:rPr>
                            <w:rFonts w:ascii="Cambria Math" w:hAnsi="Cambria Math"/>
                            <w:i/>
                            <w:lang w:val="en-GB"/>
                          </w:rPr>
                        </m:ctrlPr>
                      </m:dPr>
                      <m:e>
                        <m:r>
                          <w:rPr>
                            <w:rFonts w:ascii="Cambria Math" w:hAnsi="Cambria Math"/>
                            <w:lang w:val="en-GB"/>
                          </w:rPr>
                          <m:t>k-1</m:t>
                        </m:r>
                      </m:e>
                    </m:d>
                  </m:num>
                  <m:den>
                    <m:r>
                      <w:rPr>
                        <w:rFonts w:ascii="Cambria Math" w:hAnsi="Cambria Math"/>
                        <w:lang w:val="en-GB"/>
                      </w:rPr>
                      <m:t>K</m:t>
                    </m:r>
                  </m:den>
                </m:f>
                <m:r>
                  <w:rPr>
                    <w:rFonts w:ascii="Cambria Math" w:hAnsi="Cambria Math"/>
                    <w:lang w:val="en-GB"/>
                  </w:rPr>
                  <m:t>∙n≤</m:t>
                </m:r>
                <m:sSubSup>
                  <m:sSubSupPr>
                    <m:ctrlPr>
                      <w:rPr>
                        <w:rFonts w:ascii="Cambria Math" w:hAnsi="Cambria Math"/>
                        <w:i/>
                        <w:lang w:val="en-GB"/>
                      </w:rPr>
                    </m:ctrlPr>
                  </m:sSubSupPr>
                  <m:e>
                    <m:r>
                      <w:rPr>
                        <w:rFonts w:ascii="Cambria Math" w:hAnsi="Cambria Math"/>
                        <w:lang w:val="en-GB"/>
                      </w:rPr>
                      <m:t>C</m:t>
                    </m:r>
                  </m:e>
                  <m:sub>
                    <m:r>
                      <w:rPr>
                        <w:rFonts w:ascii="Cambria Math" w:hAnsi="Cambria Math"/>
                        <w:lang w:val="en-GB"/>
                      </w:rPr>
                      <m:t>t</m:t>
                    </m:r>
                  </m:sub>
                  <m:sup>
                    <m:r>
                      <w:rPr>
                        <w:rFonts w:ascii="Cambria Math" w:hAnsi="Cambria Math"/>
                        <w:lang w:val="en-GB"/>
                      </w:rPr>
                      <m:t>DAM</m:t>
                    </m:r>
                  </m:sup>
                </m:sSubSup>
                <m:r>
                  <w:rPr>
                    <w:rFonts w:ascii="Cambria Math" w:hAnsi="Cambria Math"/>
                    <w:lang w:val="en-GB"/>
                  </w:rPr>
                  <m:t>&lt;</m:t>
                </m:r>
                <m:f>
                  <m:fPr>
                    <m:ctrlPr>
                      <w:rPr>
                        <w:rFonts w:ascii="Cambria Math" w:hAnsi="Cambria Math"/>
                        <w:i/>
                        <w:lang w:val="en-GB"/>
                      </w:rPr>
                    </m:ctrlPr>
                  </m:fPr>
                  <m:num>
                    <m:r>
                      <w:rPr>
                        <w:rFonts w:ascii="Cambria Math" w:hAnsi="Cambria Math"/>
                        <w:lang w:val="en-GB"/>
                      </w:rPr>
                      <m:t>k</m:t>
                    </m:r>
                  </m:num>
                  <m:den>
                    <m:r>
                      <w:rPr>
                        <w:rFonts w:ascii="Cambria Math" w:hAnsi="Cambria Math"/>
                        <w:lang w:val="en-GB"/>
                      </w:rPr>
                      <m:t>K</m:t>
                    </m:r>
                  </m:den>
                </m:f>
                <m:r>
                  <w:rPr>
                    <w:rFonts w:ascii="Cambria Math" w:hAnsi="Cambria Math"/>
                    <w:lang w:val="en-GB"/>
                  </w:rPr>
                  <m:t>∙n</m:t>
                </m:r>
              </m:oMath>
            </m:oMathPara>
          </w:p>
        </w:tc>
        <w:tc>
          <w:tcPr>
            <w:tcW w:w="431" w:type="dxa"/>
            <w:vAlign w:val="center"/>
          </w:tcPr>
          <w:p w14:paraId="5146E66A" w14:textId="21969788" w:rsidR="00966A38" w:rsidRPr="00647E1F" w:rsidRDefault="00966A38" w:rsidP="00966A38">
            <w:pPr>
              <w:pStyle w:val="MDPI3aequationnumber"/>
              <w:spacing w:line="260" w:lineRule="atLeast"/>
              <w:rPr>
                <w:color w:val="auto"/>
              </w:rPr>
            </w:pPr>
            <w:r w:rsidRPr="00647E1F">
              <w:rPr>
                <w:color w:val="auto"/>
              </w:rPr>
              <w:t>(</w:t>
            </w:r>
            <w:r>
              <w:rPr>
                <w:color w:val="auto"/>
              </w:rPr>
              <w:t>15</w:t>
            </w:r>
            <w:r w:rsidRPr="00647E1F">
              <w:rPr>
                <w:color w:val="auto"/>
              </w:rPr>
              <w:t>)</w:t>
            </w:r>
          </w:p>
        </w:tc>
      </w:tr>
    </w:tbl>
    <w:p w14:paraId="002D366A" w14:textId="07AC1FCC" w:rsidR="001549DD" w:rsidRPr="001549DD" w:rsidRDefault="00966A38" w:rsidP="001549DD">
      <w:pPr>
        <w:pStyle w:val="MDPI31text"/>
        <w:rPr>
          <w:lang w:val="en-GB"/>
        </w:rPr>
      </w:pPr>
      <w:r>
        <w:rPr>
          <w:lang w:val="en-GB"/>
        </w:rPr>
        <w:t>This dynamic</w:t>
      </w:r>
      <w:r w:rsidR="001549DD" w:rsidRPr="001549DD">
        <w:rPr>
          <w:lang w:val="en-GB"/>
        </w:rPr>
        <w:t xml:space="preserve"> price-responsive strategy ensures effective market participation while aligning bids with expected remuneration.</w:t>
      </w:r>
    </w:p>
    <w:p w14:paraId="6680D1C8" w14:textId="50BCC94C" w:rsidR="001549DD" w:rsidRPr="001549DD" w:rsidRDefault="001549DD" w:rsidP="001549DD">
      <w:pPr>
        <w:pStyle w:val="MDPI31text"/>
        <w:rPr>
          <w:lang w:val="en-GB"/>
        </w:rPr>
      </w:pPr>
      <w:r w:rsidRPr="001549DD">
        <w:rPr>
          <w:lang w:val="en-GB"/>
        </w:rPr>
        <w:t xml:space="preserve">Deviations from the initial DAM bid are determined by updated forecasts, allowing producers to adjust their bids accordingly. Participation in the </w:t>
      </w:r>
      <w:r w:rsidR="005C0F64">
        <w:rPr>
          <w:lang w:val="en-GB"/>
        </w:rPr>
        <w:t>SR</w:t>
      </w:r>
      <w:r w:rsidRPr="001549DD">
        <w:rPr>
          <w:lang w:val="en-GB"/>
        </w:rPr>
        <w:t xml:space="preserve"> market is prioritized, as it offers higher remuneration potential from both the capacity and energy markets.</w:t>
      </w:r>
    </w:p>
    <w:p w14:paraId="76FCC363" w14:textId="77777777" w:rsidR="001549DD" w:rsidRPr="001549DD" w:rsidRDefault="001549DD" w:rsidP="001549DD">
      <w:pPr>
        <w:pStyle w:val="MDPI31text"/>
        <w:rPr>
          <w:lang w:val="en-GB"/>
        </w:rPr>
      </w:pPr>
      <w:r w:rsidRPr="001549DD">
        <w:rPr>
          <w:lang w:val="en-GB"/>
        </w:rPr>
        <w:t>In addition to the previously mentioned constraints, the following rules apply in the balancing capacity market:</w:t>
      </w:r>
    </w:p>
    <w:p w14:paraId="59E0B615" w14:textId="1E236922" w:rsidR="001549DD" w:rsidRDefault="001549DD" w:rsidP="00862F10">
      <w:pPr>
        <w:pStyle w:val="MDPI31text"/>
        <w:numPr>
          <w:ilvl w:val="0"/>
          <w:numId w:val="13"/>
        </w:numPr>
        <w:rPr>
          <w:lang w:val="en-GB"/>
        </w:rPr>
      </w:pPr>
      <w:r w:rsidRPr="001549DD">
        <w:rPr>
          <w:lang w:val="en-GB"/>
        </w:rPr>
        <w:t>The bid for upward balancing capacity cannot exceed the available capacity or the needs of the TSO.</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966A38" w:rsidRPr="00647E1F" w14:paraId="385FC1C3" w14:textId="77777777" w:rsidTr="00966A38">
        <w:tc>
          <w:tcPr>
            <w:tcW w:w="7428" w:type="dxa"/>
          </w:tcPr>
          <w:p w14:paraId="312934B5" w14:textId="5375F9AD" w:rsidR="00966A38" w:rsidRPr="00647E1F" w:rsidRDefault="00000000" w:rsidP="00966A38">
            <w:pPr>
              <w:pStyle w:val="MDPI31text"/>
              <w:ind w:left="0" w:firstLine="0"/>
              <w:rPr>
                <w:color w:val="auto"/>
              </w:rPr>
            </w:pPr>
            <m:oMathPara>
              <m:oMath>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t</m:t>
                    </m:r>
                  </m:sub>
                  <m:sup>
                    <m:r>
                      <w:rPr>
                        <w:rFonts w:ascii="Cambria Math" w:hAnsi="Cambria Math"/>
                        <w:lang w:val="en-GB"/>
                      </w:rPr>
                      <m:t>SR+</m:t>
                    </m:r>
                  </m:sup>
                </m:sSubSup>
                <m:r>
                  <w:rPr>
                    <w:rFonts w:ascii="Cambria Math" w:hAnsi="Cambria Math"/>
                    <w:lang w:val="en-GB"/>
                  </w:rPr>
                  <m:t>≤min</m:t>
                </m:r>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t</m:t>
                        </m:r>
                      </m:sub>
                      <m:sup>
                        <m:r>
                          <w:rPr>
                            <w:rFonts w:ascii="Cambria Math" w:hAnsi="Cambria Math"/>
                            <w:lang w:val="en-GB"/>
                          </w:rPr>
                          <m:t>dev</m:t>
                        </m:r>
                      </m:sup>
                    </m:sSubSup>
                    <m:r>
                      <w:rPr>
                        <w:rFonts w:ascii="Cambria Math" w:eastAsiaTheme="minorEastAsia" w:hAnsi="Cambria Math"/>
                        <w:lang w:val="en-GB"/>
                      </w:rPr>
                      <m:t>,</m:t>
                    </m:r>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t</m:t>
                        </m:r>
                      </m:sub>
                      <m:sup>
                        <m:sSubSup>
                          <m:sSubSupPr>
                            <m:ctrlPr>
                              <w:rPr>
                                <w:rFonts w:ascii="Cambria Math" w:hAnsi="Cambria Math"/>
                                <w:i/>
                                <w:lang w:val="en-GB"/>
                              </w:rPr>
                            </m:ctrlPr>
                          </m:sSubSupPr>
                          <m:e>
                            <m:r>
                              <w:rPr>
                                <w:rFonts w:ascii="Cambria Math" w:hAnsi="Cambria Math"/>
                                <w:lang w:val="en-GB"/>
                              </w:rPr>
                              <m:t>SR</m:t>
                            </m:r>
                          </m:e>
                          <m:sub>
                            <m:r>
                              <w:rPr>
                                <w:rFonts w:ascii="Cambria Math" w:hAnsi="Cambria Math"/>
                                <w:lang w:val="en-GB"/>
                              </w:rPr>
                              <m:t>req</m:t>
                            </m:r>
                          </m:sub>
                          <m:sup>
                            <m:r>
                              <w:rPr>
                                <w:rFonts w:ascii="Cambria Math" w:hAnsi="Cambria Math"/>
                                <w:lang w:val="en-GB"/>
                              </w:rPr>
                              <m:t>up</m:t>
                            </m:r>
                          </m:sup>
                        </m:sSubSup>
                      </m:sup>
                    </m:sSubSup>
                  </m:e>
                </m:d>
              </m:oMath>
            </m:oMathPara>
          </w:p>
        </w:tc>
        <w:tc>
          <w:tcPr>
            <w:tcW w:w="431" w:type="dxa"/>
            <w:vAlign w:val="center"/>
          </w:tcPr>
          <w:p w14:paraId="14D7DDAC" w14:textId="7993E8C5" w:rsidR="00966A38" w:rsidRPr="00647E1F" w:rsidRDefault="00966A38" w:rsidP="00966A38">
            <w:pPr>
              <w:pStyle w:val="MDPI3aequationnumber"/>
              <w:spacing w:line="260" w:lineRule="atLeast"/>
              <w:rPr>
                <w:color w:val="auto"/>
              </w:rPr>
            </w:pPr>
            <w:r w:rsidRPr="00647E1F">
              <w:rPr>
                <w:color w:val="auto"/>
              </w:rPr>
              <w:t>(</w:t>
            </w:r>
            <w:r>
              <w:rPr>
                <w:color w:val="auto"/>
              </w:rPr>
              <w:t>16</w:t>
            </w:r>
            <w:r w:rsidRPr="00647E1F">
              <w:rPr>
                <w:color w:val="auto"/>
              </w:rPr>
              <w:t>)</w:t>
            </w:r>
          </w:p>
        </w:tc>
      </w:tr>
    </w:tbl>
    <w:p w14:paraId="4251515A" w14:textId="62B69F8F" w:rsidR="001549DD" w:rsidRPr="001549DD" w:rsidRDefault="001549DD" w:rsidP="001549DD">
      <w:pPr>
        <w:pStyle w:val="MDPI31text"/>
        <w:rPr>
          <w:rFonts w:eastAsiaTheme="minorEastAsia"/>
          <w:lang w:val="en-GB"/>
        </w:rPr>
      </w:pPr>
      <w:r w:rsidRPr="001549DD">
        <w:rPr>
          <w:rFonts w:eastAsiaTheme="minorEastAsia"/>
          <w:lang w:val="en-GB"/>
        </w:rPr>
        <w:t xml:space="preserve">Where </w:t>
      </w:r>
      <m:oMath>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t</m:t>
            </m:r>
          </m:sub>
          <m:sup>
            <m:r>
              <w:rPr>
                <w:rFonts w:ascii="Cambria Math" w:hAnsi="Cambria Math"/>
                <w:lang w:val="en-GB"/>
              </w:rPr>
              <m:t>dev</m:t>
            </m:r>
          </m:sup>
        </m:sSubSup>
      </m:oMath>
      <w:r w:rsidRPr="001549DD">
        <w:rPr>
          <w:rFonts w:eastAsiaTheme="minorEastAsia"/>
          <w:lang w:val="en-GB"/>
        </w:rPr>
        <w:t xml:space="preserve">represents the positive deviation, considering the updated </w:t>
      </w:r>
      <w:r w:rsidR="00D41151">
        <w:rPr>
          <w:rFonts w:eastAsiaTheme="minorEastAsia"/>
          <w:lang w:val="en-GB"/>
        </w:rPr>
        <w:t xml:space="preserve">vRES </w:t>
      </w:r>
      <w:r w:rsidRPr="001549DD">
        <w:rPr>
          <w:rFonts w:eastAsiaTheme="minorEastAsia"/>
          <w:lang w:val="en-GB"/>
        </w:rPr>
        <w:t xml:space="preserve">power forecast and the position of the </w:t>
      </w:r>
      <w:r w:rsidR="00D41151">
        <w:rPr>
          <w:rFonts w:eastAsiaTheme="minorEastAsia"/>
          <w:lang w:val="en-GB"/>
        </w:rPr>
        <w:t>vRES</w:t>
      </w:r>
      <w:r w:rsidRPr="001549DD">
        <w:rPr>
          <w:rFonts w:eastAsiaTheme="minorEastAsia"/>
          <w:lang w:val="en-GB"/>
        </w:rPr>
        <w:t xml:space="preserve"> at the time of market.</w:t>
      </w:r>
    </w:p>
    <w:p w14:paraId="44AAB91F" w14:textId="76A160CF" w:rsidR="001549DD" w:rsidRDefault="001549DD" w:rsidP="00862F10">
      <w:pPr>
        <w:pStyle w:val="MDPI31text"/>
        <w:numPr>
          <w:ilvl w:val="0"/>
          <w:numId w:val="13"/>
        </w:numPr>
        <w:rPr>
          <w:lang w:val="en-GB"/>
        </w:rPr>
      </w:pPr>
      <w:r w:rsidRPr="001549DD">
        <w:rPr>
          <w:lang w:val="en-GB"/>
        </w:rPr>
        <w:t>The bid for downward balancing capacity cannot exceed the scheduled injection or the needs of the TSO.</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966A38" w:rsidRPr="00647E1F" w14:paraId="6F2A15A0" w14:textId="77777777" w:rsidTr="00966A38">
        <w:tc>
          <w:tcPr>
            <w:tcW w:w="7428" w:type="dxa"/>
          </w:tcPr>
          <w:p w14:paraId="6FB6EFF5" w14:textId="6D227D6C" w:rsidR="00966A38" w:rsidRPr="00647E1F" w:rsidRDefault="00000000" w:rsidP="00966A38">
            <w:pPr>
              <w:pStyle w:val="MDPI31text"/>
              <w:ind w:left="0" w:firstLine="0"/>
              <w:rPr>
                <w:color w:val="auto"/>
              </w:rPr>
            </w:pPr>
            <m:oMathPara>
              <m:oMath>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t</m:t>
                    </m:r>
                  </m:sub>
                  <m:sup>
                    <m:r>
                      <w:rPr>
                        <w:rFonts w:ascii="Cambria Math" w:hAnsi="Cambria Math"/>
                        <w:lang w:val="en-GB"/>
                      </w:rPr>
                      <m:t>SR-</m:t>
                    </m:r>
                  </m:sup>
                </m:sSubSup>
                <m:r>
                  <w:rPr>
                    <w:rFonts w:ascii="Cambria Math" w:hAnsi="Cambria Math"/>
                    <w:lang w:val="en-GB"/>
                  </w:rPr>
                  <m:t>≤min</m:t>
                </m:r>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t</m:t>
                        </m:r>
                      </m:sub>
                      <m:sup>
                        <m:r>
                          <w:rPr>
                            <w:rFonts w:ascii="Cambria Math" w:hAnsi="Cambria Math"/>
                            <w:lang w:val="en-GB"/>
                          </w:rPr>
                          <m:t>position</m:t>
                        </m:r>
                      </m:sup>
                    </m:sSubSup>
                    <m:r>
                      <w:rPr>
                        <w:rFonts w:ascii="Cambria Math" w:eastAsiaTheme="minorEastAsia" w:hAnsi="Cambria Math"/>
                        <w:lang w:val="en-GB"/>
                      </w:rPr>
                      <m:t>,</m:t>
                    </m:r>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t</m:t>
                        </m:r>
                      </m:sub>
                      <m:sup>
                        <m:sSubSup>
                          <m:sSubSupPr>
                            <m:ctrlPr>
                              <w:rPr>
                                <w:rFonts w:ascii="Cambria Math" w:hAnsi="Cambria Math"/>
                                <w:i/>
                                <w:lang w:val="en-GB"/>
                              </w:rPr>
                            </m:ctrlPr>
                          </m:sSubSupPr>
                          <m:e>
                            <m:r>
                              <w:rPr>
                                <w:rFonts w:ascii="Cambria Math" w:hAnsi="Cambria Math"/>
                                <w:lang w:val="en-GB"/>
                              </w:rPr>
                              <m:t>SR</m:t>
                            </m:r>
                          </m:e>
                          <m:sub>
                            <m:r>
                              <w:rPr>
                                <w:rFonts w:ascii="Cambria Math" w:hAnsi="Cambria Math"/>
                                <w:lang w:val="en-GB"/>
                              </w:rPr>
                              <m:t>req</m:t>
                            </m:r>
                          </m:sub>
                          <m:sup>
                            <m:r>
                              <w:rPr>
                                <w:rFonts w:ascii="Cambria Math" w:hAnsi="Cambria Math"/>
                                <w:lang w:val="en-GB"/>
                              </w:rPr>
                              <m:t>down</m:t>
                            </m:r>
                          </m:sup>
                        </m:sSubSup>
                      </m:sup>
                    </m:sSubSup>
                  </m:e>
                </m:d>
              </m:oMath>
            </m:oMathPara>
          </w:p>
        </w:tc>
        <w:tc>
          <w:tcPr>
            <w:tcW w:w="431" w:type="dxa"/>
            <w:vAlign w:val="center"/>
          </w:tcPr>
          <w:p w14:paraId="58206E08" w14:textId="318E008E" w:rsidR="00966A38" w:rsidRPr="00647E1F" w:rsidRDefault="00966A38" w:rsidP="00966A38">
            <w:pPr>
              <w:pStyle w:val="MDPI3aequationnumber"/>
              <w:spacing w:line="260" w:lineRule="atLeast"/>
              <w:rPr>
                <w:color w:val="auto"/>
              </w:rPr>
            </w:pPr>
            <w:r w:rsidRPr="00647E1F">
              <w:rPr>
                <w:color w:val="auto"/>
              </w:rPr>
              <w:t>(</w:t>
            </w:r>
            <w:r w:rsidR="00A72CF9">
              <w:rPr>
                <w:color w:val="auto"/>
              </w:rPr>
              <w:t>17</w:t>
            </w:r>
            <w:r w:rsidRPr="00647E1F">
              <w:rPr>
                <w:color w:val="auto"/>
              </w:rPr>
              <w:t>)</w:t>
            </w:r>
          </w:p>
        </w:tc>
      </w:tr>
    </w:tbl>
    <w:p w14:paraId="491422EA" w14:textId="0EFF373A" w:rsidR="00966A38" w:rsidRPr="00966A38" w:rsidRDefault="00966A38" w:rsidP="00862F10">
      <w:pPr>
        <w:pStyle w:val="MDPI31text"/>
        <w:numPr>
          <w:ilvl w:val="2"/>
          <w:numId w:val="7"/>
        </w:numPr>
        <w:ind w:firstLine="1186"/>
        <w:rPr>
          <w:lang w:val="en-GB"/>
        </w:rPr>
      </w:pPr>
      <w:r w:rsidRPr="00966A38">
        <w:rPr>
          <w:lang w:val="en-GB"/>
        </w:rPr>
        <w:t>S</w:t>
      </w:r>
      <w:r w:rsidR="00A72CF9">
        <w:rPr>
          <w:lang w:val="en-GB"/>
        </w:rPr>
        <w:t>trategies</w:t>
      </w:r>
      <w:r w:rsidRPr="00966A38">
        <w:rPr>
          <w:lang w:val="en-GB"/>
        </w:rPr>
        <w:t xml:space="preserve"> for participation in aFRR market</w:t>
      </w:r>
    </w:p>
    <w:p w14:paraId="248C5003" w14:textId="3F94E96F" w:rsidR="00966A38" w:rsidRPr="00966A38" w:rsidRDefault="00966A38" w:rsidP="00A964D0">
      <w:pPr>
        <w:pStyle w:val="MDPI31text"/>
        <w:rPr>
          <w:lang w:val="en-GB"/>
        </w:rPr>
      </w:pPr>
      <w:r w:rsidRPr="00966A38">
        <w:rPr>
          <w:lang w:val="en-GB"/>
        </w:rPr>
        <w:t xml:space="preserve">Seven </w:t>
      </w:r>
      <w:r w:rsidR="00A72CF9">
        <w:rPr>
          <w:lang w:val="en-GB"/>
        </w:rPr>
        <w:t>strategies</w:t>
      </w:r>
      <w:r w:rsidRPr="00966A38">
        <w:rPr>
          <w:lang w:val="en-GB"/>
        </w:rPr>
        <w:t xml:space="preserve"> were simulated, each based on different market designs and varying levels of participation in the SR.</w:t>
      </w:r>
    </w:p>
    <w:p w14:paraId="60AD71F6" w14:textId="6BBA2762" w:rsidR="00966A38" w:rsidRPr="00966A38" w:rsidRDefault="00A72CF9" w:rsidP="00A964D0">
      <w:pPr>
        <w:pStyle w:val="MDPI31text"/>
        <w:rPr>
          <w:lang w:val="en-GB"/>
        </w:rPr>
      </w:pPr>
      <w:r>
        <w:rPr>
          <w:lang w:val="en-GB"/>
        </w:rPr>
        <w:lastRenderedPageBreak/>
        <w:t xml:space="preserve">Strategy </w:t>
      </w:r>
      <w:r w:rsidR="00966A38" w:rsidRPr="00966A38">
        <w:rPr>
          <w:lang w:val="en-GB"/>
        </w:rPr>
        <w:t>1 (S1)</w:t>
      </w:r>
      <w:r w:rsidR="00966A38">
        <w:rPr>
          <w:lang w:val="en-GB"/>
        </w:rPr>
        <w:t xml:space="preserve">: it considers the </w:t>
      </w:r>
      <w:r w:rsidR="00B320ED">
        <w:rPr>
          <w:lang w:val="en-GB"/>
        </w:rPr>
        <w:t>past</w:t>
      </w:r>
      <w:r w:rsidR="00966A38" w:rsidRPr="00966A38">
        <w:rPr>
          <w:lang w:val="en-GB"/>
        </w:rPr>
        <w:t xml:space="preserve"> </w:t>
      </w:r>
      <w:r w:rsidR="00966A38">
        <w:rPr>
          <w:lang w:val="en-GB"/>
        </w:rPr>
        <w:t>m</w:t>
      </w:r>
      <w:r w:rsidR="00966A38" w:rsidRPr="00966A38">
        <w:rPr>
          <w:lang w:val="en-GB"/>
        </w:rPr>
        <w:t xml:space="preserve">arket </w:t>
      </w:r>
      <w:r w:rsidR="00966A38">
        <w:rPr>
          <w:lang w:val="en-GB"/>
        </w:rPr>
        <w:t>d</w:t>
      </w:r>
      <w:r w:rsidR="00966A38" w:rsidRPr="00966A38">
        <w:rPr>
          <w:lang w:val="en-GB"/>
        </w:rPr>
        <w:t>esign</w:t>
      </w:r>
      <w:r w:rsidR="00966A38">
        <w:rPr>
          <w:lang w:val="en-GB"/>
        </w:rPr>
        <w:t xml:space="preserve"> where</w:t>
      </w:r>
      <w:r w:rsidR="00966A38" w:rsidRPr="00966A38">
        <w:rPr>
          <w:lang w:val="en-GB"/>
        </w:rPr>
        <w:t xml:space="preserve"> producers adjust their position in the </w:t>
      </w:r>
      <w:r w:rsidR="005C0F64">
        <w:rPr>
          <w:lang w:val="en-GB"/>
        </w:rPr>
        <w:t>auction-based intraday (</w:t>
      </w:r>
      <w:r w:rsidR="00966A38" w:rsidRPr="00966A38">
        <w:rPr>
          <w:lang w:val="en-GB"/>
        </w:rPr>
        <w:t>IDA</w:t>
      </w:r>
      <w:r w:rsidR="005C0F64">
        <w:rPr>
          <w:lang w:val="en-GB"/>
        </w:rPr>
        <w:t>)</w:t>
      </w:r>
      <w:r w:rsidR="00966A38" w:rsidRPr="00966A38">
        <w:rPr>
          <w:lang w:val="en-GB"/>
        </w:rPr>
        <w:t xml:space="preserve"> and bid in the SR market only when the deviation between the forecast (made </w:t>
      </w:r>
      <w:r w:rsidR="00B320ED">
        <w:rPr>
          <w:lang w:val="en-GB"/>
        </w:rPr>
        <w:t>between 4 and 9</w:t>
      </w:r>
      <w:r w:rsidR="00966A38" w:rsidRPr="00966A38">
        <w:rPr>
          <w:lang w:val="en-GB"/>
        </w:rPr>
        <w:t xml:space="preserve"> hours before operation) and the DAM bid is positive.</w:t>
      </w:r>
    </w:p>
    <w:p w14:paraId="059C8C3A" w14:textId="385B165E" w:rsidR="00966A38" w:rsidRDefault="00A72CF9" w:rsidP="00A964D0">
      <w:pPr>
        <w:pStyle w:val="MDPI31text"/>
        <w:rPr>
          <w:lang w:val="en-GB"/>
        </w:rPr>
      </w:pPr>
      <w:r>
        <w:rPr>
          <w:lang w:val="en-GB"/>
        </w:rPr>
        <w:t>Strategy</w:t>
      </w:r>
      <w:r w:rsidR="00966A38" w:rsidRPr="00966A38">
        <w:rPr>
          <w:lang w:val="en-GB"/>
        </w:rPr>
        <w:t xml:space="preserve"> 2 (S2)</w:t>
      </w:r>
      <w:r w:rsidR="00966A38">
        <w:rPr>
          <w:lang w:val="en-GB"/>
        </w:rPr>
        <w:t>: it considers the</w:t>
      </w:r>
      <w:r w:rsidR="00966A38" w:rsidRPr="00966A38">
        <w:rPr>
          <w:lang w:val="en-GB"/>
        </w:rPr>
        <w:t xml:space="preserve"> </w:t>
      </w:r>
      <w:r w:rsidR="00966A38">
        <w:rPr>
          <w:lang w:val="en-GB"/>
        </w:rPr>
        <w:t>c</w:t>
      </w:r>
      <w:r w:rsidR="00966A38" w:rsidRPr="00966A38">
        <w:rPr>
          <w:lang w:val="en-GB"/>
        </w:rPr>
        <w:t xml:space="preserve">urrent </w:t>
      </w:r>
      <w:r>
        <w:rPr>
          <w:lang w:val="en-GB"/>
        </w:rPr>
        <w:t>m</w:t>
      </w:r>
      <w:r w:rsidR="00966A38" w:rsidRPr="00966A38">
        <w:rPr>
          <w:lang w:val="en-GB"/>
        </w:rPr>
        <w:t xml:space="preserve">arket </w:t>
      </w:r>
      <w:r w:rsidR="00966A38">
        <w:rPr>
          <w:lang w:val="en-GB"/>
        </w:rPr>
        <w:t>d</w:t>
      </w:r>
      <w:r w:rsidR="00966A38" w:rsidRPr="00966A38">
        <w:rPr>
          <w:lang w:val="en-GB"/>
        </w:rPr>
        <w:t>esign</w:t>
      </w:r>
      <w:r w:rsidR="00966A38">
        <w:rPr>
          <w:lang w:val="en-GB"/>
        </w:rPr>
        <w:t xml:space="preserve"> featuring</w:t>
      </w:r>
      <w:r w:rsidR="00966A38" w:rsidRPr="00966A38">
        <w:rPr>
          <w:lang w:val="en-GB"/>
        </w:rPr>
        <w:t xml:space="preserve"> a parallel SR capacity market alongside the IDA. The IDC market is used to make necessary adjustments before the IS. Participation in SR is limited to positive deviations in the IDA.</w:t>
      </w:r>
    </w:p>
    <w:p w14:paraId="7589CFDE" w14:textId="60993973" w:rsidR="00966A38" w:rsidRDefault="00A72CF9" w:rsidP="00A964D0">
      <w:pPr>
        <w:pStyle w:val="MDPI31text"/>
        <w:rPr>
          <w:lang w:val="en-GB"/>
        </w:rPr>
      </w:pPr>
      <w:r>
        <w:rPr>
          <w:lang w:val="en-GB"/>
        </w:rPr>
        <w:t>Strategy</w:t>
      </w:r>
      <w:r w:rsidR="00966A38" w:rsidRPr="00966A38">
        <w:rPr>
          <w:lang w:val="en-GB"/>
        </w:rPr>
        <w:t xml:space="preserve"> 3 (S3):</w:t>
      </w:r>
      <w:r w:rsidR="00966A38">
        <w:rPr>
          <w:lang w:val="en-GB"/>
        </w:rPr>
        <w:t xml:space="preserve"> </w:t>
      </w:r>
      <w:r w:rsidR="00966A38" w:rsidRPr="00966A38">
        <w:rPr>
          <w:lang w:val="en-GB"/>
        </w:rPr>
        <w:t xml:space="preserve">Like S2, this </w:t>
      </w:r>
      <w:r>
        <w:rPr>
          <w:lang w:val="en-GB"/>
        </w:rPr>
        <w:t>strategy</w:t>
      </w:r>
      <w:r w:rsidR="00966A38" w:rsidRPr="00966A38">
        <w:rPr>
          <w:lang w:val="en-GB"/>
        </w:rPr>
        <w:t xml:space="preserve"> also follows the current market design, but with the aFRR capacity market operating in parallel with the IDC. Participation in SR is restricted to positive deviation</w:t>
      </w:r>
      <w:r w:rsidR="00A100EF">
        <w:rPr>
          <w:lang w:val="en-GB"/>
        </w:rPr>
        <w:t>s</w:t>
      </w:r>
      <w:r w:rsidR="00966A38" w:rsidRPr="00966A38">
        <w:rPr>
          <w:lang w:val="en-GB"/>
        </w:rPr>
        <w:t>.</w:t>
      </w:r>
    </w:p>
    <w:p w14:paraId="177DCD79" w14:textId="2D4C2E16" w:rsidR="00966A38" w:rsidRDefault="00966A38" w:rsidP="00A964D0">
      <w:pPr>
        <w:pStyle w:val="MDPI31text"/>
        <w:rPr>
          <w:lang w:val="en-GB"/>
        </w:rPr>
      </w:pPr>
      <w:r w:rsidRPr="00966A38">
        <w:rPr>
          <w:lang w:val="en-GB"/>
        </w:rPr>
        <w:t>The deviation is calculated as:</w:t>
      </w:r>
    </w:p>
    <w:tbl>
      <w:tblPr>
        <w:tblW w:w="7859" w:type="dxa"/>
        <w:tblInd w:w="2608" w:type="dxa"/>
        <w:tblCellMar>
          <w:left w:w="0" w:type="dxa"/>
          <w:right w:w="0" w:type="dxa"/>
        </w:tblCellMar>
        <w:tblLook w:val="04A0" w:firstRow="1" w:lastRow="0" w:firstColumn="1" w:lastColumn="0" w:noHBand="0" w:noVBand="1"/>
      </w:tblPr>
      <w:tblGrid>
        <w:gridCol w:w="4492"/>
        <w:gridCol w:w="3367"/>
      </w:tblGrid>
      <w:tr w:rsidR="00A72CF9" w:rsidRPr="00647E1F" w14:paraId="01C6D991" w14:textId="77777777" w:rsidTr="002414DF">
        <w:tc>
          <w:tcPr>
            <w:tcW w:w="7428" w:type="dxa"/>
          </w:tcPr>
          <w:p w14:paraId="0D7BFEF7" w14:textId="1BF06A0F" w:rsidR="00A72CF9" w:rsidRPr="00647E1F" w:rsidRDefault="00000000" w:rsidP="00A964D0">
            <w:pPr>
              <w:pStyle w:val="MDPI31text"/>
              <w:ind w:left="0" w:right="-2965" w:firstLine="0"/>
              <w:rPr>
                <w:color w:val="auto"/>
              </w:rPr>
            </w:pPr>
            <m:oMathPara>
              <m:oMath>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t</m:t>
                    </m:r>
                  </m:sub>
                  <m:sup>
                    <m:r>
                      <w:rPr>
                        <w:rFonts w:ascii="Cambria Math" w:hAnsi="Cambria Math"/>
                        <w:lang w:val="en-GB"/>
                      </w:rPr>
                      <m:t>dev</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t</m:t>
                    </m:r>
                  </m:sub>
                  <m:sup>
                    <m:r>
                      <w:rPr>
                        <w:rFonts w:ascii="Cambria Math" w:hAnsi="Cambria Math"/>
                        <w:lang w:val="en-GB"/>
                      </w:rPr>
                      <m:t>15min</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t</m:t>
                    </m:r>
                  </m:sub>
                  <m:sup>
                    <m:r>
                      <w:rPr>
                        <w:rFonts w:ascii="Cambria Math" w:hAnsi="Cambria Math"/>
                        <w:lang w:val="en-GB"/>
                      </w:rPr>
                      <m:t>position</m:t>
                    </m:r>
                  </m:sup>
                </m:sSubSup>
              </m:oMath>
            </m:oMathPara>
          </w:p>
        </w:tc>
        <w:tc>
          <w:tcPr>
            <w:tcW w:w="431" w:type="dxa"/>
            <w:vAlign w:val="center"/>
          </w:tcPr>
          <w:p w14:paraId="68F107D8" w14:textId="48894C5D" w:rsidR="00A72CF9" w:rsidRPr="00647E1F" w:rsidRDefault="00A72CF9" w:rsidP="00A964D0">
            <w:pPr>
              <w:pStyle w:val="MDPI31text"/>
              <w:ind w:right="-2965"/>
              <w:rPr>
                <w:color w:val="auto"/>
              </w:rPr>
            </w:pPr>
            <w:r w:rsidRPr="00647E1F">
              <w:rPr>
                <w:color w:val="auto"/>
              </w:rPr>
              <w:t>(</w:t>
            </w:r>
            <w:r>
              <w:rPr>
                <w:color w:val="auto"/>
              </w:rPr>
              <w:t>18</w:t>
            </w:r>
            <w:r w:rsidRPr="00647E1F">
              <w:rPr>
                <w:color w:val="auto"/>
              </w:rPr>
              <w:t>)</w:t>
            </w:r>
          </w:p>
        </w:tc>
      </w:tr>
    </w:tbl>
    <w:p w14:paraId="508ECD28" w14:textId="77777777" w:rsidR="00966A38" w:rsidRPr="00966A38" w:rsidRDefault="00966A38" w:rsidP="00A964D0">
      <w:pPr>
        <w:pStyle w:val="MDPI31text"/>
        <w:rPr>
          <w:lang w:val="en-GB"/>
        </w:rPr>
      </w:pPr>
      <w:r w:rsidRPr="00966A38">
        <w:rPr>
          <w:lang w:val="en-GB"/>
        </w:rPr>
        <w:t>Where:</w:t>
      </w:r>
    </w:p>
    <w:p w14:paraId="116152A6" w14:textId="77777777" w:rsidR="00966A38" w:rsidRPr="00966A38" w:rsidRDefault="00966A38" w:rsidP="00A964D0">
      <w:pPr>
        <w:pStyle w:val="MDPI31text"/>
        <w:rPr>
          <w:lang w:val="en-GB"/>
        </w:rPr>
      </w:pPr>
      <w:r w:rsidRPr="00966A38">
        <w:rPr>
          <w:lang w:val="en-GB"/>
        </w:rPr>
        <w:t>​</w:t>
      </w:r>
      <m:oMath>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t</m:t>
            </m:r>
          </m:sub>
          <m:sup>
            <m:r>
              <w:rPr>
                <w:rFonts w:ascii="Cambria Math" w:hAnsi="Cambria Math"/>
                <w:lang w:val="en-GB"/>
              </w:rPr>
              <m:t>15min</m:t>
            </m:r>
          </m:sup>
        </m:sSubSup>
      </m:oMath>
      <w:r w:rsidRPr="00966A38">
        <w:rPr>
          <w:lang w:val="en-GB"/>
        </w:rPr>
        <w:t xml:space="preserve"> is the forecasted value 15 minutes before delivery.</w:t>
      </w:r>
    </w:p>
    <w:p w14:paraId="5DAC58FC" w14:textId="1C08BED5" w:rsidR="00966A38" w:rsidRPr="00966A38" w:rsidRDefault="00966A38" w:rsidP="00A964D0">
      <w:pPr>
        <w:pStyle w:val="MDPI31text"/>
        <w:rPr>
          <w:lang w:val="en-GB"/>
        </w:rPr>
      </w:pPr>
      <w:r w:rsidRPr="00966A38">
        <w:rPr>
          <w:lang w:val="en-GB"/>
        </w:rPr>
        <w:t>​</w:t>
      </w:r>
      <m:oMath>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t</m:t>
            </m:r>
          </m:sub>
          <m:sup>
            <m:r>
              <w:rPr>
                <w:rFonts w:ascii="Cambria Math" w:hAnsi="Cambria Math"/>
                <w:lang w:val="en-GB"/>
              </w:rPr>
              <m:t>position</m:t>
            </m:r>
          </m:sup>
        </m:sSubSup>
      </m:oMath>
      <w:r w:rsidRPr="00966A38">
        <w:rPr>
          <w:lang w:val="en-GB"/>
        </w:rPr>
        <w:t xml:space="preserve"> is the </w:t>
      </w:r>
      <w:r w:rsidR="00D41151">
        <w:rPr>
          <w:lang w:val="en-GB"/>
        </w:rPr>
        <w:t>vRES</w:t>
      </w:r>
      <w:r w:rsidRPr="00966A38">
        <w:rPr>
          <w:lang w:val="en-GB"/>
        </w:rPr>
        <w:t xml:space="preserve"> position at the time of the IDC, which can be higher than the bid in DAM if producer sold energy in the IDA, or lower if the producer was a buyer in the IDA.</w:t>
      </w:r>
    </w:p>
    <w:p w14:paraId="37DE9B9B" w14:textId="77777777" w:rsidR="00966A38" w:rsidRPr="00966A38" w:rsidRDefault="00966A38" w:rsidP="00A964D0">
      <w:pPr>
        <w:pStyle w:val="MDPI31text"/>
        <w:rPr>
          <w:lang w:val="en-GB"/>
        </w:rPr>
      </w:pPr>
    </w:p>
    <w:p w14:paraId="5C1445DF" w14:textId="1814620A" w:rsidR="00B320ED" w:rsidRDefault="00B320ED" w:rsidP="009B218C">
      <w:pPr>
        <w:pStyle w:val="MDPI31text"/>
      </w:pPr>
      <w:r>
        <w:fldChar w:fldCharType="begin"/>
      </w:r>
      <w:r>
        <w:instrText xml:space="preserve"> REF _Ref191302242 \h </w:instrText>
      </w:r>
      <w:r>
        <w:fldChar w:fldCharType="separate"/>
      </w:r>
      <w:r>
        <w:t xml:space="preserve">Figure </w:t>
      </w:r>
      <w:r>
        <w:rPr>
          <w:noProof/>
        </w:rPr>
        <w:t>1</w:t>
      </w:r>
      <w:r>
        <w:fldChar w:fldCharType="end"/>
      </w:r>
      <w:r w:rsidR="00966A38" w:rsidRPr="00A964D0">
        <w:t xml:space="preserve"> illustrates the organization and structure of the market across the different s</w:t>
      </w:r>
      <w:r w:rsidR="00A72CF9" w:rsidRPr="00A964D0">
        <w:t>trategies</w:t>
      </w:r>
      <w:r w:rsidR="00966A38" w:rsidRPr="00A964D0">
        <w:t>.</w:t>
      </w:r>
    </w:p>
    <w:p w14:paraId="474916F6" w14:textId="0CEA0572" w:rsidR="009B218C" w:rsidRDefault="009B218C" w:rsidP="009B218C">
      <w:pPr>
        <w:pStyle w:val="MDPI51figurecaption"/>
        <w:ind w:left="0"/>
        <w:jc w:val="right"/>
        <w:rPr>
          <w:b/>
        </w:rPr>
      </w:pPr>
      <w:bookmarkStart w:id="0" w:name="_Ref191302242"/>
      <w:r>
        <w:rPr>
          <w:b/>
          <w:noProof/>
        </w:rPr>
        <w:drawing>
          <wp:inline distT="0" distB="0" distL="0" distR="0" wp14:anchorId="08DF9ACB" wp14:editId="6BFE5E41">
            <wp:extent cx="5313611" cy="2340000"/>
            <wp:effectExtent l="0" t="0" r="0" b="0"/>
            <wp:docPr id="258053253"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53253" name="Picture 2" descr="A diagram of a company&#10;&#10;AI-generated content may be incorrect."/>
                    <pic:cNvPicPr/>
                  </pic:nvPicPr>
                  <pic:blipFill>
                    <a:blip r:embed="rId12"/>
                    <a:stretch>
                      <a:fillRect/>
                    </a:stretch>
                  </pic:blipFill>
                  <pic:spPr>
                    <a:xfrm>
                      <a:off x="0" y="0"/>
                      <a:ext cx="5313611" cy="2340000"/>
                    </a:xfrm>
                    <a:prstGeom prst="rect">
                      <a:avLst/>
                    </a:prstGeom>
                  </pic:spPr>
                </pic:pic>
              </a:graphicData>
            </a:graphic>
          </wp:inline>
        </w:drawing>
      </w:r>
    </w:p>
    <w:p w14:paraId="10C95388" w14:textId="07AE5D97" w:rsidR="00B320ED" w:rsidRPr="005D51A1" w:rsidRDefault="00B320ED" w:rsidP="005D51A1">
      <w:pPr>
        <w:pStyle w:val="MDPI51figurecaption"/>
      </w:pPr>
      <w:r w:rsidRPr="005D51A1">
        <w:rPr>
          <w:b/>
        </w:rPr>
        <w:t xml:space="preserve">Figure </w:t>
      </w:r>
      <w:r w:rsidRPr="005D51A1">
        <w:rPr>
          <w:b/>
        </w:rPr>
        <w:fldChar w:fldCharType="begin"/>
      </w:r>
      <w:r w:rsidRPr="005D51A1">
        <w:rPr>
          <w:b/>
        </w:rPr>
        <w:instrText xml:space="preserve"> SEQ Figure \* ARABIC </w:instrText>
      </w:r>
      <w:r w:rsidRPr="005D51A1">
        <w:rPr>
          <w:b/>
        </w:rPr>
        <w:fldChar w:fldCharType="separate"/>
      </w:r>
      <w:r w:rsidR="005D51A1">
        <w:rPr>
          <w:b/>
          <w:noProof/>
        </w:rPr>
        <w:t>1</w:t>
      </w:r>
      <w:r w:rsidRPr="005D51A1">
        <w:rPr>
          <w:b/>
        </w:rPr>
        <w:fldChar w:fldCharType="end"/>
      </w:r>
      <w:bookmarkEnd w:id="0"/>
      <w:r w:rsidRPr="005D51A1">
        <w:rPr>
          <w:b/>
        </w:rPr>
        <w:t>:</w:t>
      </w:r>
      <w:r w:rsidRPr="005D51A1">
        <w:t xml:space="preserve"> Market structure for the different strategies</w:t>
      </w:r>
    </w:p>
    <w:p w14:paraId="00075625" w14:textId="17B78E64" w:rsidR="00A72CF9" w:rsidRPr="00B320ED" w:rsidRDefault="00F80C2B" w:rsidP="00B320ED">
      <w:pPr>
        <w:pStyle w:val="MDPI31text"/>
      </w:pPr>
      <w:commentRangeStart w:id="1"/>
      <w:commentRangeEnd w:id="1"/>
      <w:r>
        <w:rPr>
          <w:rStyle w:val="CommentReference"/>
          <w:rFonts w:eastAsia="SimSun"/>
          <w:noProof/>
          <w:snapToGrid/>
          <w:lang w:eastAsia="zh-CN" w:bidi="ar-SA"/>
        </w:rPr>
        <w:commentReference w:id="1"/>
      </w:r>
      <w:r w:rsidR="00A72CF9" w:rsidRPr="00B320ED">
        <w:t>The average remuneration (€/MWh) for the study period is calculated by dividing the total revenue across all hours by the total production for the same period.</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A72CF9" w:rsidRPr="00647E1F" w14:paraId="75AE6319" w14:textId="77777777" w:rsidTr="002414DF">
        <w:tc>
          <w:tcPr>
            <w:tcW w:w="7428" w:type="dxa"/>
          </w:tcPr>
          <w:p w14:paraId="5507D3BE" w14:textId="77777777" w:rsidR="00A72CF9" w:rsidRPr="00A72CF9" w:rsidRDefault="00000000" w:rsidP="00A72CF9">
            <w:pPr>
              <w:pStyle w:val="MDPI31text"/>
              <w:ind w:left="0" w:firstLine="0"/>
              <w:rPr>
                <w:lang w:val="en-GB"/>
              </w:rPr>
            </w:pPr>
            <m:oMathPara>
              <m:oMath>
                <m:acc>
                  <m:accPr>
                    <m:chr m:val="̅"/>
                    <m:ctrlPr>
                      <w:rPr>
                        <w:rFonts w:ascii="Cambria Math" w:hAnsi="Cambria Math"/>
                        <w:i/>
                        <w:lang w:val="en-GB"/>
                      </w:rPr>
                    </m:ctrlPr>
                  </m:accPr>
                  <m:e>
                    <m:r>
                      <w:rPr>
                        <w:rFonts w:ascii="Cambria Math" w:hAnsi="Cambria Math"/>
                        <w:lang w:val="en-GB"/>
                      </w:rPr>
                      <m:t>R</m:t>
                    </m:r>
                  </m:e>
                </m:acc>
                <m:r>
                  <w:rPr>
                    <w:rFonts w:ascii="Cambria Math" w:hAnsi="Cambria Math"/>
                    <w:lang w:val="en-GB"/>
                  </w:rPr>
                  <m:t xml:space="preserve">= </m:t>
                </m:r>
                <m:f>
                  <m:fPr>
                    <m:ctrlPr>
                      <w:rPr>
                        <w:rFonts w:ascii="Cambria Math" w:hAnsi="Cambria Math"/>
                        <w:i/>
                        <w:lang w:val="en-GB"/>
                      </w:rPr>
                    </m:ctrlPr>
                  </m:fPr>
                  <m:num>
                    <m:nary>
                      <m:naryPr>
                        <m:chr m:val="∑"/>
                        <m:limLoc m:val="undOvr"/>
                        <m:ctrlPr>
                          <w:rPr>
                            <w:rFonts w:ascii="Cambria Math" w:hAnsi="Cambria Math"/>
                            <w:i/>
                            <w:lang w:val="en-GB"/>
                          </w:rPr>
                        </m:ctrlPr>
                      </m:naryPr>
                      <m:sub>
                        <m:r>
                          <w:rPr>
                            <w:rFonts w:ascii="Cambria Math" w:hAnsi="Cambria Math"/>
                            <w:lang w:val="en-GB"/>
                          </w:rPr>
                          <m:t>t=1</m:t>
                        </m:r>
                      </m:sub>
                      <m:sup>
                        <m:r>
                          <w:rPr>
                            <w:rFonts w:ascii="Cambria Math" w:hAnsi="Cambria Math"/>
                            <w:lang w:val="en-GB"/>
                          </w:rPr>
                          <m:t>T</m:t>
                        </m:r>
                      </m:sup>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t</m:t>
                            </m:r>
                          </m:sub>
                        </m:sSub>
                      </m:e>
                    </m:nary>
                  </m:num>
                  <m:den>
                    <m:nary>
                      <m:naryPr>
                        <m:chr m:val="∑"/>
                        <m:limLoc m:val="undOvr"/>
                        <m:ctrlPr>
                          <w:rPr>
                            <w:rFonts w:ascii="Cambria Math" w:hAnsi="Cambria Math"/>
                            <w:i/>
                            <w:lang w:val="en-GB"/>
                          </w:rPr>
                        </m:ctrlPr>
                      </m:naryPr>
                      <m:sub>
                        <m:r>
                          <w:rPr>
                            <w:rFonts w:ascii="Cambria Math" w:hAnsi="Cambria Math"/>
                            <w:lang w:val="en-GB"/>
                          </w:rPr>
                          <m:t>t=1</m:t>
                        </m:r>
                      </m:sub>
                      <m:sup>
                        <m:r>
                          <w:rPr>
                            <w:rFonts w:ascii="Cambria Math" w:hAnsi="Cambria Math"/>
                            <w:lang w:val="en-GB"/>
                          </w:rPr>
                          <m:t>T</m:t>
                        </m:r>
                      </m:sup>
                      <m:e>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t</m:t>
                            </m:r>
                          </m:sub>
                          <m:sup>
                            <m:r>
                              <w:rPr>
                                <w:rFonts w:ascii="Cambria Math" w:hAnsi="Cambria Math"/>
                                <w:lang w:val="en-GB"/>
                              </w:rPr>
                              <m:t>obs</m:t>
                            </m:r>
                          </m:sup>
                        </m:sSubSup>
                      </m:e>
                    </m:nary>
                  </m:den>
                </m:f>
              </m:oMath>
            </m:oMathPara>
          </w:p>
          <w:p w14:paraId="25D76E24" w14:textId="385CA3E1" w:rsidR="00A72CF9" w:rsidRPr="00647E1F" w:rsidRDefault="00A72CF9" w:rsidP="002414DF">
            <w:pPr>
              <w:pStyle w:val="MDPI31text"/>
              <w:ind w:left="0" w:firstLine="0"/>
              <w:rPr>
                <w:color w:val="auto"/>
              </w:rPr>
            </w:pPr>
          </w:p>
        </w:tc>
        <w:tc>
          <w:tcPr>
            <w:tcW w:w="431" w:type="dxa"/>
            <w:vAlign w:val="center"/>
          </w:tcPr>
          <w:p w14:paraId="54A91599" w14:textId="691E3649" w:rsidR="00A72CF9" w:rsidRPr="00647E1F" w:rsidRDefault="00A72CF9" w:rsidP="00A72CF9">
            <w:pPr>
              <w:pStyle w:val="MDPI3aequationnumber"/>
              <w:spacing w:line="260" w:lineRule="atLeast"/>
              <w:rPr>
                <w:color w:val="auto"/>
              </w:rPr>
            </w:pPr>
            <w:r w:rsidRPr="00647E1F">
              <w:rPr>
                <w:color w:val="auto"/>
              </w:rPr>
              <w:t>(</w:t>
            </w:r>
            <w:r>
              <w:rPr>
                <w:color w:val="auto"/>
              </w:rPr>
              <w:t>19</w:t>
            </w:r>
            <w:r w:rsidRPr="00647E1F">
              <w:rPr>
                <w:color w:val="auto"/>
              </w:rPr>
              <w:t>)</w:t>
            </w:r>
          </w:p>
        </w:tc>
      </w:tr>
    </w:tbl>
    <w:p w14:paraId="415BE880" w14:textId="77777777" w:rsidR="00A72CF9" w:rsidRPr="00A72CF9" w:rsidRDefault="00A72CF9" w:rsidP="00A72CF9">
      <w:pPr>
        <w:pStyle w:val="MDPI31text"/>
        <w:rPr>
          <w:lang w:val="en-GB"/>
        </w:rPr>
      </w:pPr>
      <w:r w:rsidRPr="00A72CF9">
        <w:rPr>
          <w:lang w:val="en-GB"/>
        </w:rPr>
        <w:t>Where:</w:t>
      </w:r>
    </w:p>
    <w:p w14:paraId="73E64452" w14:textId="77777777" w:rsidR="00A72CF9" w:rsidRDefault="00000000" w:rsidP="00862F10">
      <w:pPr>
        <w:pStyle w:val="MDPI31text"/>
        <w:numPr>
          <w:ilvl w:val="0"/>
          <w:numId w:val="14"/>
        </w:numPr>
        <w:rPr>
          <w:lang w:val="en-GB"/>
        </w:rPr>
      </w:pPr>
      <m:oMath>
        <m:acc>
          <m:accPr>
            <m:chr m:val="̅"/>
            <m:ctrlPr>
              <w:rPr>
                <w:rFonts w:ascii="Cambria Math" w:hAnsi="Cambria Math"/>
                <w:i/>
                <w:lang w:val="en-GB"/>
              </w:rPr>
            </m:ctrlPr>
          </m:accPr>
          <m:e>
            <m:r>
              <w:rPr>
                <w:rFonts w:ascii="Cambria Math" w:hAnsi="Cambria Math"/>
                <w:lang w:val="en-GB"/>
              </w:rPr>
              <m:t xml:space="preserve">R </m:t>
            </m:r>
          </m:e>
        </m:acc>
      </m:oMath>
      <w:r w:rsidR="00A72CF9" w:rsidRPr="00A72CF9">
        <w:rPr>
          <w:lang w:val="en-GB"/>
        </w:rPr>
        <w:t>is the average remuneration (€/MWh).</w:t>
      </w:r>
    </w:p>
    <w:p w14:paraId="3696EADC" w14:textId="77777777" w:rsidR="00A72CF9" w:rsidRDefault="00000000" w:rsidP="00862F10">
      <w:pPr>
        <w:pStyle w:val="MDPI31text"/>
        <w:numPr>
          <w:ilvl w:val="0"/>
          <w:numId w:val="14"/>
        </w:numPr>
        <w:rPr>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t</m:t>
            </m:r>
          </m:sub>
        </m:sSub>
      </m:oMath>
      <w:r w:rsidR="00A72CF9" w:rsidRPr="00A72CF9">
        <w:rPr>
          <w:lang w:val="en-GB"/>
        </w:rPr>
        <w:t xml:space="preserve">​ is the total revenue at hour </w:t>
      </w:r>
      <w:r w:rsidR="00A72CF9" w:rsidRPr="00A72CF9">
        <w:rPr>
          <w:i/>
          <w:iCs/>
          <w:lang w:val="en-GB"/>
        </w:rPr>
        <w:t>t</w:t>
      </w:r>
      <w:r w:rsidR="00A72CF9" w:rsidRPr="00A72CF9">
        <w:rPr>
          <w:lang w:val="en-GB"/>
        </w:rPr>
        <w:t>.</w:t>
      </w:r>
    </w:p>
    <w:p w14:paraId="27598B35" w14:textId="77777777" w:rsidR="00A72CF9" w:rsidRDefault="00000000" w:rsidP="00862F10">
      <w:pPr>
        <w:pStyle w:val="MDPI31text"/>
        <w:numPr>
          <w:ilvl w:val="0"/>
          <w:numId w:val="14"/>
        </w:numPr>
        <w:rPr>
          <w:lang w:val="en-GB"/>
        </w:rPr>
      </w:pPr>
      <m:oMath>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t</m:t>
            </m:r>
          </m:sub>
          <m:sup>
            <m:r>
              <w:rPr>
                <w:rFonts w:ascii="Cambria Math" w:hAnsi="Cambria Math"/>
                <w:lang w:val="en-GB"/>
              </w:rPr>
              <m:t>obs</m:t>
            </m:r>
          </m:sup>
        </m:sSubSup>
        <m:r>
          <w:rPr>
            <w:rFonts w:ascii="Cambria Math" w:hAnsi="Cambria Math"/>
            <w:lang w:val="en-GB"/>
          </w:rPr>
          <m:t xml:space="preserve"> </m:t>
        </m:r>
      </m:oMath>
      <w:r w:rsidR="00A72CF9" w:rsidRPr="00A72CF9">
        <w:rPr>
          <w:lang w:val="en-GB"/>
        </w:rPr>
        <w:t xml:space="preserve">is the observed power production for each hour </w:t>
      </w:r>
      <w:r w:rsidR="00A72CF9" w:rsidRPr="00A72CF9">
        <w:rPr>
          <w:i/>
          <w:iCs/>
          <w:lang w:val="en-GB"/>
        </w:rPr>
        <w:t>t</w:t>
      </w:r>
      <w:r w:rsidR="00A72CF9" w:rsidRPr="00A72CF9">
        <w:rPr>
          <w:lang w:val="en-GB"/>
        </w:rPr>
        <w:t xml:space="preserve">. </w:t>
      </w:r>
    </w:p>
    <w:p w14:paraId="2DC96D57" w14:textId="28AD9C7F" w:rsidR="00A72CF9" w:rsidRPr="00A72CF9" w:rsidRDefault="00A72CF9" w:rsidP="00862F10">
      <w:pPr>
        <w:pStyle w:val="MDPI31text"/>
        <w:numPr>
          <w:ilvl w:val="0"/>
          <w:numId w:val="14"/>
        </w:numPr>
        <w:rPr>
          <w:lang w:val="en-GB"/>
        </w:rPr>
      </w:pPr>
      <w:r w:rsidRPr="00A72CF9">
        <w:rPr>
          <w:lang w:val="en-GB"/>
        </w:rPr>
        <w:t>T is the total number of hours in the dataset (17088 hours).</w:t>
      </w:r>
    </w:p>
    <w:p w14:paraId="694CAA85" w14:textId="5E95CC12" w:rsidR="00C9290D" w:rsidRPr="00647E1F" w:rsidRDefault="00022026" w:rsidP="00862F10">
      <w:pPr>
        <w:pStyle w:val="MDPI21heading1"/>
        <w:numPr>
          <w:ilvl w:val="0"/>
          <w:numId w:val="7"/>
        </w:numPr>
        <w:ind w:firstLine="2192"/>
        <w:rPr>
          <w:color w:val="auto"/>
        </w:rPr>
      </w:pPr>
      <w:r>
        <w:rPr>
          <w:color w:val="auto"/>
        </w:rPr>
        <w:t xml:space="preserve">Case </w:t>
      </w:r>
      <w:r w:rsidR="002F578E" w:rsidRPr="00647E1F">
        <w:rPr>
          <w:color w:val="auto"/>
        </w:rPr>
        <w:t>stud</w:t>
      </w:r>
      <w:r w:rsidR="00AD3D0F">
        <w:rPr>
          <w:color w:val="auto"/>
        </w:rPr>
        <w:t>y</w:t>
      </w:r>
      <w:r w:rsidR="00B320ED">
        <w:rPr>
          <w:color w:val="auto"/>
        </w:rPr>
        <w:t xml:space="preserve"> on the active participation of a WPP in EMs</w:t>
      </w:r>
    </w:p>
    <w:p w14:paraId="1145D652" w14:textId="77777777" w:rsidR="00AD3D0F" w:rsidRDefault="03967EA8" w:rsidP="00F0172F">
      <w:pPr>
        <w:pStyle w:val="MDPI31text"/>
        <w:rPr>
          <w:color w:val="auto"/>
        </w:rPr>
      </w:pPr>
      <w:r w:rsidRPr="00647E1F">
        <w:rPr>
          <w:color w:val="auto"/>
        </w:rPr>
        <w:t xml:space="preserve">This section </w:t>
      </w:r>
      <w:r w:rsidR="30E6B053" w:rsidRPr="00647E1F">
        <w:rPr>
          <w:color w:val="auto"/>
        </w:rPr>
        <w:t xml:space="preserve">presents </w:t>
      </w:r>
      <w:r w:rsidR="00F0172F" w:rsidRPr="00030AF9">
        <w:t xml:space="preserve">a case study of a </w:t>
      </w:r>
      <w:r w:rsidR="00F0172F">
        <w:t>WPP</w:t>
      </w:r>
      <w:r w:rsidR="00F0172F" w:rsidRPr="00030AF9">
        <w:t xml:space="preserve"> participating in </w:t>
      </w:r>
      <w:r w:rsidR="00F0172F">
        <w:t>the EMs</w:t>
      </w:r>
      <w:r w:rsidR="00F0172F" w:rsidRPr="00030AF9">
        <w:t xml:space="preserve"> within the MIBEL framework and the Portuguese BMs during the period of 2009-2010. </w:t>
      </w:r>
      <w:r w:rsidR="00F0172F" w:rsidRPr="00D37816">
        <w:t xml:space="preserve">The analysis assumes that the WPP operates without </w:t>
      </w:r>
      <w:r w:rsidR="00F0172F">
        <w:t>any support scheme</w:t>
      </w:r>
      <w:r w:rsidR="00F0172F" w:rsidRPr="00D37816">
        <w:t xml:space="preserve"> and is fully responsible for managing its imbalances. The objective is to maximize the producer’s remuneration by </w:t>
      </w:r>
      <w:r w:rsidR="00F0172F" w:rsidRPr="00D37816">
        <w:lastRenderedPageBreak/>
        <w:t xml:space="preserve">optimizing market participation strategies. </w:t>
      </w:r>
      <w:r w:rsidR="00F0172F" w:rsidRPr="000172E8">
        <w:t>In this section, the dataset, methodology applied, and the developed scenarios are outlined.</w:t>
      </w:r>
      <w:r w:rsidR="00F0172F">
        <w:t xml:space="preserve"> </w:t>
      </w:r>
      <w:r w:rsidR="7DAF98ED" w:rsidRPr="00647E1F">
        <w:rPr>
          <w:color w:val="auto"/>
        </w:rPr>
        <w:t xml:space="preserve"> </w:t>
      </w:r>
    </w:p>
    <w:p w14:paraId="053A49A0" w14:textId="4105E13E" w:rsidR="00AD3D0F" w:rsidRDefault="00AD3D0F" w:rsidP="00862F10">
      <w:pPr>
        <w:pStyle w:val="MDPI22heading2"/>
        <w:numPr>
          <w:ilvl w:val="1"/>
          <w:numId w:val="7"/>
        </w:numPr>
        <w:ind w:firstLine="1760"/>
      </w:pPr>
      <w:r>
        <w:t>Dataset and statistics</w:t>
      </w:r>
    </w:p>
    <w:p w14:paraId="42F23585" w14:textId="57E0D143" w:rsidR="00F0172F" w:rsidRPr="00F0172F" w:rsidRDefault="00F0172F" w:rsidP="00F0172F">
      <w:pPr>
        <w:pStyle w:val="MDPI31text"/>
        <w:rPr>
          <w:color w:val="auto"/>
        </w:rPr>
      </w:pPr>
      <w:r w:rsidRPr="00F0172F">
        <w:rPr>
          <w:color w:val="auto"/>
        </w:rPr>
        <w:t>The market data includes hourly prices for DAM, IDMs, positive and negative imbalance prices, as well as hourly prices and requirements for aFRR and mFRR.</w:t>
      </w:r>
    </w:p>
    <w:p w14:paraId="0CE3C83C" w14:textId="607B81F7" w:rsidR="003943CB" w:rsidRDefault="00F0172F" w:rsidP="00F0172F">
      <w:pPr>
        <w:pStyle w:val="MDPI31text"/>
        <w:rPr>
          <w:color w:val="auto"/>
        </w:rPr>
      </w:pPr>
      <w:r w:rsidRPr="00F0172F">
        <w:rPr>
          <w:color w:val="auto"/>
        </w:rPr>
        <w:t>Table 1 presents key market price statistics, highlighting significant price differences across various market segments.</w:t>
      </w:r>
    </w:p>
    <w:p w14:paraId="313C00D7" w14:textId="4AD52D80" w:rsidR="00B320ED" w:rsidRPr="00B320ED" w:rsidRDefault="00B320ED" w:rsidP="00B320ED">
      <w:pPr>
        <w:pStyle w:val="MDPI411onetablecaption"/>
      </w:pPr>
      <w:bookmarkStart w:id="2" w:name="_Ref191375972"/>
      <w:r w:rsidRPr="00B320ED">
        <w:rPr>
          <w:b/>
        </w:rPr>
        <w:t xml:space="preserve">Table </w:t>
      </w:r>
      <w:r w:rsidRPr="00B320ED">
        <w:rPr>
          <w:b/>
        </w:rPr>
        <w:fldChar w:fldCharType="begin"/>
      </w:r>
      <w:r w:rsidRPr="00B320ED">
        <w:rPr>
          <w:b/>
        </w:rPr>
        <w:instrText xml:space="preserve"> SEQ Table \* ARABIC </w:instrText>
      </w:r>
      <w:r w:rsidRPr="00B320ED">
        <w:rPr>
          <w:b/>
        </w:rPr>
        <w:fldChar w:fldCharType="separate"/>
      </w:r>
      <w:r w:rsidR="005D51A1">
        <w:rPr>
          <w:b/>
        </w:rPr>
        <w:t>1</w:t>
      </w:r>
      <w:r w:rsidRPr="00B320ED">
        <w:rPr>
          <w:b/>
        </w:rPr>
        <w:fldChar w:fldCharType="end"/>
      </w:r>
      <w:bookmarkEnd w:id="2"/>
      <w:r w:rsidRPr="00B320ED">
        <w:rPr>
          <w:b/>
        </w:rPr>
        <w:t>:</w:t>
      </w:r>
      <w:r w:rsidRPr="00B320ED">
        <w:t xml:space="preserve"> Key statistics of market prices.</w:t>
      </w:r>
    </w:p>
    <w:tbl>
      <w:tblPr>
        <w:tblStyle w:val="TableGridLight"/>
        <w:tblW w:w="0" w:type="auto"/>
        <w:tblBorders>
          <w:top w:val="thinThickSmallGap" w:sz="12" w:space="0" w:color="auto"/>
          <w:left w:val="none" w:sz="0" w:space="0" w:color="auto"/>
          <w:bottom w:val="thinThickSmallGap" w:sz="12"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1308"/>
        <w:gridCol w:w="1308"/>
        <w:gridCol w:w="1309"/>
        <w:gridCol w:w="1308"/>
        <w:gridCol w:w="1308"/>
        <w:gridCol w:w="1308"/>
        <w:gridCol w:w="1309"/>
      </w:tblGrid>
      <w:tr w:rsidR="00F0172F" w:rsidRPr="00F0172F" w14:paraId="37CD7DA9" w14:textId="77777777" w:rsidTr="00F0172F">
        <w:tc>
          <w:tcPr>
            <w:tcW w:w="1308" w:type="dxa"/>
            <w:tcBorders>
              <w:top w:val="double" w:sz="4" w:space="0" w:color="auto"/>
              <w:bottom w:val="single" w:sz="4" w:space="0" w:color="auto"/>
            </w:tcBorders>
          </w:tcPr>
          <w:p w14:paraId="787F265F" w14:textId="77777777" w:rsidR="00F0172F" w:rsidRPr="005D51A1" w:rsidRDefault="00F0172F" w:rsidP="00F0172F">
            <w:pPr>
              <w:spacing w:line="240" w:lineRule="auto"/>
              <w:jc w:val="center"/>
              <w:rPr>
                <w:noProof w:val="0"/>
                <w:color w:val="auto"/>
                <w:sz w:val="20"/>
                <w:szCs w:val="20"/>
              </w:rPr>
            </w:pPr>
          </w:p>
        </w:tc>
        <w:tc>
          <w:tcPr>
            <w:tcW w:w="1308" w:type="dxa"/>
            <w:tcBorders>
              <w:top w:val="double" w:sz="4" w:space="0" w:color="auto"/>
              <w:bottom w:val="single" w:sz="4" w:space="0" w:color="auto"/>
            </w:tcBorders>
            <w:vAlign w:val="center"/>
          </w:tcPr>
          <w:p w14:paraId="40EFFA01" w14:textId="6F4884F2" w:rsidR="00F0172F" w:rsidRPr="005D51A1" w:rsidRDefault="00F0172F" w:rsidP="00F0172F">
            <w:pPr>
              <w:spacing w:line="240" w:lineRule="auto"/>
              <w:jc w:val="center"/>
              <w:rPr>
                <w:noProof w:val="0"/>
                <w:color w:val="auto"/>
                <w:sz w:val="20"/>
                <w:szCs w:val="20"/>
              </w:rPr>
            </w:pPr>
            <w:r w:rsidRPr="005D51A1">
              <w:rPr>
                <w:sz w:val="20"/>
                <w:szCs w:val="20"/>
              </w:rPr>
              <w:t>DAM (€/MWh)</w:t>
            </w:r>
          </w:p>
        </w:tc>
        <w:tc>
          <w:tcPr>
            <w:tcW w:w="1308" w:type="dxa"/>
            <w:tcBorders>
              <w:top w:val="double" w:sz="4" w:space="0" w:color="auto"/>
              <w:bottom w:val="single" w:sz="4" w:space="0" w:color="auto"/>
            </w:tcBorders>
            <w:vAlign w:val="center"/>
          </w:tcPr>
          <w:p w14:paraId="5156DCFE" w14:textId="4C21247C" w:rsidR="00F0172F" w:rsidRPr="005D51A1" w:rsidRDefault="00F0172F" w:rsidP="00F0172F">
            <w:pPr>
              <w:spacing w:line="240" w:lineRule="auto"/>
              <w:jc w:val="center"/>
              <w:rPr>
                <w:noProof w:val="0"/>
                <w:color w:val="auto"/>
                <w:sz w:val="20"/>
                <w:szCs w:val="20"/>
              </w:rPr>
            </w:pPr>
            <w:r w:rsidRPr="005D51A1">
              <w:rPr>
                <w:sz w:val="20"/>
                <w:szCs w:val="20"/>
              </w:rPr>
              <w:t>IDA (€/MWh)</w:t>
            </w:r>
          </w:p>
        </w:tc>
        <w:tc>
          <w:tcPr>
            <w:tcW w:w="1309" w:type="dxa"/>
            <w:tcBorders>
              <w:top w:val="double" w:sz="4" w:space="0" w:color="auto"/>
              <w:bottom w:val="single" w:sz="4" w:space="0" w:color="auto"/>
            </w:tcBorders>
            <w:vAlign w:val="center"/>
          </w:tcPr>
          <w:p w14:paraId="2E818A88" w14:textId="77777777" w:rsidR="00F0172F" w:rsidRPr="005D51A1" w:rsidRDefault="00F0172F" w:rsidP="00F0172F">
            <w:pPr>
              <w:spacing w:line="240" w:lineRule="auto"/>
              <w:jc w:val="center"/>
              <w:rPr>
                <w:sz w:val="20"/>
                <w:szCs w:val="20"/>
              </w:rPr>
            </w:pPr>
            <w:r w:rsidRPr="005D51A1">
              <w:rPr>
                <w:sz w:val="20"/>
                <w:szCs w:val="20"/>
              </w:rPr>
              <w:t>Secondary Reserve</w:t>
            </w:r>
          </w:p>
          <w:p w14:paraId="2C978BF5" w14:textId="3AAC42F2" w:rsidR="00F0172F" w:rsidRPr="005D51A1" w:rsidRDefault="00F0172F" w:rsidP="00F0172F">
            <w:pPr>
              <w:spacing w:line="240" w:lineRule="auto"/>
              <w:jc w:val="center"/>
              <w:rPr>
                <w:noProof w:val="0"/>
                <w:color w:val="auto"/>
                <w:sz w:val="20"/>
                <w:szCs w:val="20"/>
              </w:rPr>
            </w:pPr>
            <w:r w:rsidRPr="005D51A1">
              <w:rPr>
                <w:sz w:val="20"/>
                <w:szCs w:val="20"/>
              </w:rPr>
              <w:t>Capacity (€/MW)</w:t>
            </w:r>
          </w:p>
        </w:tc>
        <w:tc>
          <w:tcPr>
            <w:tcW w:w="1308" w:type="dxa"/>
            <w:tcBorders>
              <w:top w:val="double" w:sz="4" w:space="0" w:color="auto"/>
              <w:bottom w:val="single" w:sz="4" w:space="0" w:color="auto"/>
            </w:tcBorders>
            <w:vAlign w:val="center"/>
          </w:tcPr>
          <w:p w14:paraId="4CE113D0" w14:textId="7D9118F3" w:rsidR="00F0172F" w:rsidRPr="005D51A1" w:rsidRDefault="00F0172F" w:rsidP="00F0172F">
            <w:pPr>
              <w:spacing w:line="240" w:lineRule="auto"/>
              <w:jc w:val="center"/>
              <w:rPr>
                <w:noProof w:val="0"/>
                <w:color w:val="auto"/>
                <w:sz w:val="20"/>
                <w:szCs w:val="20"/>
              </w:rPr>
            </w:pPr>
            <w:r w:rsidRPr="005D51A1">
              <w:rPr>
                <w:sz w:val="20"/>
                <w:szCs w:val="20"/>
              </w:rPr>
              <w:t>Positive Tertiary Energy (€/MWh)</w:t>
            </w:r>
          </w:p>
        </w:tc>
        <w:tc>
          <w:tcPr>
            <w:tcW w:w="1308" w:type="dxa"/>
            <w:tcBorders>
              <w:top w:val="double" w:sz="4" w:space="0" w:color="auto"/>
              <w:bottom w:val="single" w:sz="4" w:space="0" w:color="auto"/>
            </w:tcBorders>
            <w:vAlign w:val="center"/>
          </w:tcPr>
          <w:p w14:paraId="71C1FC49" w14:textId="427716B7" w:rsidR="00F0172F" w:rsidRPr="005D51A1" w:rsidRDefault="00F0172F" w:rsidP="00F0172F">
            <w:pPr>
              <w:spacing w:line="240" w:lineRule="auto"/>
              <w:jc w:val="center"/>
              <w:rPr>
                <w:noProof w:val="0"/>
                <w:color w:val="auto"/>
                <w:sz w:val="20"/>
                <w:szCs w:val="20"/>
              </w:rPr>
            </w:pPr>
            <w:r w:rsidRPr="005D51A1">
              <w:rPr>
                <w:sz w:val="20"/>
                <w:szCs w:val="20"/>
              </w:rPr>
              <w:t>Negative Tertiary Energy (€/MWh)</w:t>
            </w:r>
          </w:p>
        </w:tc>
        <w:tc>
          <w:tcPr>
            <w:tcW w:w="1308" w:type="dxa"/>
            <w:tcBorders>
              <w:top w:val="double" w:sz="4" w:space="0" w:color="auto"/>
              <w:bottom w:val="single" w:sz="4" w:space="0" w:color="auto"/>
            </w:tcBorders>
            <w:vAlign w:val="center"/>
          </w:tcPr>
          <w:p w14:paraId="6DAF4ECF" w14:textId="51523409" w:rsidR="00F0172F" w:rsidRPr="005D51A1" w:rsidRDefault="00F0172F" w:rsidP="00F0172F">
            <w:pPr>
              <w:spacing w:line="240" w:lineRule="auto"/>
              <w:jc w:val="center"/>
              <w:rPr>
                <w:sz w:val="20"/>
                <w:szCs w:val="20"/>
              </w:rPr>
            </w:pPr>
            <w:r w:rsidRPr="005D51A1">
              <w:rPr>
                <w:sz w:val="20"/>
                <w:szCs w:val="20"/>
              </w:rPr>
              <w:t>Positive Imbalanc</w:t>
            </w:r>
            <w:r w:rsidR="00AD3D0F" w:rsidRPr="005D51A1">
              <w:rPr>
                <w:sz w:val="20"/>
                <w:szCs w:val="20"/>
              </w:rPr>
              <w:t>e</w:t>
            </w:r>
          </w:p>
          <w:p w14:paraId="08C7E5B8" w14:textId="796F3D5A" w:rsidR="00F0172F" w:rsidRPr="005D51A1" w:rsidRDefault="00F0172F" w:rsidP="00F0172F">
            <w:pPr>
              <w:spacing w:line="240" w:lineRule="auto"/>
              <w:jc w:val="center"/>
              <w:rPr>
                <w:noProof w:val="0"/>
                <w:color w:val="auto"/>
                <w:sz w:val="20"/>
                <w:szCs w:val="20"/>
              </w:rPr>
            </w:pPr>
            <w:r w:rsidRPr="005D51A1">
              <w:rPr>
                <w:sz w:val="20"/>
                <w:szCs w:val="20"/>
              </w:rPr>
              <w:t>Price (€/MWh)</w:t>
            </w:r>
          </w:p>
        </w:tc>
        <w:tc>
          <w:tcPr>
            <w:tcW w:w="1309" w:type="dxa"/>
            <w:tcBorders>
              <w:top w:val="double" w:sz="4" w:space="0" w:color="auto"/>
              <w:bottom w:val="single" w:sz="4" w:space="0" w:color="auto"/>
            </w:tcBorders>
            <w:vAlign w:val="center"/>
          </w:tcPr>
          <w:p w14:paraId="3B91A41A" w14:textId="77777777" w:rsidR="00F0172F" w:rsidRPr="005D51A1" w:rsidRDefault="00F0172F" w:rsidP="00F0172F">
            <w:pPr>
              <w:spacing w:line="240" w:lineRule="auto"/>
              <w:jc w:val="center"/>
              <w:rPr>
                <w:sz w:val="20"/>
                <w:szCs w:val="20"/>
              </w:rPr>
            </w:pPr>
            <w:r w:rsidRPr="005D51A1">
              <w:rPr>
                <w:sz w:val="20"/>
                <w:szCs w:val="20"/>
              </w:rPr>
              <w:t>Negative Imbalance</w:t>
            </w:r>
          </w:p>
          <w:p w14:paraId="5D513D67" w14:textId="77777777" w:rsidR="00F0172F" w:rsidRPr="005D51A1" w:rsidRDefault="00F0172F" w:rsidP="00F0172F">
            <w:pPr>
              <w:spacing w:line="240" w:lineRule="auto"/>
              <w:jc w:val="center"/>
              <w:rPr>
                <w:sz w:val="20"/>
                <w:szCs w:val="20"/>
              </w:rPr>
            </w:pPr>
            <w:r w:rsidRPr="005D51A1">
              <w:rPr>
                <w:sz w:val="20"/>
                <w:szCs w:val="20"/>
              </w:rPr>
              <w:t>Price</w:t>
            </w:r>
          </w:p>
          <w:p w14:paraId="67C97D01" w14:textId="10AD8EF5" w:rsidR="00F0172F" w:rsidRPr="005D51A1" w:rsidRDefault="00F0172F" w:rsidP="00F0172F">
            <w:pPr>
              <w:spacing w:line="240" w:lineRule="auto"/>
              <w:jc w:val="center"/>
              <w:rPr>
                <w:noProof w:val="0"/>
                <w:color w:val="auto"/>
                <w:sz w:val="20"/>
                <w:szCs w:val="20"/>
              </w:rPr>
            </w:pPr>
            <w:r w:rsidRPr="005D51A1">
              <w:rPr>
                <w:sz w:val="20"/>
                <w:szCs w:val="20"/>
              </w:rPr>
              <w:t>(€/MWh)</w:t>
            </w:r>
          </w:p>
        </w:tc>
      </w:tr>
      <w:tr w:rsidR="00F0172F" w:rsidRPr="00F0172F" w14:paraId="2182A0DB" w14:textId="77777777" w:rsidTr="00F0172F">
        <w:tc>
          <w:tcPr>
            <w:tcW w:w="1308" w:type="dxa"/>
            <w:tcBorders>
              <w:top w:val="single" w:sz="4" w:space="0" w:color="auto"/>
            </w:tcBorders>
          </w:tcPr>
          <w:p w14:paraId="615A7E41" w14:textId="6D520E1D" w:rsidR="00F0172F" w:rsidRPr="005D51A1" w:rsidRDefault="00F0172F" w:rsidP="00F0172F">
            <w:pPr>
              <w:spacing w:line="240" w:lineRule="auto"/>
              <w:jc w:val="center"/>
              <w:rPr>
                <w:noProof w:val="0"/>
                <w:color w:val="auto"/>
                <w:sz w:val="20"/>
                <w:szCs w:val="20"/>
              </w:rPr>
            </w:pPr>
            <w:r w:rsidRPr="005D51A1">
              <w:rPr>
                <w:sz w:val="20"/>
                <w:szCs w:val="20"/>
              </w:rPr>
              <w:t>Min</w:t>
            </w:r>
          </w:p>
        </w:tc>
        <w:tc>
          <w:tcPr>
            <w:tcW w:w="1308" w:type="dxa"/>
            <w:tcBorders>
              <w:top w:val="single" w:sz="4" w:space="0" w:color="auto"/>
            </w:tcBorders>
            <w:vAlign w:val="center"/>
          </w:tcPr>
          <w:p w14:paraId="67AA76DA" w14:textId="7FF468D1" w:rsidR="00F0172F" w:rsidRPr="005D51A1" w:rsidRDefault="00F0172F" w:rsidP="00F0172F">
            <w:pPr>
              <w:spacing w:line="240" w:lineRule="auto"/>
              <w:jc w:val="center"/>
              <w:rPr>
                <w:noProof w:val="0"/>
                <w:color w:val="auto"/>
                <w:sz w:val="20"/>
                <w:szCs w:val="20"/>
              </w:rPr>
            </w:pPr>
            <w:r w:rsidRPr="005D51A1">
              <w:rPr>
                <w:sz w:val="20"/>
                <w:szCs w:val="20"/>
              </w:rPr>
              <w:t>0.00</w:t>
            </w:r>
          </w:p>
        </w:tc>
        <w:tc>
          <w:tcPr>
            <w:tcW w:w="1308" w:type="dxa"/>
            <w:tcBorders>
              <w:top w:val="single" w:sz="4" w:space="0" w:color="auto"/>
            </w:tcBorders>
            <w:vAlign w:val="center"/>
          </w:tcPr>
          <w:p w14:paraId="119E70F9" w14:textId="5E66048C" w:rsidR="00F0172F" w:rsidRPr="005D51A1" w:rsidRDefault="00F0172F" w:rsidP="00F0172F">
            <w:pPr>
              <w:spacing w:line="240" w:lineRule="auto"/>
              <w:jc w:val="center"/>
              <w:rPr>
                <w:noProof w:val="0"/>
                <w:color w:val="auto"/>
                <w:sz w:val="20"/>
                <w:szCs w:val="20"/>
              </w:rPr>
            </w:pPr>
            <w:r w:rsidRPr="005D51A1">
              <w:rPr>
                <w:sz w:val="20"/>
                <w:szCs w:val="20"/>
              </w:rPr>
              <w:t>0.00</w:t>
            </w:r>
          </w:p>
        </w:tc>
        <w:tc>
          <w:tcPr>
            <w:tcW w:w="1309" w:type="dxa"/>
            <w:tcBorders>
              <w:top w:val="single" w:sz="4" w:space="0" w:color="auto"/>
            </w:tcBorders>
            <w:vAlign w:val="center"/>
          </w:tcPr>
          <w:p w14:paraId="0660C9E4" w14:textId="0AC95AFC" w:rsidR="00F0172F" w:rsidRPr="005D51A1" w:rsidRDefault="00F0172F" w:rsidP="00F0172F">
            <w:pPr>
              <w:spacing w:line="240" w:lineRule="auto"/>
              <w:jc w:val="center"/>
              <w:rPr>
                <w:noProof w:val="0"/>
                <w:color w:val="auto"/>
                <w:sz w:val="20"/>
                <w:szCs w:val="20"/>
              </w:rPr>
            </w:pPr>
            <w:r w:rsidRPr="005D51A1">
              <w:rPr>
                <w:sz w:val="20"/>
                <w:szCs w:val="20"/>
              </w:rPr>
              <w:t>0.00</w:t>
            </w:r>
          </w:p>
        </w:tc>
        <w:tc>
          <w:tcPr>
            <w:tcW w:w="1308" w:type="dxa"/>
            <w:tcBorders>
              <w:top w:val="single" w:sz="4" w:space="0" w:color="auto"/>
            </w:tcBorders>
            <w:vAlign w:val="center"/>
          </w:tcPr>
          <w:p w14:paraId="4A2DE39A" w14:textId="69B42D24" w:rsidR="00F0172F" w:rsidRPr="005D51A1" w:rsidRDefault="00F0172F" w:rsidP="00F0172F">
            <w:pPr>
              <w:spacing w:line="240" w:lineRule="auto"/>
              <w:jc w:val="center"/>
              <w:rPr>
                <w:noProof w:val="0"/>
                <w:color w:val="auto"/>
                <w:sz w:val="20"/>
                <w:szCs w:val="20"/>
              </w:rPr>
            </w:pPr>
            <w:r w:rsidRPr="005D51A1">
              <w:rPr>
                <w:sz w:val="20"/>
                <w:szCs w:val="20"/>
              </w:rPr>
              <w:t>0.00</w:t>
            </w:r>
          </w:p>
        </w:tc>
        <w:tc>
          <w:tcPr>
            <w:tcW w:w="1308" w:type="dxa"/>
            <w:tcBorders>
              <w:top w:val="single" w:sz="4" w:space="0" w:color="auto"/>
            </w:tcBorders>
            <w:vAlign w:val="center"/>
          </w:tcPr>
          <w:p w14:paraId="5D81787D" w14:textId="4034B5BD" w:rsidR="00F0172F" w:rsidRPr="005D51A1" w:rsidRDefault="00F0172F" w:rsidP="00F0172F">
            <w:pPr>
              <w:spacing w:line="240" w:lineRule="auto"/>
              <w:jc w:val="center"/>
              <w:rPr>
                <w:noProof w:val="0"/>
                <w:color w:val="auto"/>
                <w:sz w:val="20"/>
                <w:szCs w:val="20"/>
              </w:rPr>
            </w:pPr>
            <w:r w:rsidRPr="005D51A1">
              <w:rPr>
                <w:sz w:val="20"/>
                <w:szCs w:val="20"/>
              </w:rPr>
              <w:t>0.00</w:t>
            </w:r>
          </w:p>
        </w:tc>
        <w:tc>
          <w:tcPr>
            <w:tcW w:w="1308" w:type="dxa"/>
            <w:tcBorders>
              <w:top w:val="single" w:sz="4" w:space="0" w:color="auto"/>
            </w:tcBorders>
            <w:vAlign w:val="center"/>
          </w:tcPr>
          <w:p w14:paraId="4AF842AE" w14:textId="412CF092" w:rsidR="00F0172F" w:rsidRPr="005D51A1" w:rsidRDefault="00F0172F" w:rsidP="00F0172F">
            <w:pPr>
              <w:spacing w:line="240" w:lineRule="auto"/>
              <w:jc w:val="center"/>
              <w:rPr>
                <w:noProof w:val="0"/>
                <w:color w:val="auto"/>
                <w:sz w:val="20"/>
                <w:szCs w:val="20"/>
              </w:rPr>
            </w:pPr>
            <w:r w:rsidRPr="005D51A1">
              <w:rPr>
                <w:sz w:val="20"/>
                <w:szCs w:val="20"/>
              </w:rPr>
              <w:t>-289.51</w:t>
            </w:r>
          </w:p>
        </w:tc>
        <w:tc>
          <w:tcPr>
            <w:tcW w:w="1309" w:type="dxa"/>
            <w:tcBorders>
              <w:top w:val="single" w:sz="4" w:space="0" w:color="auto"/>
            </w:tcBorders>
            <w:vAlign w:val="center"/>
          </w:tcPr>
          <w:p w14:paraId="3122DCF0" w14:textId="7415F3DE" w:rsidR="00F0172F" w:rsidRPr="005D51A1" w:rsidRDefault="00F0172F" w:rsidP="00F0172F">
            <w:pPr>
              <w:spacing w:line="240" w:lineRule="auto"/>
              <w:jc w:val="center"/>
              <w:rPr>
                <w:noProof w:val="0"/>
                <w:color w:val="auto"/>
                <w:sz w:val="20"/>
                <w:szCs w:val="20"/>
              </w:rPr>
            </w:pPr>
            <w:r w:rsidRPr="005D51A1">
              <w:rPr>
                <w:sz w:val="20"/>
                <w:szCs w:val="20"/>
              </w:rPr>
              <w:t>-160.44</w:t>
            </w:r>
          </w:p>
        </w:tc>
      </w:tr>
      <w:tr w:rsidR="00F0172F" w:rsidRPr="00F0172F" w14:paraId="73E97656" w14:textId="77777777" w:rsidTr="00F0172F">
        <w:tc>
          <w:tcPr>
            <w:tcW w:w="1308" w:type="dxa"/>
          </w:tcPr>
          <w:p w14:paraId="2B61B7D8" w14:textId="09397BE5" w:rsidR="00F0172F" w:rsidRPr="005D51A1" w:rsidRDefault="00F0172F" w:rsidP="00F0172F">
            <w:pPr>
              <w:spacing w:line="240" w:lineRule="auto"/>
              <w:jc w:val="center"/>
              <w:rPr>
                <w:noProof w:val="0"/>
                <w:color w:val="auto"/>
                <w:sz w:val="20"/>
                <w:szCs w:val="20"/>
              </w:rPr>
            </w:pPr>
            <w:r w:rsidRPr="005D51A1">
              <w:rPr>
                <w:sz w:val="20"/>
                <w:szCs w:val="20"/>
              </w:rPr>
              <w:t>Max</w:t>
            </w:r>
          </w:p>
        </w:tc>
        <w:tc>
          <w:tcPr>
            <w:tcW w:w="1308" w:type="dxa"/>
          </w:tcPr>
          <w:p w14:paraId="5ED69B7B" w14:textId="7D52B78F" w:rsidR="00F0172F" w:rsidRPr="005D51A1" w:rsidRDefault="00F0172F" w:rsidP="00F0172F">
            <w:pPr>
              <w:spacing w:line="240" w:lineRule="auto"/>
              <w:jc w:val="center"/>
              <w:rPr>
                <w:noProof w:val="0"/>
                <w:color w:val="auto"/>
                <w:sz w:val="20"/>
                <w:szCs w:val="20"/>
              </w:rPr>
            </w:pPr>
            <w:r w:rsidRPr="005D51A1">
              <w:rPr>
                <w:sz w:val="20"/>
                <w:szCs w:val="20"/>
              </w:rPr>
              <w:t>180.30</w:t>
            </w:r>
          </w:p>
        </w:tc>
        <w:tc>
          <w:tcPr>
            <w:tcW w:w="1308" w:type="dxa"/>
          </w:tcPr>
          <w:p w14:paraId="6A17987F" w14:textId="6958F211" w:rsidR="00F0172F" w:rsidRPr="005D51A1" w:rsidRDefault="00F0172F" w:rsidP="00F0172F">
            <w:pPr>
              <w:spacing w:line="240" w:lineRule="auto"/>
              <w:jc w:val="center"/>
              <w:rPr>
                <w:noProof w:val="0"/>
                <w:color w:val="auto"/>
                <w:sz w:val="20"/>
                <w:szCs w:val="20"/>
              </w:rPr>
            </w:pPr>
            <w:r w:rsidRPr="005D51A1">
              <w:rPr>
                <w:sz w:val="20"/>
                <w:szCs w:val="20"/>
              </w:rPr>
              <w:t>112.05</w:t>
            </w:r>
          </w:p>
        </w:tc>
        <w:tc>
          <w:tcPr>
            <w:tcW w:w="1309" w:type="dxa"/>
          </w:tcPr>
          <w:p w14:paraId="26421FAC" w14:textId="144B5F9A" w:rsidR="00F0172F" w:rsidRPr="005D51A1" w:rsidRDefault="00F0172F" w:rsidP="00F0172F">
            <w:pPr>
              <w:spacing w:line="240" w:lineRule="auto"/>
              <w:jc w:val="center"/>
              <w:rPr>
                <w:noProof w:val="0"/>
                <w:color w:val="auto"/>
                <w:sz w:val="20"/>
                <w:szCs w:val="20"/>
              </w:rPr>
            </w:pPr>
            <w:r w:rsidRPr="005D51A1">
              <w:rPr>
                <w:sz w:val="20"/>
                <w:szCs w:val="20"/>
              </w:rPr>
              <w:t>180.30</w:t>
            </w:r>
          </w:p>
        </w:tc>
        <w:tc>
          <w:tcPr>
            <w:tcW w:w="1308" w:type="dxa"/>
          </w:tcPr>
          <w:p w14:paraId="51C5D3AA" w14:textId="2A9F603A" w:rsidR="00F0172F" w:rsidRPr="005D51A1" w:rsidRDefault="00F0172F" w:rsidP="00F0172F">
            <w:pPr>
              <w:spacing w:line="240" w:lineRule="auto"/>
              <w:jc w:val="center"/>
              <w:rPr>
                <w:noProof w:val="0"/>
                <w:color w:val="auto"/>
                <w:sz w:val="20"/>
                <w:szCs w:val="20"/>
              </w:rPr>
            </w:pPr>
            <w:r w:rsidRPr="005D51A1">
              <w:rPr>
                <w:sz w:val="20"/>
                <w:szCs w:val="20"/>
              </w:rPr>
              <w:t>181.00</w:t>
            </w:r>
          </w:p>
        </w:tc>
        <w:tc>
          <w:tcPr>
            <w:tcW w:w="1308" w:type="dxa"/>
          </w:tcPr>
          <w:p w14:paraId="2D55F3DB" w14:textId="3F3B5D46" w:rsidR="00F0172F" w:rsidRPr="005D51A1" w:rsidRDefault="00F0172F" w:rsidP="00F0172F">
            <w:pPr>
              <w:spacing w:line="240" w:lineRule="auto"/>
              <w:jc w:val="center"/>
              <w:rPr>
                <w:noProof w:val="0"/>
                <w:color w:val="auto"/>
                <w:sz w:val="20"/>
                <w:szCs w:val="20"/>
              </w:rPr>
            </w:pPr>
            <w:r w:rsidRPr="005D51A1">
              <w:rPr>
                <w:sz w:val="20"/>
                <w:szCs w:val="20"/>
              </w:rPr>
              <w:t>100.00</w:t>
            </w:r>
          </w:p>
        </w:tc>
        <w:tc>
          <w:tcPr>
            <w:tcW w:w="1308" w:type="dxa"/>
          </w:tcPr>
          <w:p w14:paraId="5578DCE4" w14:textId="637615DA" w:rsidR="00F0172F" w:rsidRPr="005D51A1" w:rsidRDefault="00F0172F" w:rsidP="00F0172F">
            <w:pPr>
              <w:spacing w:line="240" w:lineRule="auto"/>
              <w:jc w:val="center"/>
              <w:rPr>
                <w:noProof w:val="0"/>
                <w:color w:val="auto"/>
                <w:sz w:val="20"/>
                <w:szCs w:val="20"/>
              </w:rPr>
            </w:pPr>
            <w:r w:rsidRPr="005D51A1">
              <w:rPr>
                <w:sz w:val="20"/>
                <w:szCs w:val="20"/>
              </w:rPr>
              <w:t>225.10</w:t>
            </w:r>
          </w:p>
        </w:tc>
        <w:tc>
          <w:tcPr>
            <w:tcW w:w="1309" w:type="dxa"/>
          </w:tcPr>
          <w:p w14:paraId="18BF09D9" w14:textId="44313AB7" w:rsidR="00F0172F" w:rsidRPr="005D51A1" w:rsidRDefault="00F0172F" w:rsidP="00F0172F">
            <w:pPr>
              <w:spacing w:line="240" w:lineRule="auto"/>
              <w:jc w:val="center"/>
              <w:rPr>
                <w:noProof w:val="0"/>
                <w:color w:val="auto"/>
                <w:sz w:val="20"/>
                <w:szCs w:val="20"/>
              </w:rPr>
            </w:pPr>
            <w:r w:rsidRPr="005D51A1">
              <w:rPr>
                <w:sz w:val="20"/>
                <w:szCs w:val="20"/>
              </w:rPr>
              <w:t>381.01</w:t>
            </w:r>
          </w:p>
        </w:tc>
      </w:tr>
      <w:tr w:rsidR="00F0172F" w:rsidRPr="00F0172F" w14:paraId="28FB715E" w14:textId="77777777" w:rsidTr="00F0172F">
        <w:tc>
          <w:tcPr>
            <w:tcW w:w="1308" w:type="dxa"/>
          </w:tcPr>
          <w:p w14:paraId="5E6DBD66" w14:textId="2FA65540" w:rsidR="00F0172F" w:rsidRPr="005D51A1" w:rsidRDefault="00F0172F" w:rsidP="00F0172F">
            <w:pPr>
              <w:spacing w:line="240" w:lineRule="auto"/>
              <w:jc w:val="center"/>
              <w:rPr>
                <w:noProof w:val="0"/>
                <w:color w:val="auto"/>
                <w:sz w:val="20"/>
                <w:szCs w:val="20"/>
              </w:rPr>
            </w:pPr>
            <w:r w:rsidRPr="005D51A1">
              <w:rPr>
                <w:sz w:val="20"/>
                <w:szCs w:val="20"/>
              </w:rPr>
              <w:t>Median</w:t>
            </w:r>
          </w:p>
        </w:tc>
        <w:tc>
          <w:tcPr>
            <w:tcW w:w="1308" w:type="dxa"/>
          </w:tcPr>
          <w:p w14:paraId="3307CB25" w14:textId="1B2138C4" w:rsidR="00F0172F" w:rsidRPr="005D51A1" w:rsidRDefault="00F0172F" w:rsidP="00F0172F">
            <w:pPr>
              <w:spacing w:line="240" w:lineRule="auto"/>
              <w:jc w:val="center"/>
              <w:rPr>
                <w:noProof w:val="0"/>
                <w:color w:val="auto"/>
                <w:sz w:val="20"/>
                <w:szCs w:val="20"/>
              </w:rPr>
            </w:pPr>
            <w:r w:rsidRPr="005D51A1">
              <w:rPr>
                <w:sz w:val="20"/>
                <w:szCs w:val="20"/>
              </w:rPr>
              <w:t>38.18</w:t>
            </w:r>
          </w:p>
        </w:tc>
        <w:tc>
          <w:tcPr>
            <w:tcW w:w="1308" w:type="dxa"/>
          </w:tcPr>
          <w:p w14:paraId="4D092328" w14:textId="648B79BD" w:rsidR="00F0172F" w:rsidRPr="005D51A1" w:rsidRDefault="00F0172F" w:rsidP="00F0172F">
            <w:pPr>
              <w:spacing w:line="240" w:lineRule="auto"/>
              <w:jc w:val="center"/>
              <w:rPr>
                <w:noProof w:val="0"/>
                <w:color w:val="auto"/>
                <w:sz w:val="20"/>
                <w:szCs w:val="20"/>
              </w:rPr>
            </w:pPr>
            <w:r w:rsidRPr="005D51A1">
              <w:rPr>
                <w:sz w:val="20"/>
                <w:szCs w:val="20"/>
              </w:rPr>
              <w:t>36.52</w:t>
            </w:r>
          </w:p>
        </w:tc>
        <w:tc>
          <w:tcPr>
            <w:tcW w:w="1309" w:type="dxa"/>
          </w:tcPr>
          <w:p w14:paraId="729691C4" w14:textId="55CA2CE3" w:rsidR="00F0172F" w:rsidRPr="005D51A1" w:rsidRDefault="00F0172F" w:rsidP="00F0172F">
            <w:pPr>
              <w:spacing w:line="240" w:lineRule="auto"/>
              <w:jc w:val="center"/>
              <w:rPr>
                <w:noProof w:val="0"/>
                <w:color w:val="auto"/>
                <w:sz w:val="20"/>
                <w:szCs w:val="20"/>
              </w:rPr>
            </w:pPr>
            <w:r w:rsidRPr="005D51A1">
              <w:rPr>
                <w:sz w:val="20"/>
                <w:szCs w:val="20"/>
              </w:rPr>
              <w:t>22.57</w:t>
            </w:r>
          </w:p>
        </w:tc>
        <w:tc>
          <w:tcPr>
            <w:tcW w:w="1308" w:type="dxa"/>
          </w:tcPr>
          <w:p w14:paraId="1562FD0C" w14:textId="4828E984" w:rsidR="00F0172F" w:rsidRPr="005D51A1" w:rsidRDefault="00F0172F" w:rsidP="00F0172F">
            <w:pPr>
              <w:spacing w:line="240" w:lineRule="auto"/>
              <w:jc w:val="center"/>
              <w:rPr>
                <w:noProof w:val="0"/>
                <w:color w:val="auto"/>
                <w:sz w:val="20"/>
                <w:szCs w:val="20"/>
              </w:rPr>
            </w:pPr>
            <w:r w:rsidRPr="005D51A1">
              <w:rPr>
                <w:sz w:val="20"/>
                <w:szCs w:val="20"/>
              </w:rPr>
              <w:t>43.20</w:t>
            </w:r>
          </w:p>
        </w:tc>
        <w:tc>
          <w:tcPr>
            <w:tcW w:w="1308" w:type="dxa"/>
          </w:tcPr>
          <w:p w14:paraId="11927E1E" w14:textId="649339C1" w:rsidR="00F0172F" w:rsidRPr="005D51A1" w:rsidRDefault="00F0172F" w:rsidP="00F0172F">
            <w:pPr>
              <w:spacing w:line="240" w:lineRule="auto"/>
              <w:jc w:val="center"/>
              <w:rPr>
                <w:noProof w:val="0"/>
                <w:color w:val="auto"/>
                <w:sz w:val="20"/>
                <w:szCs w:val="20"/>
              </w:rPr>
            </w:pPr>
            <w:r w:rsidRPr="005D51A1">
              <w:rPr>
                <w:sz w:val="20"/>
                <w:szCs w:val="20"/>
              </w:rPr>
              <w:t>23.00</w:t>
            </w:r>
          </w:p>
        </w:tc>
        <w:tc>
          <w:tcPr>
            <w:tcW w:w="1308" w:type="dxa"/>
          </w:tcPr>
          <w:p w14:paraId="3BFD06B0" w14:textId="7F1B81EB" w:rsidR="00F0172F" w:rsidRPr="005D51A1" w:rsidRDefault="00F0172F" w:rsidP="00F0172F">
            <w:pPr>
              <w:spacing w:line="240" w:lineRule="auto"/>
              <w:jc w:val="center"/>
              <w:rPr>
                <w:noProof w:val="0"/>
                <w:color w:val="auto"/>
                <w:sz w:val="20"/>
                <w:szCs w:val="20"/>
              </w:rPr>
            </w:pPr>
            <w:r w:rsidRPr="005D51A1">
              <w:rPr>
                <w:sz w:val="20"/>
                <w:szCs w:val="20"/>
              </w:rPr>
              <w:t>25.86</w:t>
            </w:r>
          </w:p>
        </w:tc>
        <w:tc>
          <w:tcPr>
            <w:tcW w:w="1309" w:type="dxa"/>
          </w:tcPr>
          <w:p w14:paraId="74F653D8" w14:textId="5D540849" w:rsidR="00F0172F" w:rsidRPr="005D51A1" w:rsidRDefault="00F0172F" w:rsidP="00F0172F">
            <w:pPr>
              <w:spacing w:line="240" w:lineRule="auto"/>
              <w:jc w:val="center"/>
              <w:rPr>
                <w:noProof w:val="0"/>
                <w:color w:val="auto"/>
                <w:sz w:val="20"/>
                <w:szCs w:val="20"/>
              </w:rPr>
            </w:pPr>
            <w:r w:rsidRPr="005D51A1">
              <w:rPr>
                <w:sz w:val="20"/>
                <w:szCs w:val="20"/>
              </w:rPr>
              <w:t>49.23</w:t>
            </w:r>
          </w:p>
        </w:tc>
      </w:tr>
      <w:tr w:rsidR="00F0172F" w:rsidRPr="00F0172F" w14:paraId="614F9506" w14:textId="77777777" w:rsidTr="00F0172F">
        <w:tc>
          <w:tcPr>
            <w:tcW w:w="1308" w:type="dxa"/>
          </w:tcPr>
          <w:p w14:paraId="5138EC34" w14:textId="7BCEB25B" w:rsidR="00F0172F" w:rsidRPr="005D51A1" w:rsidRDefault="00F0172F" w:rsidP="00F0172F">
            <w:pPr>
              <w:spacing w:line="240" w:lineRule="auto"/>
              <w:jc w:val="center"/>
              <w:rPr>
                <w:noProof w:val="0"/>
                <w:color w:val="auto"/>
                <w:sz w:val="20"/>
                <w:szCs w:val="20"/>
              </w:rPr>
            </w:pPr>
            <w:r w:rsidRPr="005D51A1">
              <w:rPr>
                <w:sz w:val="20"/>
                <w:szCs w:val="20"/>
              </w:rPr>
              <w:t>Mean</w:t>
            </w:r>
          </w:p>
        </w:tc>
        <w:tc>
          <w:tcPr>
            <w:tcW w:w="1308" w:type="dxa"/>
          </w:tcPr>
          <w:p w14:paraId="0FCA648E" w14:textId="439D4518" w:rsidR="00F0172F" w:rsidRPr="005D51A1" w:rsidRDefault="00F0172F" w:rsidP="00F0172F">
            <w:pPr>
              <w:spacing w:line="240" w:lineRule="auto"/>
              <w:jc w:val="center"/>
              <w:rPr>
                <w:noProof w:val="0"/>
                <w:color w:val="auto"/>
                <w:sz w:val="20"/>
                <w:szCs w:val="20"/>
              </w:rPr>
            </w:pPr>
            <w:r w:rsidRPr="005D51A1">
              <w:rPr>
                <w:sz w:val="20"/>
                <w:szCs w:val="20"/>
              </w:rPr>
              <w:t>37.30</w:t>
            </w:r>
          </w:p>
        </w:tc>
        <w:tc>
          <w:tcPr>
            <w:tcW w:w="1308" w:type="dxa"/>
          </w:tcPr>
          <w:p w14:paraId="62805102" w14:textId="03708343" w:rsidR="00F0172F" w:rsidRPr="005D51A1" w:rsidRDefault="00F0172F" w:rsidP="00F0172F">
            <w:pPr>
              <w:spacing w:line="240" w:lineRule="auto"/>
              <w:jc w:val="center"/>
              <w:rPr>
                <w:noProof w:val="0"/>
                <w:color w:val="auto"/>
                <w:sz w:val="20"/>
                <w:szCs w:val="20"/>
              </w:rPr>
            </w:pPr>
            <w:r w:rsidRPr="005D51A1">
              <w:rPr>
                <w:sz w:val="20"/>
                <w:szCs w:val="20"/>
              </w:rPr>
              <w:t>35.09</w:t>
            </w:r>
          </w:p>
        </w:tc>
        <w:tc>
          <w:tcPr>
            <w:tcW w:w="1309" w:type="dxa"/>
          </w:tcPr>
          <w:p w14:paraId="6FB0A71F" w14:textId="0E685724" w:rsidR="00F0172F" w:rsidRPr="005D51A1" w:rsidRDefault="00F0172F" w:rsidP="00F0172F">
            <w:pPr>
              <w:spacing w:line="240" w:lineRule="auto"/>
              <w:jc w:val="center"/>
              <w:rPr>
                <w:noProof w:val="0"/>
                <w:color w:val="auto"/>
                <w:sz w:val="20"/>
                <w:szCs w:val="20"/>
              </w:rPr>
            </w:pPr>
            <w:r w:rsidRPr="005D51A1">
              <w:rPr>
                <w:sz w:val="20"/>
                <w:szCs w:val="20"/>
              </w:rPr>
              <w:t>27.12</w:t>
            </w:r>
          </w:p>
        </w:tc>
        <w:tc>
          <w:tcPr>
            <w:tcW w:w="1308" w:type="dxa"/>
          </w:tcPr>
          <w:p w14:paraId="67083197" w14:textId="53E3C396" w:rsidR="00F0172F" w:rsidRPr="005D51A1" w:rsidRDefault="00F0172F" w:rsidP="00F0172F">
            <w:pPr>
              <w:spacing w:line="240" w:lineRule="auto"/>
              <w:jc w:val="center"/>
              <w:rPr>
                <w:noProof w:val="0"/>
                <w:color w:val="auto"/>
                <w:sz w:val="20"/>
                <w:szCs w:val="20"/>
              </w:rPr>
            </w:pPr>
            <w:r w:rsidRPr="005D51A1">
              <w:rPr>
                <w:sz w:val="20"/>
                <w:szCs w:val="20"/>
              </w:rPr>
              <w:t>42.40</w:t>
            </w:r>
          </w:p>
        </w:tc>
        <w:tc>
          <w:tcPr>
            <w:tcW w:w="1308" w:type="dxa"/>
          </w:tcPr>
          <w:p w14:paraId="40636C43" w14:textId="63D34495" w:rsidR="00F0172F" w:rsidRPr="005D51A1" w:rsidRDefault="00F0172F" w:rsidP="00F0172F">
            <w:pPr>
              <w:spacing w:line="240" w:lineRule="auto"/>
              <w:jc w:val="center"/>
              <w:rPr>
                <w:noProof w:val="0"/>
                <w:color w:val="auto"/>
                <w:sz w:val="20"/>
                <w:szCs w:val="20"/>
              </w:rPr>
            </w:pPr>
            <w:r w:rsidRPr="005D51A1">
              <w:rPr>
                <w:sz w:val="20"/>
                <w:szCs w:val="20"/>
              </w:rPr>
              <w:t>20.15</w:t>
            </w:r>
          </w:p>
        </w:tc>
        <w:tc>
          <w:tcPr>
            <w:tcW w:w="1308" w:type="dxa"/>
          </w:tcPr>
          <w:p w14:paraId="413D0A3A" w14:textId="3AFAE1F8" w:rsidR="00F0172F" w:rsidRPr="005D51A1" w:rsidRDefault="00F0172F" w:rsidP="00F0172F">
            <w:pPr>
              <w:spacing w:line="240" w:lineRule="auto"/>
              <w:jc w:val="center"/>
              <w:rPr>
                <w:noProof w:val="0"/>
                <w:color w:val="auto"/>
                <w:sz w:val="20"/>
                <w:szCs w:val="20"/>
              </w:rPr>
            </w:pPr>
            <w:r w:rsidRPr="005D51A1">
              <w:rPr>
                <w:sz w:val="20"/>
                <w:szCs w:val="20"/>
              </w:rPr>
              <w:t>22.74</w:t>
            </w:r>
          </w:p>
        </w:tc>
        <w:tc>
          <w:tcPr>
            <w:tcW w:w="1309" w:type="dxa"/>
          </w:tcPr>
          <w:p w14:paraId="5DBE1C46" w14:textId="45BBB8C4" w:rsidR="00F0172F" w:rsidRPr="005D51A1" w:rsidRDefault="00F0172F" w:rsidP="00F0172F">
            <w:pPr>
              <w:spacing w:line="240" w:lineRule="auto"/>
              <w:jc w:val="center"/>
              <w:rPr>
                <w:noProof w:val="0"/>
                <w:color w:val="auto"/>
                <w:sz w:val="20"/>
                <w:szCs w:val="20"/>
              </w:rPr>
            </w:pPr>
            <w:r w:rsidRPr="005D51A1">
              <w:rPr>
                <w:sz w:val="20"/>
                <w:szCs w:val="20"/>
              </w:rPr>
              <w:t>51.82</w:t>
            </w:r>
          </w:p>
        </w:tc>
      </w:tr>
      <w:tr w:rsidR="00F0172F" w:rsidRPr="00F0172F" w14:paraId="0F15B20B" w14:textId="77777777" w:rsidTr="00F0172F">
        <w:tc>
          <w:tcPr>
            <w:tcW w:w="1308" w:type="dxa"/>
            <w:tcBorders>
              <w:bottom w:val="thinThickSmallGap" w:sz="12" w:space="0" w:color="auto"/>
            </w:tcBorders>
          </w:tcPr>
          <w:p w14:paraId="45150117" w14:textId="4DAC1098" w:rsidR="00F0172F" w:rsidRPr="005D51A1" w:rsidRDefault="00F0172F" w:rsidP="00F0172F">
            <w:pPr>
              <w:spacing w:line="240" w:lineRule="auto"/>
              <w:jc w:val="center"/>
              <w:rPr>
                <w:noProof w:val="0"/>
                <w:color w:val="auto"/>
                <w:sz w:val="20"/>
                <w:szCs w:val="20"/>
              </w:rPr>
            </w:pPr>
            <w:r w:rsidRPr="005D51A1">
              <w:rPr>
                <w:sz w:val="20"/>
                <w:szCs w:val="20"/>
              </w:rPr>
              <w:t>SD</w:t>
            </w:r>
          </w:p>
        </w:tc>
        <w:tc>
          <w:tcPr>
            <w:tcW w:w="1308" w:type="dxa"/>
            <w:tcBorders>
              <w:bottom w:val="thinThickSmallGap" w:sz="12" w:space="0" w:color="auto"/>
            </w:tcBorders>
          </w:tcPr>
          <w:p w14:paraId="51D79723" w14:textId="5D056571" w:rsidR="00F0172F" w:rsidRPr="005D51A1" w:rsidRDefault="00F0172F" w:rsidP="00F0172F">
            <w:pPr>
              <w:spacing w:line="240" w:lineRule="auto"/>
              <w:jc w:val="center"/>
              <w:rPr>
                <w:noProof w:val="0"/>
                <w:color w:val="auto"/>
                <w:sz w:val="20"/>
                <w:szCs w:val="20"/>
              </w:rPr>
            </w:pPr>
            <w:r w:rsidRPr="005D51A1">
              <w:rPr>
                <w:sz w:val="20"/>
                <w:szCs w:val="20"/>
              </w:rPr>
              <w:t>12.17</w:t>
            </w:r>
          </w:p>
        </w:tc>
        <w:tc>
          <w:tcPr>
            <w:tcW w:w="1308" w:type="dxa"/>
            <w:tcBorders>
              <w:bottom w:val="thinThickSmallGap" w:sz="12" w:space="0" w:color="auto"/>
            </w:tcBorders>
          </w:tcPr>
          <w:p w14:paraId="56CDF401" w14:textId="3311922B" w:rsidR="00F0172F" w:rsidRPr="005D51A1" w:rsidRDefault="00F0172F" w:rsidP="00F0172F">
            <w:pPr>
              <w:spacing w:line="240" w:lineRule="auto"/>
              <w:jc w:val="center"/>
              <w:rPr>
                <w:noProof w:val="0"/>
                <w:color w:val="auto"/>
                <w:sz w:val="20"/>
                <w:szCs w:val="20"/>
              </w:rPr>
            </w:pPr>
            <w:r w:rsidRPr="005D51A1">
              <w:rPr>
                <w:sz w:val="20"/>
                <w:szCs w:val="20"/>
              </w:rPr>
              <w:t>12.62</w:t>
            </w:r>
          </w:p>
        </w:tc>
        <w:tc>
          <w:tcPr>
            <w:tcW w:w="1309" w:type="dxa"/>
            <w:tcBorders>
              <w:bottom w:val="thinThickSmallGap" w:sz="12" w:space="0" w:color="auto"/>
            </w:tcBorders>
          </w:tcPr>
          <w:p w14:paraId="36169F7C" w14:textId="44214799" w:rsidR="00F0172F" w:rsidRPr="005D51A1" w:rsidRDefault="00F0172F" w:rsidP="00F0172F">
            <w:pPr>
              <w:spacing w:line="240" w:lineRule="auto"/>
              <w:jc w:val="center"/>
              <w:rPr>
                <w:noProof w:val="0"/>
                <w:color w:val="auto"/>
                <w:sz w:val="20"/>
                <w:szCs w:val="20"/>
              </w:rPr>
            </w:pPr>
            <w:r w:rsidRPr="005D51A1">
              <w:rPr>
                <w:sz w:val="20"/>
                <w:szCs w:val="20"/>
              </w:rPr>
              <w:t>14.54</w:t>
            </w:r>
          </w:p>
        </w:tc>
        <w:tc>
          <w:tcPr>
            <w:tcW w:w="1308" w:type="dxa"/>
            <w:tcBorders>
              <w:bottom w:val="thinThickSmallGap" w:sz="12" w:space="0" w:color="auto"/>
            </w:tcBorders>
          </w:tcPr>
          <w:p w14:paraId="1CF118B6" w14:textId="4BC49977" w:rsidR="00F0172F" w:rsidRPr="005D51A1" w:rsidRDefault="00F0172F" w:rsidP="00F0172F">
            <w:pPr>
              <w:spacing w:line="240" w:lineRule="auto"/>
              <w:jc w:val="center"/>
              <w:rPr>
                <w:noProof w:val="0"/>
                <w:color w:val="auto"/>
                <w:sz w:val="20"/>
                <w:szCs w:val="20"/>
              </w:rPr>
            </w:pPr>
            <w:r w:rsidRPr="005D51A1">
              <w:rPr>
                <w:sz w:val="20"/>
                <w:szCs w:val="20"/>
              </w:rPr>
              <w:t>19.66</w:t>
            </w:r>
          </w:p>
        </w:tc>
        <w:tc>
          <w:tcPr>
            <w:tcW w:w="1308" w:type="dxa"/>
            <w:tcBorders>
              <w:bottom w:val="thinThickSmallGap" w:sz="12" w:space="0" w:color="auto"/>
            </w:tcBorders>
          </w:tcPr>
          <w:p w14:paraId="684DCE97" w14:textId="50403EC0" w:rsidR="00F0172F" w:rsidRPr="005D51A1" w:rsidRDefault="00F0172F" w:rsidP="00F0172F">
            <w:pPr>
              <w:spacing w:line="240" w:lineRule="auto"/>
              <w:jc w:val="center"/>
              <w:rPr>
                <w:noProof w:val="0"/>
                <w:color w:val="auto"/>
                <w:sz w:val="20"/>
                <w:szCs w:val="20"/>
              </w:rPr>
            </w:pPr>
            <w:r w:rsidRPr="005D51A1">
              <w:rPr>
                <w:sz w:val="20"/>
                <w:szCs w:val="20"/>
              </w:rPr>
              <w:t>20.92</w:t>
            </w:r>
          </w:p>
        </w:tc>
        <w:tc>
          <w:tcPr>
            <w:tcW w:w="1308" w:type="dxa"/>
            <w:tcBorders>
              <w:bottom w:val="thinThickSmallGap" w:sz="12" w:space="0" w:color="auto"/>
            </w:tcBorders>
          </w:tcPr>
          <w:p w14:paraId="0BFB53D8" w14:textId="4BB42165" w:rsidR="00F0172F" w:rsidRPr="005D51A1" w:rsidRDefault="00F0172F" w:rsidP="00F0172F">
            <w:pPr>
              <w:spacing w:line="240" w:lineRule="auto"/>
              <w:jc w:val="center"/>
              <w:rPr>
                <w:noProof w:val="0"/>
                <w:color w:val="auto"/>
                <w:sz w:val="20"/>
                <w:szCs w:val="20"/>
              </w:rPr>
            </w:pPr>
            <w:r w:rsidRPr="005D51A1">
              <w:rPr>
                <w:sz w:val="20"/>
                <w:szCs w:val="20"/>
              </w:rPr>
              <w:t>18.02</w:t>
            </w:r>
          </w:p>
        </w:tc>
        <w:tc>
          <w:tcPr>
            <w:tcW w:w="1309" w:type="dxa"/>
            <w:tcBorders>
              <w:bottom w:val="thinThickSmallGap" w:sz="12" w:space="0" w:color="auto"/>
            </w:tcBorders>
          </w:tcPr>
          <w:p w14:paraId="43CC48E8" w14:textId="5871EAC5" w:rsidR="00F0172F" w:rsidRPr="005D51A1" w:rsidRDefault="00F0172F" w:rsidP="00F0172F">
            <w:pPr>
              <w:spacing w:line="240" w:lineRule="auto"/>
              <w:jc w:val="center"/>
              <w:rPr>
                <w:noProof w:val="0"/>
                <w:color w:val="auto"/>
                <w:sz w:val="20"/>
                <w:szCs w:val="20"/>
              </w:rPr>
            </w:pPr>
            <w:r w:rsidRPr="005D51A1">
              <w:rPr>
                <w:sz w:val="20"/>
                <w:szCs w:val="20"/>
              </w:rPr>
              <w:t>15.49</w:t>
            </w:r>
          </w:p>
        </w:tc>
      </w:tr>
    </w:tbl>
    <w:p w14:paraId="33FDEAC4" w14:textId="77777777" w:rsidR="009B218C" w:rsidRDefault="009B218C" w:rsidP="00F0172F">
      <w:pPr>
        <w:pStyle w:val="MDPI31text"/>
        <w:rPr>
          <w:color w:val="auto"/>
        </w:rPr>
      </w:pPr>
    </w:p>
    <w:p w14:paraId="3B9C2384" w14:textId="266962BE" w:rsidR="00F0172F" w:rsidRPr="00F0172F" w:rsidRDefault="00EC78BB" w:rsidP="00F0172F">
      <w:pPr>
        <w:pStyle w:val="MDPI31text"/>
        <w:rPr>
          <w:lang w:val="en-GB"/>
        </w:rPr>
      </w:pPr>
      <w:r>
        <w:rPr>
          <w:color w:val="auto"/>
        </w:rPr>
        <w:t>From Table 1 can be verified that p</w:t>
      </w:r>
      <w:r w:rsidR="00F0172F" w:rsidRPr="00F0172F">
        <w:rPr>
          <w:lang w:val="en-GB"/>
        </w:rPr>
        <w:t xml:space="preserve">ositive tertiary energy prices are higher than negative tertiary energy prices, indicating stronger financial incentives for participating in balancing markets. The Portuguese </w:t>
      </w:r>
      <w:r w:rsidR="005C0F64">
        <w:rPr>
          <w:lang w:val="en-GB"/>
        </w:rPr>
        <w:t>IS</w:t>
      </w:r>
      <w:r w:rsidR="00F0172F" w:rsidRPr="00F0172F">
        <w:rPr>
          <w:lang w:val="en-GB"/>
        </w:rPr>
        <w:t xml:space="preserve"> is symmetrical, which means the penalty is equal for both pos</w:t>
      </w:r>
      <w:r w:rsidR="005C0F64">
        <w:rPr>
          <w:lang w:val="en-GB"/>
        </w:rPr>
        <w:t xml:space="preserve">itive and negative imbalances [37]. </w:t>
      </w:r>
      <w:r w:rsidR="00F0172F" w:rsidRPr="00F0172F">
        <w:rPr>
          <w:lang w:val="en-GB"/>
        </w:rPr>
        <w:t xml:space="preserve">The difference between positive or negative imbalance prices and the DAM price is the penalty. The mean penalty is positive. However, when balancing costs are negative, the penalty can be negative, providing a positive remuneration for </w:t>
      </w:r>
      <w:r w:rsidR="005D51A1">
        <w:rPr>
          <w:lang w:val="en-GB"/>
        </w:rPr>
        <w:t>BRPs.</w:t>
      </w:r>
    </w:p>
    <w:p w14:paraId="700B5BDD" w14:textId="77F1D936" w:rsidR="00F0172F" w:rsidRPr="00F0172F" w:rsidRDefault="00EC78BB" w:rsidP="00F0172F">
      <w:pPr>
        <w:pStyle w:val="MDPI31text"/>
        <w:rPr>
          <w:lang w:val="en-GB"/>
        </w:rPr>
      </w:pPr>
      <w:r>
        <w:rPr>
          <w:color w:val="auto"/>
        </w:rPr>
        <w:t xml:space="preserve">Table 1 also presents </w:t>
      </w:r>
      <w:r w:rsidR="00F0172F" w:rsidRPr="00F0172F">
        <w:rPr>
          <w:lang w:val="en-GB"/>
        </w:rPr>
        <w:t xml:space="preserve">DAM, </w:t>
      </w:r>
      <w:r w:rsidR="00B320ED" w:rsidRPr="00AD3D0F">
        <w:rPr>
          <w:lang w:val="en-GB"/>
        </w:rPr>
        <w:t>IDA</w:t>
      </w:r>
      <w:r w:rsidR="00F0172F" w:rsidRPr="00F0172F">
        <w:rPr>
          <w:lang w:val="en-GB"/>
        </w:rPr>
        <w:t xml:space="preserve">, and </w:t>
      </w:r>
      <w:r w:rsidR="005C0F64">
        <w:rPr>
          <w:lang w:val="en-GB"/>
        </w:rPr>
        <w:t>SR</w:t>
      </w:r>
      <w:r w:rsidR="00F0172F" w:rsidRPr="00F0172F">
        <w:rPr>
          <w:lang w:val="en-GB"/>
        </w:rPr>
        <w:t xml:space="preserve"> capacity prices, providing further context for the broader market dynamics. The extreme fluctuations in imbalance prices underscore the market's volatility, emphasizing the importance of strategic bidding and accurate forecasting to optimize profitability and manage risks.</w:t>
      </w:r>
    </w:p>
    <w:p w14:paraId="7ED0101D" w14:textId="3BD57D5B" w:rsidR="00F0172F" w:rsidRDefault="00B320ED" w:rsidP="00F0172F">
      <w:pPr>
        <w:pStyle w:val="MDPI31text"/>
        <w:rPr>
          <w:lang w:val="en-GB"/>
        </w:rPr>
      </w:pPr>
      <w:r>
        <w:rPr>
          <w:lang w:val="en-GB"/>
        </w:rPr>
        <w:fldChar w:fldCharType="begin"/>
      </w:r>
      <w:r>
        <w:rPr>
          <w:lang w:val="en-GB"/>
        </w:rPr>
        <w:instrText xml:space="preserve"> REF _Ref191304061 \h </w:instrText>
      </w:r>
      <w:r>
        <w:rPr>
          <w:lang w:val="en-GB"/>
        </w:rPr>
      </w:r>
      <w:r>
        <w:rPr>
          <w:lang w:val="en-GB"/>
        </w:rPr>
        <w:fldChar w:fldCharType="separate"/>
      </w:r>
      <w:r>
        <w:t xml:space="preserve">Figure </w:t>
      </w:r>
      <w:r>
        <w:rPr>
          <w:noProof/>
        </w:rPr>
        <w:t>2</w:t>
      </w:r>
      <w:r>
        <w:rPr>
          <w:lang w:val="en-GB"/>
        </w:rPr>
        <w:fldChar w:fldCharType="end"/>
      </w:r>
      <w:r>
        <w:rPr>
          <w:lang w:val="en-GB"/>
        </w:rPr>
        <w:t xml:space="preserve"> </w:t>
      </w:r>
      <w:r w:rsidR="00F0172F" w:rsidRPr="00F0172F">
        <w:rPr>
          <w:lang w:val="en-GB"/>
        </w:rPr>
        <w:t>illustrates the average hourly values for required aFRR capacity (a) and the energy used for aFRR and mFRR (b).</w:t>
      </w:r>
    </w:p>
    <w:p w14:paraId="0836E873" w14:textId="2EF2BA0A" w:rsidR="00B320ED" w:rsidRPr="00F0172F" w:rsidRDefault="005D51A1" w:rsidP="005D51A1">
      <w:pPr>
        <w:pStyle w:val="MDPI31text"/>
        <w:ind w:hanging="56"/>
        <w:rPr>
          <w:lang w:val="en-GB"/>
        </w:rPr>
      </w:pPr>
      <w:r>
        <w:rPr>
          <w:noProof/>
          <w:lang w:eastAsia="en-US" w:bidi="ar-SA"/>
        </w:rPr>
        <w:drawing>
          <wp:inline distT="0" distB="0" distL="0" distR="0" wp14:anchorId="2691D72E" wp14:editId="1D7FB92F">
            <wp:extent cx="5122340" cy="1996440"/>
            <wp:effectExtent l="0" t="0" r="2540" b="3810"/>
            <wp:docPr id="10" name="Picture 10" descr="C:\Users\hugo.algarvio\AppData\Local\Microsoft\Windows\INetCache\Content.Word\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ugo.algarvio\AppData\Local\Microsoft\Windows\INetCache\Content.Word\Pictur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6589" cy="1998096"/>
                    </a:xfrm>
                    <a:prstGeom prst="rect">
                      <a:avLst/>
                    </a:prstGeom>
                    <a:noFill/>
                    <a:ln>
                      <a:noFill/>
                    </a:ln>
                  </pic:spPr>
                </pic:pic>
              </a:graphicData>
            </a:graphic>
          </wp:inline>
        </w:drawing>
      </w:r>
    </w:p>
    <w:p w14:paraId="29D11F49" w14:textId="288585BC" w:rsidR="00F0172F" w:rsidRPr="00F0172F" w:rsidRDefault="00B320ED" w:rsidP="005D51A1">
      <w:pPr>
        <w:pStyle w:val="MDPI51figurecaption"/>
        <w:rPr>
          <w:lang w:val="en-GB"/>
        </w:rPr>
      </w:pPr>
      <w:bookmarkStart w:id="3" w:name="_Ref191304061"/>
      <w:r w:rsidRPr="00B320ED">
        <w:rPr>
          <w:b/>
        </w:rPr>
        <w:t xml:space="preserve">Figure </w:t>
      </w:r>
      <w:r w:rsidRPr="00B320ED">
        <w:rPr>
          <w:b/>
        </w:rPr>
        <w:fldChar w:fldCharType="begin"/>
      </w:r>
      <w:r w:rsidRPr="00B320ED">
        <w:rPr>
          <w:b/>
        </w:rPr>
        <w:instrText xml:space="preserve"> SEQ Figure \* ARABIC </w:instrText>
      </w:r>
      <w:r w:rsidRPr="00B320ED">
        <w:rPr>
          <w:b/>
        </w:rPr>
        <w:fldChar w:fldCharType="separate"/>
      </w:r>
      <w:r w:rsidR="005D51A1">
        <w:rPr>
          <w:b/>
          <w:noProof/>
        </w:rPr>
        <w:t>2</w:t>
      </w:r>
      <w:r w:rsidRPr="00B320ED">
        <w:rPr>
          <w:b/>
        </w:rPr>
        <w:fldChar w:fldCharType="end"/>
      </w:r>
      <w:bookmarkEnd w:id="3"/>
      <w:r w:rsidRPr="00B320ED">
        <w:rPr>
          <w:b/>
          <w:lang w:val="en-GB"/>
        </w:rPr>
        <w:t>:</w:t>
      </w:r>
      <w:r w:rsidRPr="00F0172F">
        <w:rPr>
          <w:lang w:val="en-GB"/>
        </w:rPr>
        <w:t xml:space="preserve"> Average hourly values for required aFRR capacity (a) and aFRR and mFRR energy used (b).</w:t>
      </w:r>
    </w:p>
    <w:p w14:paraId="5273AF40" w14:textId="413D2115" w:rsidR="00F0172F" w:rsidRPr="00F0172F" w:rsidRDefault="00F0172F" w:rsidP="00F0172F">
      <w:pPr>
        <w:pStyle w:val="MDPI31text"/>
        <w:rPr>
          <w:lang w:val="en-GB"/>
        </w:rPr>
      </w:pPr>
      <w:r w:rsidRPr="005D51A1">
        <w:rPr>
          <w:lang w:val="en-GB"/>
        </w:rPr>
        <w:t xml:space="preserve">In </w:t>
      </w:r>
      <w:r w:rsidR="005D51A1" w:rsidRPr="005D51A1">
        <w:rPr>
          <w:lang w:val="en-GB"/>
        </w:rPr>
        <w:fldChar w:fldCharType="begin"/>
      </w:r>
      <w:r w:rsidR="005D51A1" w:rsidRPr="005D51A1">
        <w:rPr>
          <w:lang w:val="en-GB"/>
        </w:rPr>
        <w:instrText xml:space="preserve"> REF _Ref191304061 \h  \* MERGEFORMAT </w:instrText>
      </w:r>
      <w:r w:rsidR="005D51A1" w:rsidRPr="005D51A1">
        <w:rPr>
          <w:lang w:val="en-GB"/>
        </w:rPr>
      </w:r>
      <w:r w:rsidR="005D51A1" w:rsidRPr="005D51A1">
        <w:rPr>
          <w:lang w:val="en-GB"/>
        </w:rPr>
        <w:fldChar w:fldCharType="separate"/>
      </w:r>
      <w:r w:rsidR="005D51A1" w:rsidRPr="005D51A1">
        <w:t xml:space="preserve">Figure </w:t>
      </w:r>
      <w:r w:rsidR="005D51A1" w:rsidRPr="005D51A1">
        <w:rPr>
          <w:noProof/>
        </w:rPr>
        <w:t>2</w:t>
      </w:r>
      <w:r w:rsidR="005D51A1" w:rsidRPr="005D51A1">
        <w:rPr>
          <w:lang w:val="en-GB"/>
        </w:rPr>
        <w:fldChar w:fldCharType="end"/>
      </w:r>
      <w:r w:rsidR="005D51A1">
        <w:rPr>
          <w:lang w:val="en-GB"/>
        </w:rPr>
        <w:t xml:space="preserve"> </w:t>
      </w:r>
      <w:r w:rsidRPr="00F0172F">
        <w:rPr>
          <w:lang w:val="en-GB"/>
        </w:rPr>
        <w:t xml:space="preserve">part (a), the upward aFRR capacity requirement is shown to be twice the downward demand, in line with Portuguese legislation. Part (b) highlights that downward tertiary energy is the most used, reflecting the grid's reliance on manual reserves </w:t>
      </w:r>
      <w:r w:rsidRPr="00F0172F">
        <w:rPr>
          <w:lang w:val="en-GB"/>
        </w:rPr>
        <w:lastRenderedPageBreak/>
        <w:t xml:space="preserve">during periods of </w:t>
      </w:r>
      <w:r w:rsidR="00DC08B7" w:rsidRPr="00F0172F">
        <w:rPr>
          <w:lang w:val="en-GB"/>
        </w:rPr>
        <w:t>over generation</w:t>
      </w:r>
      <w:r w:rsidRPr="00F0172F">
        <w:rPr>
          <w:lang w:val="en-GB"/>
        </w:rPr>
        <w:t xml:space="preserve"> or lower demand than expected in the programming dispatches.</w:t>
      </w:r>
    </w:p>
    <w:p w14:paraId="25751C1B" w14:textId="731675D9" w:rsidR="00AD3D0F" w:rsidRPr="00AD3D0F" w:rsidRDefault="00AD3D0F" w:rsidP="00AD3D0F">
      <w:pPr>
        <w:pStyle w:val="MDPI31text"/>
        <w:rPr>
          <w:b/>
          <w:bCs/>
          <w:lang w:val="en-GB"/>
        </w:rPr>
      </w:pPr>
      <w:r w:rsidRPr="00AD3D0F">
        <w:rPr>
          <w:lang w:val="en-GB"/>
        </w:rPr>
        <w:t>During the period of the study, the average wind power penetration in Portugal was 16.88% [1]. The wind data originates from a</w:t>
      </w:r>
      <w:r>
        <w:rPr>
          <w:lang w:val="en-GB"/>
        </w:rPr>
        <w:t>n aggregator of</w:t>
      </w:r>
      <w:r w:rsidRPr="00AD3D0F">
        <w:rPr>
          <w:lang w:val="en-GB"/>
        </w:rPr>
        <w:t xml:space="preserve"> wind power plant</w:t>
      </w:r>
      <w:r>
        <w:rPr>
          <w:lang w:val="en-GB"/>
        </w:rPr>
        <w:t>s</w:t>
      </w:r>
      <w:r w:rsidRPr="00AD3D0F">
        <w:rPr>
          <w:lang w:val="en-GB"/>
        </w:rPr>
        <w:t xml:space="preserve"> with a nominal capacity of 250 MW. The dataset contains both observed wind power and wind power forecasts, which include:</w:t>
      </w:r>
    </w:p>
    <w:p w14:paraId="19C2134E" w14:textId="77777777" w:rsidR="00AD3D0F" w:rsidRDefault="00AD3D0F" w:rsidP="00862F10">
      <w:pPr>
        <w:pStyle w:val="MDPI31text"/>
        <w:numPr>
          <w:ilvl w:val="0"/>
          <w:numId w:val="15"/>
        </w:numPr>
        <w:rPr>
          <w:lang w:val="en-GB"/>
        </w:rPr>
      </w:pPr>
      <w:r w:rsidRPr="00AD3D0F">
        <w:rPr>
          <w:lang w:val="en-GB"/>
        </w:rPr>
        <w:t>A probabilistic forecast used by the producer when submitting bids to the DAM.</w:t>
      </w:r>
    </w:p>
    <w:p w14:paraId="34A3C1F4" w14:textId="49C6BB15" w:rsidR="00AD3D0F" w:rsidRPr="00AD3D0F" w:rsidRDefault="00AD3D0F" w:rsidP="00862F10">
      <w:pPr>
        <w:pStyle w:val="MDPI31text"/>
        <w:numPr>
          <w:ilvl w:val="0"/>
          <w:numId w:val="15"/>
        </w:numPr>
        <w:rPr>
          <w:lang w:val="en-GB"/>
        </w:rPr>
      </w:pPr>
      <w:r w:rsidRPr="00AD3D0F">
        <w:rPr>
          <w:lang w:val="en-GB"/>
        </w:rPr>
        <w:t>Two deterministic forecasts are provided in the IDMs: one with a time horizon between 4 and 9 hours depending on the session</w:t>
      </w:r>
      <w:r w:rsidR="00B320ED">
        <w:rPr>
          <w:lang w:val="en-GB"/>
        </w:rPr>
        <w:t xml:space="preserve"> of IDA</w:t>
      </w:r>
      <w:r w:rsidRPr="00AD3D0F">
        <w:rPr>
          <w:lang w:val="en-GB"/>
        </w:rPr>
        <w:t xml:space="preserve"> (see Figure </w:t>
      </w:r>
      <w:r>
        <w:rPr>
          <w:lang w:val="en-GB"/>
        </w:rPr>
        <w:t>X</w:t>
      </w:r>
      <w:r w:rsidRPr="00AD3D0F">
        <w:rPr>
          <w:lang w:val="en-GB"/>
        </w:rPr>
        <w:t>), corresponding to the gate closure of the</w:t>
      </w:r>
      <w:r w:rsidR="00B320ED">
        <w:rPr>
          <w:lang w:val="en-GB"/>
        </w:rPr>
        <w:t xml:space="preserve"> IDA</w:t>
      </w:r>
      <w:r w:rsidRPr="00AD3D0F">
        <w:rPr>
          <w:lang w:val="en-GB"/>
        </w:rPr>
        <w:t>, and another with a 15-minute time horizon, corresponding to the gate closure of the IDC.</w:t>
      </w:r>
    </w:p>
    <w:p w14:paraId="287F2131" w14:textId="25C7B1B2" w:rsidR="00AD3D0F" w:rsidRPr="00AD3D0F" w:rsidRDefault="005D51A1" w:rsidP="00AD3D0F">
      <w:pPr>
        <w:pStyle w:val="MDPI31text"/>
        <w:rPr>
          <w:lang w:val="en-GB"/>
        </w:rPr>
      </w:pPr>
      <w:r w:rsidRPr="005D51A1">
        <w:rPr>
          <w:lang w:val="en-GB"/>
        </w:rPr>
        <w:fldChar w:fldCharType="begin"/>
      </w:r>
      <w:r w:rsidRPr="005D51A1">
        <w:rPr>
          <w:lang w:val="en-GB"/>
        </w:rPr>
        <w:instrText xml:space="preserve"> REF _Ref191374418 \h  \* MERGEFORMAT </w:instrText>
      </w:r>
      <w:r w:rsidRPr="005D51A1">
        <w:rPr>
          <w:lang w:val="en-GB"/>
        </w:rPr>
      </w:r>
      <w:r w:rsidRPr="005D51A1">
        <w:rPr>
          <w:lang w:val="en-GB"/>
        </w:rPr>
        <w:fldChar w:fldCharType="separate"/>
      </w:r>
      <w:r w:rsidRPr="005D51A1">
        <w:t xml:space="preserve">Figure </w:t>
      </w:r>
      <w:r w:rsidRPr="005D51A1">
        <w:rPr>
          <w:noProof/>
        </w:rPr>
        <w:t>3</w:t>
      </w:r>
      <w:r w:rsidRPr="005D51A1">
        <w:rPr>
          <w:lang w:val="en-GB"/>
        </w:rPr>
        <w:fldChar w:fldCharType="end"/>
      </w:r>
      <w:r>
        <w:rPr>
          <w:lang w:val="en-GB"/>
        </w:rPr>
        <w:t xml:space="preserve"> </w:t>
      </w:r>
      <w:r w:rsidR="00AD3D0F" w:rsidRPr="00AD3D0F">
        <w:rPr>
          <w:lang w:val="en-GB"/>
        </w:rPr>
        <w:t>illustrates the average hourly values for both observed and forecasted wind power across the 21 quantiles. These interval forecasts range from the 2nd to the 98th percentile of the wind power predictive distribution, corresponding to quantiles Q₁ to Q₂₁ for each trading period.</w:t>
      </w:r>
    </w:p>
    <w:p w14:paraId="33E41E4C" w14:textId="66920E78" w:rsidR="00AD3D0F" w:rsidRPr="00AD3D0F" w:rsidRDefault="00AD3D0F" w:rsidP="005D51A1">
      <w:pPr>
        <w:pStyle w:val="MDPI51figurecaption"/>
        <w:rPr>
          <w:color w:val="auto"/>
          <w:sz w:val="22"/>
          <w:szCs w:val="22"/>
          <w:lang w:val="en-GB"/>
        </w:rPr>
      </w:pPr>
      <w:bookmarkStart w:id="4" w:name="_Ref191374418"/>
      <w:r w:rsidRPr="00AD3D0F">
        <w:rPr>
          <w:noProof/>
          <w:color w:val="auto"/>
          <w:sz w:val="22"/>
          <w:szCs w:val="22"/>
        </w:rPr>
        <w:drawing>
          <wp:inline distT="0" distB="0" distL="0" distR="0" wp14:anchorId="4D78ACB5" wp14:editId="364D71A8">
            <wp:extent cx="5073650" cy="2516484"/>
            <wp:effectExtent l="0" t="0" r="0" b="0"/>
            <wp:docPr id="6" name="Picture 6" descr="A line graph of different colored lines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ine graph of different colored lines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1281" cy="2520269"/>
                    </a:xfrm>
                    <a:prstGeom prst="rect">
                      <a:avLst/>
                    </a:prstGeom>
                    <a:noFill/>
                    <a:ln>
                      <a:noFill/>
                    </a:ln>
                  </pic:spPr>
                </pic:pic>
              </a:graphicData>
            </a:graphic>
          </wp:inline>
        </w:drawing>
      </w:r>
      <w:r w:rsidR="005D51A1" w:rsidRPr="005D51A1">
        <w:rPr>
          <w:b/>
        </w:rPr>
        <w:t xml:space="preserve">Figure </w:t>
      </w:r>
      <w:r w:rsidR="005D51A1" w:rsidRPr="005D51A1">
        <w:rPr>
          <w:b/>
        </w:rPr>
        <w:fldChar w:fldCharType="begin"/>
      </w:r>
      <w:r w:rsidR="005D51A1" w:rsidRPr="005D51A1">
        <w:rPr>
          <w:b/>
        </w:rPr>
        <w:instrText xml:space="preserve"> SEQ Figure \* ARABIC </w:instrText>
      </w:r>
      <w:r w:rsidR="005D51A1" w:rsidRPr="005D51A1">
        <w:rPr>
          <w:b/>
        </w:rPr>
        <w:fldChar w:fldCharType="separate"/>
      </w:r>
      <w:r w:rsidR="005D51A1">
        <w:rPr>
          <w:b/>
          <w:noProof/>
        </w:rPr>
        <w:t>3</w:t>
      </w:r>
      <w:r w:rsidR="005D51A1" w:rsidRPr="005D51A1">
        <w:rPr>
          <w:b/>
        </w:rPr>
        <w:fldChar w:fldCharType="end"/>
      </w:r>
      <w:bookmarkEnd w:id="4"/>
      <w:r w:rsidR="005D51A1" w:rsidRPr="005D51A1">
        <w:rPr>
          <w:b/>
        </w:rPr>
        <w:t>:</w:t>
      </w:r>
      <w:r w:rsidR="005D51A1">
        <w:t xml:space="preserve"> </w:t>
      </w:r>
      <w:r w:rsidR="005D51A1" w:rsidRPr="00AD3D0F">
        <w:rPr>
          <w:lang w:val="en-GB"/>
        </w:rPr>
        <w:t>Average observed wind power and quantile forecasts per hour of the day.</w:t>
      </w:r>
    </w:p>
    <w:p w14:paraId="16CE5DDB" w14:textId="61B1429C" w:rsidR="00AD3D0F" w:rsidRPr="00AD3D0F" w:rsidRDefault="005D51A1" w:rsidP="00AD3D0F">
      <w:pPr>
        <w:pStyle w:val="MDPI31text"/>
        <w:rPr>
          <w:lang w:val="en-GB"/>
        </w:rPr>
      </w:pPr>
      <w:r w:rsidRPr="005D51A1">
        <w:rPr>
          <w:lang w:val="en-GB"/>
        </w:rPr>
        <w:fldChar w:fldCharType="begin"/>
      </w:r>
      <w:r w:rsidRPr="005D51A1">
        <w:rPr>
          <w:lang w:val="en-GB"/>
        </w:rPr>
        <w:instrText xml:space="preserve"> REF _Ref191374418 \h  \* MERGEFORMAT </w:instrText>
      </w:r>
      <w:r w:rsidRPr="005D51A1">
        <w:rPr>
          <w:lang w:val="en-GB"/>
        </w:rPr>
      </w:r>
      <w:r w:rsidRPr="005D51A1">
        <w:rPr>
          <w:lang w:val="en-GB"/>
        </w:rPr>
        <w:fldChar w:fldCharType="separate"/>
      </w:r>
      <w:r w:rsidRPr="005D51A1">
        <w:rPr>
          <w:lang w:val="en-GB"/>
        </w:rPr>
        <w:fldChar w:fldCharType="end"/>
      </w:r>
      <w:r>
        <w:rPr>
          <w:lang w:val="en-GB"/>
        </w:rPr>
        <w:t xml:space="preserve"> </w:t>
      </w:r>
      <w:r>
        <w:rPr>
          <w:lang w:val="en-GB"/>
        </w:rPr>
        <w:fldChar w:fldCharType="begin"/>
      </w:r>
      <w:r>
        <w:rPr>
          <w:lang w:val="en-GB"/>
        </w:rPr>
        <w:instrText xml:space="preserve"> REF _Ref191374562 \h </w:instrText>
      </w:r>
      <w:r>
        <w:rPr>
          <w:lang w:val="en-GB"/>
        </w:rPr>
      </w:r>
      <w:r>
        <w:rPr>
          <w:lang w:val="en-GB"/>
        </w:rPr>
        <w:fldChar w:fldCharType="separate"/>
      </w:r>
      <w:r>
        <w:t xml:space="preserve">Figure </w:t>
      </w:r>
      <w:r>
        <w:rPr>
          <w:noProof/>
        </w:rPr>
        <w:t>4</w:t>
      </w:r>
      <w:r>
        <w:rPr>
          <w:lang w:val="en-GB"/>
        </w:rPr>
        <w:fldChar w:fldCharType="end"/>
      </w:r>
      <w:r>
        <w:rPr>
          <w:lang w:val="en-GB"/>
        </w:rPr>
        <w:t xml:space="preserve"> </w:t>
      </w:r>
      <w:r w:rsidR="00AD3D0F" w:rsidRPr="00AD3D0F">
        <w:rPr>
          <w:lang w:val="en-GB"/>
        </w:rPr>
        <w:t>compares the average hourly values of deterministic forecasts at two different time horizons: between 4 and 9 hours and 15 minutes before real-time operation, against the observed values. It shows that as the forecasting horizon shortens, the deviation from the observed values decreases.</w:t>
      </w:r>
    </w:p>
    <w:p w14:paraId="099FC0FB" w14:textId="18FF1FBC" w:rsidR="005D51A1" w:rsidRDefault="00692C2C" w:rsidP="00692C2C">
      <w:pPr>
        <w:pStyle w:val="MDPI31text"/>
        <w:keepNext/>
        <w:jc w:val="center"/>
      </w:pPr>
      <w:r>
        <w:rPr>
          <w:rFonts w:eastAsia="SimSun"/>
          <w:noProof/>
          <w:snapToGrid/>
          <w:sz w:val="21"/>
          <w:szCs w:val="21"/>
          <w:lang w:eastAsia="zh-CN" w:bidi="ar-SA"/>
        </w:rPr>
        <w:drawing>
          <wp:inline distT="0" distB="0" distL="0" distR="0" wp14:anchorId="0E71404C" wp14:editId="3B531698">
            <wp:extent cx="3270857" cy="2160000"/>
            <wp:effectExtent l="0" t="0" r="6350" b="0"/>
            <wp:docPr id="1164950336" name="Picture 1" descr="A graph of a number of hou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50336" name="Picture 1" descr="A graph of a number of hours&#10;&#10;AI-generated content may be incorrect."/>
                    <pic:cNvPicPr/>
                  </pic:nvPicPr>
                  <pic:blipFill>
                    <a:blip r:embed="rId19"/>
                    <a:stretch>
                      <a:fillRect/>
                    </a:stretch>
                  </pic:blipFill>
                  <pic:spPr>
                    <a:xfrm>
                      <a:off x="0" y="0"/>
                      <a:ext cx="3270857" cy="2160000"/>
                    </a:xfrm>
                    <a:prstGeom prst="rect">
                      <a:avLst/>
                    </a:prstGeom>
                  </pic:spPr>
                </pic:pic>
              </a:graphicData>
            </a:graphic>
          </wp:inline>
        </w:drawing>
      </w:r>
      <w:commentRangeStart w:id="5"/>
      <w:commentRangeEnd w:id="5"/>
      <w:r w:rsidR="005D51A1">
        <w:rPr>
          <w:rStyle w:val="CommentReference"/>
          <w:rFonts w:eastAsia="SimSun"/>
          <w:noProof/>
          <w:snapToGrid/>
          <w:lang w:eastAsia="zh-CN" w:bidi="ar-SA"/>
        </w:rPr>
        <w:commentReference w:id="5"/>
      </w:r>
    </w:p>
    <w:p w14:paraId="05F36198" w14:textId="5E1143F5" w:rsidR="00AD3D0F" w:rsidRPr="00AD3D0F" w:rsidRDefault="005D51A1" w:rsidP="005D51A1">
      <w:pPr>
        <w:pStyle w:val="MDPI51figurecaption"/>
        <w:rPr>
          <w:lang w:val="en-GB"/>
        </w:rPr>
      </w:pPr>
      <w:bookmarkStart w:id="6" w:name="_Ref191374562"/>
      <w:r w:rsidRPr="005D51A1">
        <w:rPr>
          <w:b/>
        </w:rPr>
        <w:t xml:space="preserve">Figure </w:t>
      </w:r>
      <w:r w:rsidRPr="005D51A1">
        <w:rPr>
          <w:b/>
        </w:rPr>
        <w:fldChar w:fldCharType="begin"/>
      </w:r>
      <w:r w:rsidRPr="005D51A1">
        <w:rPr>
          <w:b/>
        </w:rPr>
        <w:instrText xml:space="preserve"> SEQ Figure \* ARABIC </w:instrText>
      </w:r>
      <w:r w:rsidRPr="005D51A1">
        <w:rPr>
          <w:b/>
        </w:rPr>
        <w:fldChar w:fldCharType="separate"/>
      </w:r>
      <w:r>
        <w:rPr>
          <w:b/>
          <w:noProof/>
        </w:rPr>
        <w:t>4</w:t>
      </w:r>
      <w:r w:rsidRPr="005D51A1">
        <w:rPr>
          <w:b/>
        </w:rPr>
        <w:fldChar w:fldCharType="end"/>
      </w:r>
      <w:bookmarkEnd w:id="6"/>
      <w:r w:rsidRPr="005D51A1">
        <w:rPr>
          <w:b/>
        </w:rPr>
        <w:t>:</w:t>
      </w:r>
      <w:r w:rsidRPr="005D51A1">
        <w:rPr>
          <w:lang w:val="en-GB"/>
        </w:rPr>
        <w:t xml:space="preserve"> </w:t>
      </w:r>
      <w:r w:rsidRPr="00AD3D0F">
        <w:rPr>
          <w:lang w:val="en-GB"/>
        </w:rPr>
        <w:t>Average observed wind power and deterministic forecasts per hour of the day.</w:t>
      </w:r>
    </w:p>
    <w:p w14:paraId="75FA6C66" w14:textId="64BDF0AF" w:rsidR="00AD3D0F" w:rsidRPr="00AD3D0F" w:rsidRDefault="005D51A1" w:rsidP="00AD3D0F">
      <w:pPr>
        <w:pStyle w:val="MDPI31text"/>
        <w:rPr>
          <w:lang w:val="en-GB"/>
        </w:rPr>
      </w:pPr>
      <w:r>
        <w:rPr>
          <w:lang w:val="en-GB"/>
        </w:rPr>
        <w:lastRenderedPageBreak/>
        <w:fldChar w:fldCharType="begin"/>
      </w:r>
      <w:r>
        <w:rPr>
          <w:lang w:val="en-GB"/>
        </w:rPr>
        <w:instrText xml:space="preserve"> REF _Ref191374640 \h </w:instrText>
      </w:r>
      <w:r>
        <w:rPr>
          <w:lang w:val="en-GB"/>
        </w:rPr>
      </w:r>
      <w:r>
        <w:rPr>
          <w:lang w:val="en-GB"/>
        </w:rPr>
        <w:fldChar w:fldCharType="separate"/>
      </w:r>
      <w:r>
        <w:t xml:space="preserve">Table </w:t>
      </w:r>
      <w:r>
        <w:rPr>
          <w:noProof/>
        </w:rPr>
        <w:t>2</w:t>
      </w:r>
      <w:r>
        <w:rPr>
          <w:lang w:val="en-GB"/>
        </w:rPr>
        <w:fldChar w:fldCharType="end"/>
      </w:r>
      <w:r>
        <w:rPr>
          <w:lang w:val="en-GB"/>
        </w:rPr>
        <w:t xml:space="preserve"> </w:t>
      </w:r>
      <w:r w:rsidR="00AD3D0F" w:rsidRPr="00AD3D0F">
        <w:rPr>
          <w:lang w:val="en-GB"/>
        </w:rPr>
        <w:t>presents key statistics for the forecast deviation (forecast value – observed power) for each forecasting horizon.</w:t>
      </w:r>
    </w:p>
    <w:p w14:paraId="292E697E" w14:textId="4A0899D2" w:rsidR="005D51A1" w:rsidRDefault="005D51A1" w:rsidP="005D51A1">
      <w:pPr>
        <w:pStyle w:val="MDPI41tablecaption"/>
      </w:pPr>
      <w:bookmarkStart w:id="7" w:name="_Ref191374640"/>
      <w:r w:rsidRPr="005D51A1">
        <w:rPr>
          <w:b/>
        </w:rPr>
        <w:t xml:space="preserve">Table </w:t>
      </w:r>
      <w:r w:rsidRPr="005D51A1">
        <w:rPr>
          <w:b/>
        </w:rPr>
        <w:fldChar w:fldCharType="begin"/>
      </w:r>
      <w:r w:rsidRPr="005D51A1">
        <w:rPr>
          <w:b/>
        </w:rPr>
        <w:instrText xml:space="preserve"> SEQ Table \* ARABIC </w:instrText>
      </w:r>
      <w:r w:rsidRPr="005D51A1">
        <w:rPr>
          <w:b/>
        </w:rPr>
        <w:fldChar w:fldCharType="separate"/>
      </w:r>
      <w:r>
        <w:rPr>
          <w:b/>
          <w:noProof/>
        </w:rPr>
        <w:t>2</w:t>
      </w:r>
      <w:r w:rsidRPr="005D51A1">
        <w:rPr>
          <w:b/>
        </w:rPr>
        <w:fldChar w:fldCharType="end"/>
      </w:r>
      <w:bookmarkEnd w:id="7"/>
      <w:r w:rsidRPr="005D51A1">
        <w:rPr>
          <w:b/>
        </w:rPr>
        <w:t>:</w:t>
      </w:r>
      <w:r w:rsidRPr="005D51A1">
        <w:rPr>
          <w:lang w:val="en-GB"/>
        </w:rPr>
        <w:t xml:space="preserve"> </w:t>
      </w:r>
      <w:r w:rsidRPr="00AD3D0F">
        <w:rPr>
          <w:lang w:val="en-GB"/>
        </w:rPr>
        <w:t>Key statistics for wind power forecasts.</w:t>
      </w:r>
    </w:p>
    <w:tbl>
      <w:tblPr>
        <w:tblStyle w:val="TableGrid"/>
        <w:tblW w:w="0" w:type="auto"/>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701"/>
        <w:gridCol w:w="1701"/>
      </w:tblGrid>
      <w:tr w:rsidR="00AD3D0F" w:rsidRPr="00AD3D0F" w14:paraId="54243444" w14:textId="77777777" w:rsidTr="002414DF">
        <w:trPr>
          <w:jc w:val="center"/>
        </w:trPr>
        <w:tc>
          <w:tcPr>
            <w:tcW w:w="1134" w:type="dxa"/>
            <w:tcBorders>
              <w:top w:val="double" w:sz="4" w:space="0" w:color="auto"/>
              <w:bottom w:val="single" w:sz="4" w:space="0" w:color="auto"/>
            </w:tcBorders>
          </w:tcPr>
          <w:p w14:paraId="55589726" w14:textId="77777777" w:rsidR="00AD3D0F" w:rsidRPr="005D51A1" w:rsidRDefault="00AD3D0F" w:rsidP="00AD3D0F">
            <w:pPr>
              <w:spacing w:line="240" w:lineRule="auto"/>
              <w:jc w:val="center"/>
              <w:rPr>
                <w:rFonts w:eastAsia="Times New Roman" w:cs="Arial"/>
                <w:noProof w:val="0"/>
                <w:color w:val="auto"/>
                <w:kern w:val="2"/>
                <w:lang w:val="en-GB" w:eastAsia="en-US"/>
              </w:rPr>
            </w:pPr>
          </w:p>
        </w:tc>
        <w:tc>
          <w:tcPr>
            <w:tcW w:w="1701" w:type="dxa"/>
            <w:tcBorders>
              <w:top w:val="double" w:sz="4" w:space="0" w:color="auto"/>
              <w:bottom w:val="single" w:sz="4" w:space="0" w:color="auto"/>
            </w:tcBorders>
          </w:tcPr>
          <w:p w14:paraId="42AB64B2" w14:textId="77777777" w:rsidR="00AD3D0F" w:rsidRPr="005D51A1" w:rsidRDefault="00AD3D0F" w:rsidP="00AD3D0F">
            <w:pPr>
              <w:spacing w:line="240" w:lineRule="auto"/>
              <w:jc w:val="center"/>
              <w:rPr>
                <w:rFonts w:eastAsia="Times New Roman" w:cs="Arial"/>
                <w:noProof w:val="0"/>
                <w:color w:val="auto"/>
                <w:kern w:val="2"/>
                <w:lang w:val="en-GB" w:eastAsia="en-US"/>
              </w:rPr>
            </w:pPr>
            <w:r w:rsidRPr="005D51A1">
              <w:rPr>
                <w:rFonts w:eastAsia="Times New Roman" w:cs="Arial"/>
                <w:noProof w:val="0"/>
                <w:color w:val="auto"/>
                <w:kern w:val="2"/>
                <w:lang w:val="en-GB" w:eastAsia="en-US"/>
              </w:rPr>
              <w:t>4-9h before</w:t>
            </w:r>
          </w:p>
        </w:tc>
        <w:tc>
          <w:tcPr>
            <w:tcW w:w="1701" w:type="dxa"/>
            <w:tcBorders>
              <w:top w:val="double" w:sz="4" w:space="0" w:color="auto"/>
              <w:bottom w:val="single" w:sz="4" w:space="0" w:color="auto"/>
            </w:tcBorders>
          </w:tcPr>
          <w:p w14:paraId="4442DCFA" w14:textId="77777777" w:rsidR="00AD3D0F" w:rsidRPr="005D51A1" w:rsidRDefault="00AD3D0F" w:rsidP="00AD3D0F">
            <w:pPr>
              <w:spacing w:line="240" w:lineRule="auto"/>
              <w:jc w:val="center"/>
              <w:rPr>
                <w:rFonts w:eastAsia="Times New Roman" w:cs="Arial"/>
                <w:noProof w:val="0"/>
                <w:color w:val="auto"/>
                <w:kern w:val="2"/>
                <w:lang w:val="en-GB" w:eastAsia="en-US"/>
              </w:rPr>
            </w:pPr>
            <w:r w:rsidRPr="005D51A1">
              <w:rPr>
                <w:rFonts w:eastAsia="Times New Roman" w:cs="Arial"/>
                <w:noProof w:val="0"/>
                <w:color w:val="auto"/>
                <w:kern w:val="2"/>
                <w:lang w:val="en-GB" w:eastAsia="en-US"/>
              </w:rPr>
              <w:t>15 min before</w:t>
            </w:r>
          </w:p>
        </w:tc>
      </w:tr>
      <w:tr w:rsidR="00AD3D0F" w:rsidRPr="00AD3D0F" w14:paraId="41939A58" w14:textId="77777777" w:rsidTr="002414DF">
        <w:trPr>
          <w:jc w:val="center"/>
        </w:trPr>
        <w:tc>
          <w:tcPr>
            <w:tcW w:w="1134" w:type="dxa"/>
            <w:tcBorders>
              <w:top w:val="single" w:sz="4" w:space="0" w:color="auto"/>
            </w:tcBorders>
          </w:tcPr>
          <w:p w14:paraId="0BF5FF8E" w14:textId="77777777" w:rsidR="00AD3D0F" w:rsidRPr="005D51A1" w:rsidRDefault="00AD3D0F" w:rsidP="00AD3D0F">
            <w:pPr>
              <w:spacing w:line="240" w:lineRule="auto"/>
              <w:jc w:val="center"/>
              <w:rPr>
                <w:rFonts w:eastAsia="Times New Roman" w:cs="Arial"/>
                <w:noProof w:val="0"/>
                <w:color w:val="auto"/>
                <w:kern w:val="2"/>
                <w:lang w:val="en-GB" w:eastAsia="en-US"/>
              </w:rPr>
            </w:pPr>
            <w:r w:rsidRPr="005D51A1">
              <w:rPr>
                <w:rFonts w:eastAsia="Times New Roman" w:cs="Arial"/>
                <w:noProof w:val="0"/>
                <w:color w:val="auto"/>
                <w:kern w:val="2"/>
                <w:lang w:val="en-GB" w:eastAsia="en-US"/>
              </w:rPr>
              <w:t>Min</w:t>
            </w:r>
          </w:p>
        </w:tc>
        <w:tc>
          <w:tcPr>
            <w:tcW w:w="1701" w:type="dxa"/>
            <w:tcBorders>
              <w:top w:val="single" w:sz="4" w:space="0" w:color="auto"/>
            </w:tcBorders>
          </w:tcPr>
          <w:p w14:paraId="77599ECF" w14:textId="77777777" w:rsidR="00AD3D0F" w:rsidRPr="005D51A1" w:rsidRDefault="00AD3D0F" w:rsidP="00AD3D0F">
            <w:pPr>
              <w:spacing w:line="240" w:lineRule="auto"/>
              <w:jc w:val="center"/>
              <w:rPr>
                <w:rFonts w:eastAsia="Times New Roman" w:cs="Arial"/>
                <w:noProof w:val="0"/>
                <w:color w:val="auto"/>
                <w:kern w:val="2"/>
                <w:lang w:val="en-GB" w:eastAsia="en-US"/>
              </w:rPr>
            </w:pPr>
            <w:r w:rsidRPr="005D51A1">
              <w:rPr>
                <w:rFonts w:eastAsia="Times New Roman" w:cs="Arial"/>
                <w:noProof w:val="0"/>
                <w:color w:val="auto"/>
                <w:kern w:val="2"/>
                <w:lang w:val="en-GB" w:eastAsia="en-US"/>
              </w:rPr>
              <w:t>-143.41</w:t>
            </w:r>
          </w:p>
        </w:tc>
        <w:tc>
          <w:tcPr>
            <w:tcW w:w="1701" w:type="dxa"/>
            <w:tcBorders>
              <w:top w:val="single" w:sz="4" w:space="0" w:color="auto"/>
            </w:tcBorders>
          </w:tcPr>
          <w:p w14:paraId="442E5C31" w14:textId="77777777" w:rsidR="00AD3D0F" w:rsidRPr="005D51A1" w:rsidRDefault="00AD3D0F" w:rsidP="00AD3D0F">
            <w:pPr>
              <w:spacing w:line="240" w:lineRule="auto"/>
              <w:jc w:val="center"/>
              <w:rPr>
                <w:rFonts w:eastAsia="Times New Roman" w:cs="Arial"/>
                <w:noProof w:val="0"/>
                <w:color w:val="auto"/>
                <w:kern w:val="2"/>
                <w:lang w:val="en-GB" w:eastAsia="en-US"/>
              </w:rPr>
            </w:pPr>
            <w:r w:rsidRPr="005D51A1">
              <w:rPr>
                <w:rFonts w:eastAsia="Times New Roman" w:cs="Arial"/>
                <w:noProof w:val="0"/>
                <w:color w:val="auto"/>
                <w:kern w:val="2"/>
                <w:lang w:val="en-GB" w:eastAsia="en-US"/>
              </w:rPr>
              <w:t>-23.03</w:t>
            </w:r>
          </w:p>
        </w:tc>
      </w:tr>
      <w:tr w:rsidR="00AD3D0F" w:rsidRPr="00AD3D0F" w14:paraId="511FF95A" w14:textId="77777777" w:rsidTr="002414DF">
        <w:trPr>
          <w:jc w:val="center"/>
        </w:trPr>
        <w:tc>
          <w:tcPr>
            <w:tcW w:w="1134" w:type="dxa"/>
          </w:tcPr>
          <w:p w14:paraId="5694F3F0" w14:textId="77777777" w:rsidR="00AD3D0F" w:rsidRPr="005D51A1" w:rsidRDefault="00AD3D0F" w:rsidP="00AD3D0F">
            <w:pPr>
              <w:spacing w:line="240" w:lineRule="auto"/>
              <w:jc w:val="center"/>
              <w:rPr>
                <w:rFonts w:eastAsia="Times New Roman" w:cs="Arial"/>
                <w:noProof w:val="0"/>
                <w:color w:val="auto"/>
                <w:kern w:val="2"/>
                <w:lang w:val="en-GB" w:eastAsia="en-US"/>
              </w:rPr>
            </w:pPr>
            <w:r w:rsidRPr="005D51A1">
              <w:rPr>
                <w:rFonts w:eastAsia="Times New Roman" w:cs="Arial"/>
                <w:noProof w:val="0"/>
                <w:color w:val="auto"/>
                <w:kern w:val="2"/>
                <w:lang w:val="en-GB" w:eastAsia="en-US"/>
              </w:rPr>
              <w:t>Max</w:t>
            </w:r>
          </w:p>
        </w:tc>
        <w:tc>
          <w:tcPr>
            <w:tcW w:w="1701" w:type="dxa"/>
          </w:tcPr>
          <w:p w14:paraId="2B5F3374" w14:textId="77777777" w:rsidR="00AD3D0F" w:rsidRPr="005D51A1" w:rsidRDefault="00AD3D0F" w:rsidP="00AD3D0F">
            <w:pPr>
              <w:spacing w:line="240" w:lineRule="auto"/>
              <w:jc w:val="center"/>
              <w:rPr>
                <w:rFonts w:eastAsia="Times New Roman" w:cs="Arial"/>
                <w:noProof w:val="0"/>
                <w:color w:val="auto"/>
                <w:kern w:val="2"/>
                <w:lang w:val="en-GB" w:eastAsia="en-US"/>
              </w:rPr>
            </w:pPr>
            <w:r w:rsidRPr="005D51A1">
              <w:rPr>
                <w:rFonts w:eastAsia="Times New Roman" w:cs="Arial"/>
                <w:noProof w:val="0"/>
                <w:color w:val="auto"/>
                <w:kern w:val="2"/>
                <w:lang w:val="en-GB" w:eastAsia="en-US"/>
              </w:rPr>
              <w:t>114.08</w:t>
            </w:r>
          </w:p>
        </w:tc>
        <w:tc>
          <w:tcPr>
            <w:tcW w:w="1701" w:type="dxa"/>
          </w:tcPr>
          <w:p w14:paraId="7E45A6E1" w14:textId="77777777" w:rsidR="00AD3D0F" w:rsidRPr="005D51A1" w:rsidRDefault="00AD3D0F" w:rsidP="00AD3D0F">
            <w:pPr>
              <w:spacing w:line="240" w:lineRule="auto"/>
              <w:jc w:val="center"/>
              <w:rPr>
                <w:rFonts w:eastAsia="Times New Roman" w:cs="Arial"/>
                <w:noProof w:val="0"/>
                <w:color w:val="auto"/>
                <w:kern w:val="2"/>
                <w:lang w:val="en-GB" w:eastAsia="en-US"/>
              </w:rPr>
            </w:pPr>
            <w:r w:rsidRPr="005D51A1">
              <w:rPr>
                <w:rFonts w:eastAsia="Times New Roman" w:cs="Arial"/>
                <w:noProof w:val="0"/>
                <w:color w:val="auto"/>
                <w:kern w:val="2"/>
                <w:lang w:val="en-GB" w:eastAsia="en-US"/>
              </w:rPr>
              <w:t>24.08</w:t>
            </w:r>
          </w:p>
        </w:tc>
      </w:tr>
      <w:tr w:rsidR="00AD3D0F" w:rsidRPr="00AD3D0F" w14:paraId="363C19BD" w14:textId="77777777" w:rsidTr="002414DF">
        <w:trPr>
          <w:jc w:val="center"/>
        </w:trPr>
        <w:tc>
          <w:tcPr>
            <w:tcW w:w="1134" w:type="dxa"/>
          </w:tcPr>
          <w:p w14:paraId="52ADD606" w14:textId="77777777" w:rsidR="00AD3D0F" w:rsidRPr="005D51A1" w:rsidRDefault="00AD3D0F" w:rsidP="00AD3D0F">
            <w:pPr>
              <w:spacing w:line="240" w:lineRule="auto"/>
              <w:jc w:val="center"/>
              <w:rPr>
                <w:rFonts w:eastAsia="Times New Roman" w:cs="Arial"/>
                <w:noProof w:val="0"/>
                <w:color w:val="auto"/>
                <w:kern w:val="2"/>
                <w:lang w:val="en-GB" w:eastAsia="en-US"/>
              </w:rPr>
            </w:pPr>
            <w:r w:rsidRPr="005D51A1">
              <w:rPr>
                <w:rFonts w:eastAsia="Times New Roman" w:cs="Arial"/>
                <w:noProof w:val="0"/>
                <w:color w:val="auto"/>
                <w:kern w:val="2"/>
                <w:lang w:val="en-GB" w:eastAsia="en-US"/>
              </w:rPr>
              <w:t>Median</w:t>
            </w:r>
          </w:p>
        </w:tc>
        <w:tc>
          <w:tcPr>
            <w:tcW w:w="1701" w:type="dxa"/>
          </w:tcPr>
          <w:p w14:paraId="71F88655" w14:textId="77777777" w:rsidR="00AD3D0F" w:rsidRPr="005D51A1" w:rsidRDefault="00AD3D0F" w:rsidP="00AD3D0F">
            <w:pPr>
              <w:spacing w:line="240" w:lineRule="auto"/>
              <w:jc w:val="center"/>
              <w:rPr>
                <w:rFonts w:eastAsia="Times New Roman" w:cs="Arial"/>
                <w:noProof w:val="0"/>
                <w:color w:val="auto"/>
                <w:kern w:val="2"/>
                <w:lang w:val="en-GB" w:eastAsia="en-US"/>
              </w:rPr>
            </w:pPr>
            <w:r w:rsidRPr="005D51A1">
              <w:rPr>
                <w:rFonts w:eastAsia="Times New Roman" w:cs="Arial"/>
                <w:noProof w:val="0"/>
                <w:color w:val="auto"/>
                <w:kern w:val="2"/>
                <w:lang w:val="en-GB" w:eastAsia="en-US"/>
              </w:rPr>
              <w:t>0.45</w:t>
            </w:r>
          </w:p>
        </w:tc>
        <w:tc>
          <w:tcPr>
            <w:tcW w:w="1701" w:type="dxa"/>
          </w:tcPr>
          <w:p w14:paraId="66466922" w14:textId="77777777" w:rsidR="00AD3D0F" w:rsidRPr="005D51A1" w:rsidRDefault="00AD3D0F" w:rsidP="00AD3D0F">
            <w:pPr>
              <w:spacing w:line="240" w:lineRule="auto"/>
              <w:jc w:val="center"/>
              <w:rPr>
                <w:rFonts w:eastAsia="Times New Roman" w:cs="Arial"/>
                <w:noProof w:val="0"/>
                <w:color w:val="auto"/>
                <w:kern w:val="2"/>
                <w:lang w:val="en-GB" w:eastAsia="en-US"/>
              </w:rPr>
            </w:pPr>
            <w:r w:rsidRPr="005D51A1">
              <w:rPr>
                <w:rFonts w:eastAsia="Times New Roman" w:cs="Arial"/>
                <w:noProof w:val="0"/>
                <w:color w:val="auto"/>
                <w:kern w:val="2"/>
                <w:lang w:val="en-GB" w:eastAsia="en-US"/>
              </w:rPr>
              <w:t>0.27</w:t>
            </w:r>
          </w:p>
        </w:tc>
      </w:tr>
      <w:tr w:rsidR="00AD3D0F" w:rsidRPr="00AD3D0F" w14:paraId="0CB48F40" w14:textId="77777777" w:rsidTr="002414DF">
        <w:trPr>
          <w:jc w:val="center"/>
        </w:trPr>
        <w:tc>
          <w:tcPr>
            <w:tcW w:w="1134" w:type="dxa"/>
          </w:tcPr>
          <w:p w14:paraId="3AB44014" w14:textId="77777777" w:rsidR="00AD3D0F" w:rsidRPr="005D51A1" w:rsidRDefault="00AD3D0F" w:rsidP="00AD3D0F">
            <w:pPr>
              <w:spacing w:line="240" w:lineRule="auto"/>
              <w:jc w:val="center"/>
              <w:rPr>
                <w:rFonts w:eastAsia="Times New Roman" w:cs="Arial"/>
                <w:noProof w:val="0"/>
                <w:color w:val="auto"/>
                <w:kern w:val="2"/>
                <w:lang w:val="en-GB" w:eastAsia="en-US"/>
              </w:rPr>
            </w:pPr>
            <w:r w:rsidRPr="005D51A1">
              <w:rPr>
                <w:rFonts w:eastAsia="Times New Roman" w:cs="Arial"/>
                <w:noProof w:val="0"/>
                <w:color w:val="auto"/>
                <w:kern w:val="2"/>
                <w:lang w:val="en-GB" w:eastAsia="en-US"/>
              </w:rPr>
              <w:t>Mean</w:t>
            </w:r>
          </w:p>
        </w:tc>
        <w:tc>
          <w:tcPr>
            <w:tcW w:w="1701" w:type="dxa"/>
          </w:tcPr>
          <w:p w14:paraId="300AFFA1" w14:textId="77777777" w:rsidR="00AD3D0F" w:rsidRPr="005D51A1" w:rsidRDefault="00AD3D0F" w:rsidP="00AD3D0F">
            <w:pPr>
              <w:spacing w:line="240" w:lineRule="auto"/>
              <w:jc w:val="center"/>
              <w:rPr>
                <w:rFonts w:eastAsia="Times New Roman" w:cs="Arial"/>
                <w:noProof w:val="0"/>
                <w:color w:val="auto"/>
                <w:kern w:val="2"/>
                <w:lang w:val="en-GB" w:eastAsia="en-US"/>
              </w:rPr>
            </w:pPr>
            <w:r w:rsidRPr="005D51A1">
              <w:rPr>
                <w:rFonts w:eastAsia="Times New Roman" w:cs="Arial"/>
                <w:noProof w:val="0"/>
                <w:color w:val="auto"/>
                <w:kern w:val="2"/>
                <w:lang w:val="en-GB" w:eastAsia="en-US"/>
              </w:rPr>
              <w:t>-2.03</w:t>
            </w:r>
          </w:p>
        </w:tc>
        <w:tc>
          <w:tcPr>
            <w:tcW w:w="1701" w:type="dxa"/>
          </w:tcPr>
          <w:p w14:paraId="30FD9E74" w14:textId="77777777" w:rsidR="00AD3D0F" w:rsidRPr="005D51A1" w:rsidRDefault="00AD3D0F" w:rsidP="00AD3D0F">
            <w:pPr>
              <w:spacing w:line="240" w:lineRule="auto"/>
              <w:jc w:val="center"/>
              <w:rPr>
                <w:rFonts w:eastAsia="Times New Roman" w:cs="Arial"/>
                <w:noProof w:val="0"/>
                <w:color w:val="auto"/>
                <w:kern w:val="2"/>
                <w:lang w:val="en-GB" w:eastAsia="en-US"/>
              </w:rPr>
            </w:pPr>
            <w:r w:rsidRPr="005D51A1">
              <w:rPr>
                <w:rFonts w:eastAsia="Times New Roman" w:cs="Arial"/>
                <w:noProof w:val="0"/>
                <w:color w:val="auto"/>
                <w:kern w:val="2"/>
                <w:lang w:val="en-GB" w:eastAsia="en-US"/>
              </w:rPr>
              <w:t>0.02</w:t>
            </w:r>
          </w:p>
        </w:tc>
      </w:tr>
      <w:tr w:rsidR="00AD3D0F" w:rsidRPr="00AD3D0F" w14:paraId="78C6375D" w14:textId="77777777" w:rsidTr="002414DF">
        <w:trPr>
          <w:jc w:val="center"/>
        </w:trPr>
        <w:tc>
          <w:tcPr>
            <w:tcW w:w="1134" w:type="dxa"/>
            <w:tcBorders>
              <w:bottom w:val="double" w:sz="4" w:space="0" w:color="auto"/>
            </w:tcBorders>
          </w:tcPr>
          <w:p w14:paraId="05E84C31" w14:textId="77777777" w:rsidR="00AD3D0F" w:rsidRPr="005D51A1" w:rsidRDefault="00AD3D0F" w:rsidP="00AD3D0F">
            <w:pPr>
              <w:spacing w:line="240" w:lineRule="auto"/>
              <w:jc w:val="center"/>
              <w:rPr>
                <w:rFonts w:eastAsia="Times New Roman" w:cs="Arial"/>
                <w:noProof w:val="0"/>
                <w:color w:val="auto"/>
                <w:kern w:val="2"/>
                <w:lang w:val="en-GB" w:eastAsia="en-US"/>
              </w:rPr>
            </w:pPr>
            <w:r w:rsidRPr="005D51A1">
              <w:rPr>
                <w:rFonts w:eastAsia="Times New Roman" w:cs="Arial"/>
                <w:noProof w:val="0"/>
                <w:color w:val="auto"/>
                <w:kern w:val="2"/>
                <w:lang w:val="en-GB" w:eastAsia="en-US"/>
              </w:rPr>
              <w:t>SD</w:t>
            </w:r>
          </w:p>
        </w:tc>
        <w:tc>
          <w:tcPr>
            <w:tcW w:w="1701" w:type="dxa"/>
            <w:tcBorders>
              <w:bottom w:val="double" w:sz="4" w:space="0" w:color="auto"/>
            </w:tcBorders>
          </w:tcPr>
          <w:p w14:paraId="3BBFA148" w14:textId="77777777" w:rsidR="00AD3D0F" w:rsidRPr="005D51A1" w:rsidRDefault="00AD3D0F" w:rsidP="00AD3D0F">
            <w:pPr>
              <w:spacing w:line="240" w:lineRule="auto"/>
              <w:jc w:val="center"/>
              <w:rPr>
                <w:rFonts w:eastAsia="Times New Roman" w:cs="Arial"/>
                <w:noProof w:val="0"/>
                <w:color w:val="auto"/>
                <w:kern w:val="2"/>
                <w:lang w:val="en-GB" w:eastAsia="en-US"/>
              </w:rPr>
            </w:pPr>
            <w:r w:rsidRPr="005D51A1">
              <w:rPr>
                <w:rFonts w:eastAsia="Times New Roman" w:cs="Arial"/>
                <w:noProof w:val="0"/>
                <w:color w:val="auto"/>
                <w:kern w:val="2"/>
                <w:lang w:val="en-GB" w:eastAsia="en-US"/>
              </w:rPr>
              <w:t>22.87</w:t>
            </w:r>
          </w:p>
        </w:tc>
        <w:tc>
          <w:tcPr>
            <w:tcW w:w="1701" w:type="dxa"/>
            <w:tcBorders>
              <w:bottom w:val="double" w:sz="4" w:space="0" w:color="auto"/>
            </w:tcBorders>
          </w:tcPr>
          <w:p w14:paraId="419B2AD0" w14:textId="77777777" w:rsidR="00AD3D0F" w:rsidRPr="005D51A1" w:rsidRDefault="00AD3D0F" w:rsidP="00AD3D0F">
            <w:pPr>
              <w:spacing w:line="240" w:lineRule="auto"/>
              <w:jc w:val="center"/>
              <w:rPr>
                <w:rFonts w:eastAsia="Times New Roman" w:cs="Arial"/>
                <w:noProof w:val="0"/>
                <w:color w:val="auto"/>
                <w:kern w:val="2"/>
                <w:lang w:val="en-GB" w:eastAsia="en-US"/>
              </w:rPr>
            </w:pPr>
            <w:r w:rsidRPr="005D51A1">
              <w:rPr>
                <w:rFonts w:eastAsia="Times New Roman" w:cs="Arial"/>
                <w:noProof w:val="0"/>
                <w:color w:val="auto"/>
                <w:kern w:val="2"/>
                <w:lang w:val="en-GB" w:eastAsia="en-US"/>
              </w:rPr>
              <w:t>2.86</w:t>
            </w:r>
          </w:p>
        </w:tc>
      </w:tr>
    </w:tbl>
    <w:p w14:paraId="3A81A08A" w14:textId="6BFFD28A" w:rsidR="00AD3D0F" w:rsidRDefault="00AD3D0F" w:rsidP="00AD3D0F">
      <w:pPr>
        <w:pStyle w:val="MDPI31text"/>
        <w:ind w:left="0" w:firstLine="0"/>
        <w:rPr>
          <w:color w:val="auto"/>
          <w:lang w:val="en-GB"/>
        </w:rPr>
      </w:pPr>
    </w:p>
    <w:p w14:paraId="503CF423" w14:textId="7BE47BCA" w:rsidR="005D51A1" w:rsidRPr="005D51A1" w:rsidRDefault="005D51A1" w:rsidP="005D51A1">
      <w:pPr>
        <w:pStyle w:val="MDPI31text"/>
      </w:pPr>
      <w:r w:rsidRPr="005D51A1">
        <w:t xml:space="preserve">Analyzing </w:t>
      </w:r>
      <w:r w:rsidRPr="005D51A1">
        <w:fldChar w:fldCharType="begin"/>
      </w:r>
      <w:r w:rsidRPr="005D51A1">
        <w:instrText xml:space="preserve"> REF _Ref191374562 \h  \* MERGEFORMAT </w:instrText>
      </w:r>
      <w:r w:rsidRPr="005D51A1">
        <w:fldChar w:fldCharType="separate"/>
      </w:r>
      <w:r w:rsidRPr="005D51A1">
        <w:t xml:space="preserve">Figure </w:t>
      </w:r>
      <w:r w:rsidRPr="005D51A1">
        <w:rPr>
          <w:noProof/>
        </w:rPr>
        <w:t>4</w:t>
      </w:r>
      <w:r w:rsidRPr="005D51A1">
        <w:fldChar w:fldCharType="end"/>
      </w:r>
      <w:r>
        <w:t xml:space="preserve"> and </w:t>
      </w:r>
      <w:r>
        <w:fldChar w:fldCharType="begin"/>
      </w:r>
      <w:r>
        <w:instrText xml:space="preserve"> REF _Ref191374640 \h </w:instrText>
      </w:r>
      <w:r>
        <w:fldChar w:fldCharType="separate"/>
      </w:r>
      <w:r>
        <w:t xml:space="preserve">Table </w:t>
      </w:r>
      <w:r>
        <w:rPr>
          <w:noProof/>
        </w:rPr>
        <w:t>2</w:t>
      </w:r>
      <w:r>
        <w:fldChar w:fldCharType="end"/>
      </w:r>
      <w:r>
        <w:t xml:space="preserve"> </w:t>
      </w:r>
      <w:r w:rsidRPr="005D51A1">
        <w:t>can be verified the benefits of forecasts closer to real-time operation, being the IDC important to adjust the programming schedules of vRES, reducing imbalances.</w:t>
      </w:r>
    </w:p>
    <w:p w14:paraId="1A1CEACD" w14:textId="77777777" w:rsidR="005D51A1" w:rsidRDefault="005D51A1" w:rsidP="005D51A1">
      <w:pPr>
        <w:pStyle w:val="MDPI32textnoindent"/>
        <w:rPr>
          <w:lang w:val="en-GB"/>
        </w:rPr>
      </w:pPr>
    </w:p>
    <w:p w14:paraId="3307ADFC" w14:textId="3D7030A0" w:rsidR="00AD3D0F" w:rsidRDefault="00AD3D0F" w:rsidP="00862F10">
      <w:pPr>
        <w:pStyle w:val="MDPI22heading2"/>
        <w:numPr>
          <w:ilvl w:val="1"/>
          <w:numId w:val="7"/>
        </w:numPr>
        <w:ind w:firstLine="1760"/>
      </w:pPr>
      <w:r>
        <w:t>Scenarios</w:t>
      </w:r>
    </w:p>
    <w:p w14:paraId="00B908BC" w14:textId="77777777" w:rsidR="00AD3D0F" w:rsidRPr="00AD3D0F" w:rsidRDefault="00AD3D0F" w:rsidP="00AD3D0F">
      <w:pPr>
        <w:pStyle w:val="MDPI31text"/>
        <w:rPr>
          <w:color w:val="auto"/>
          <w:lang w:val="en-GB"/>
        </w:rPr>
      </w:pPr>
      <w:r w:rsidRPr="00AD3D0F">
        <w:rPr>
          <w:color w:val="auto"/>
          <w:lang w:val="en-GB"/>
        </w:rPr>
        <w:t>The case study analyses the active participation of the WPP across various markets, aiming to maximize revenue.</w:t>
      </w:r>
    </w:p>
    <w:p w14:paraId="5590C513" w14:textId="7F9FB28B" w:rsidR="00AD3D0F" w:rsidRPr="00AD3D0F" w:rsidRDefault="005D51A1" w:rsidP="00AD3D0F">
      <w:pPr>
        <w:pStyle w:val="MDPI31text"/>
        <w:rPr>
          <w:color w:val="auto"/>
          <w:lang w:val="en-GB"/>
        </w:rPr>
      </w:pPr>
      <w:r>
        <w:rPr>
          <w:color w:val="auto"/>
          <w:lang w:val="en-GB"/>
        </w:rPr>
        <w:t xml:space="preserve">Two main cases </w:t>
      </w:r>
      <w:r w:rsidR="00AD3D0F" w:rsidRPr="00AD3D0F">
        <w:rPr>
          <w:color w:val="auto"/>
          <w:lang w:val="en-GB"/>
        </w:rPr>
        <w:t>are considered: (i) an ideal case, where the producer has perfect foresight of market prices and wind power production at the time of delivery, and (ii) an operational case, where the producer relies on forecasts and bidding strategies to navigate uncertainties in the energy markets.</w:t>
      </w:r>
    </w:p>
    <w:p w14:paraId="50D1BCBC" w14:textId="77777777" w:rsidR="00AD3D0F" w:rsidRPr="00AD3D0F" w:rsidRDefault="00AD3D0F" w:rsidP="00AD3D0F">
      <w:pPr>
        <w:pStyle w:val="MDPI31text"/>
        <w:rPr>
          <w:color w:val="auto"/>
          <w:lang w:val="en-GB"/>
        </w:rPr>
      </w:pPr>
      <w:r w:rsidRPr="00AD3D0F">
        <w:rPr>
          <w:color w:val="auto"/>
          <w:lang w:val="en-GB"/>
        </w:rPr>
        <w:t>To highlight the evolution and improvements in EMs design, three distinct approaches are explored:</w:t>
      </w:r>
    </w:p>
    <w:p w14:paraId="211F1156" w14:textId="4729C682" w:rsidR="00AD3D0F" w:rsidRPr="00AD3D0F" w:rsidRDefault="00AD3D0F" w:rsidP="00AD3D0F">
      <w:pPr>
        <w:pStyle w:val="MDPI31text"/>
        <w:rPr>
          <w:color w:val="auto"/>
          <w:lang w:val="en-GB"/>
        </w:rPr>
      </w:pPr>
      <w:r w:rsidRPr="00AD3D0F">
        <w:rPr>
          <w:color w:val="auto"/>
          <w:lang w:val="en-GB"/>
        </w:rPr>
        <w:t>1.</w:t>
      </w:r>
      <w:r w:rsidRPr="00AD3D0F">
        <w:rPr>
          <w:color w:val="auto"/>
          <w:lang w:val="en-GB"/>
        </w:rPr>
        <w:tab/>
      </w:r>
      <w:r w:rsidR="00B320ED">
        <w:rPr>
          <w:color w:val="auto"/>
          <w:lang w:val="en-GB"/>
        </w:rPr>
        <w:t>Past</w:t>
      </w:r>
      <w:r w:rsidRPr="00AD3D0F">
        <w:rPr>
          <w:color w:val="auto"/>
          <w:lang w:val="en-GB"/>
        </w:rPr>
        <w:t xml:space="preserve"> </w:t>
      </w:r>
      <w:r w:rsidR="006076CA">
        <w:rPr>
          <w:color w:val="auto"/>
          <w:lang w:val="en-GB"/>
        </w:rPr>
        <w:t>m</w:t>
      </w:r>
      <w:r w:rsidRPr="00AD3D0F">
        <w:rPr>
          <w:color w:val="auto"/>
          <w:lang w:val="en-GB"/>
        </w:rPr>
        <w:t xml:space="preserve">arket </w:t>
      </w:r>
      <w:r w:rsidR="006076CA">
        <w:rPr>
          <w:color w:val="auto"/>
          <w:lang w:val="en-GB"/>
        </w:rPr>
        <w:t>d</w:t>
      </w:r>
      <w:r w:rsidRPr="00AD3D0F">
        <w:rPr>
          <w:color w:val="auto"/>
          <w:lang w:val="en-GB"/>
        </w:rPr>
        <w:t>esign</w:t>
      </w:r>
      <w:r>
        <w:rPr>
          <w:color w:val="auto"/>
          <w:lang w:val="en-GB"/>
        </w:rPr>
        <w:t xml:space="preserve">: </w:t>
      </w:r>
      <w:r w:rsidRPr="00AD3D0F">
        <w:rPr>
          <w:color w:val="auto"/>
          <w:lang w:val="en-GB"/>
        </w:rPr>
        <w:t xml:space="preserve">This approach illustrates the market conditions prior to the introduction of the continuous intraday market. Under this design, the gate closure for the IDA is set </w:t>
      </w:r>
      <w:r w:rsidR="00EA083A">
        <w:rPr>
          <w:color w:val="auto"/>
          <w:lang w:val="en-GB"/>
        </w:rPr>
        <w:t>a few</w:t>
      </w:r>
      <w:r w:rsidRPr="00AD3D0F">
        <w:rPr>
          <w:color w:val="auto"/>
          <w:lang w:val="en-GB"/>
        </w:rPr>
        <w:t xml:space="preserve"> hours before delivery. According to Portuguese legislation, bids for downward capacity must be half the amount of upward capacity offered in the aFRR market.</w:t>
      </w:r>
      <w:r w:rsidR="00EA083A">
        <w:rPr>
          <w:color w:val="auto"/>
          <w:lang w:val="en-GB"/>
        </w:rPr>
        <w:t xml:space="preserve"> With increasing competition of WPPs it is assume the price of the reserve energy market instead of the regulated price to CCGTs.</w:t>
      </w:r>
    </w:p>
    <w:p w14:paraId="65433200" w14:textId="557ED194" w:rsidR="00AD3D0F" w:rsidRDefault="00AD3D0F" w:rsidP="00AD3D0F">
      <w:pPr>
        <w:pStyle w:val="MDPI31text"/>
        <w:rPr>
          <w:color w:val="auto"/>
          <w:lang w:val="en-GB"/>
        </w:rPr>
      </w:pPr>
      <w:r w:rsidRPr="00AD3D0F">
        <w:rPr>
          <w:color w:val="auto"/>
          <w:lang w:val="en-GB"/>
        </w:rPr>
        <w:t>2.</w:t>
      </w:r>
      <w:r w:rsidRPr="00AD3D0F">
        <w:rPr>
          <w:color w:val="auto"/>
          <w:lang w:val="en-GB"/>
        </w:rPr>
        <w:tab/>
        <w:t xml:space="preserve">Current </w:t>
      </w:r>
      <w:r w:rsidR="006076CA">
        <w:rPr>
          <w:color w:val="auto"/>
          <w:lang w:val="en-GB"/>
        </w:rPr>
        <w:t>m</w:t>
      </w:r>
      <w:r w:rsidRPr="00AD3D0F">
        <w:rPr>
          <w:color w:val="auto"/>
          <w:lang w:val="en-GB"/>
        </w:rPr>
        <w:t xml:space="preserve">arket </w:t>
      </w:r>
      <w:r w:rsidR="006076CA">
        <w:rPr>
          <w:color w:val="auto"/>
          <w:lang w:val="en-GB"/>
        </w:rPr>
        <w:t>d</w:t>
      </w:r>
      <w:r w:rsidRPr="00AD3D0F">
        <w:rPr>
          <w:color w:val="auto"/>
          <w:lang w:val="en-GB"/>
        </w:rPr>
        <w:t>esign</w:t>
      </w:r>
      <w:r>
        <w:rPr>
          <w:color w:val="auto"/>
          <w:lang w:val="en-GB"/>
        </w:rPr>
        <w:t xml:space="preserve">: </w:t>
      </w:r>
      <w:r w:rsidRPr="00AD3D0F">
        <w:rPr>
          <w:color w:val="auto"/>
          <w:lang w:val="en-GB"/>
        </w:rPr>
        <w:t>This design represents the current market, which includes the continuous intraday market with a gate closure 15 minutes before operation. Existing legislation continues to impose restrictions on the procurement of downward capacity.</w:t>
      </w:r>
      <w:r w:rsidR="006076CA">
        <w:rPr>
          <w:color w:val="auto"/>
          <w:lang w:val="en-GB"/>
        </w:rPr>
        <w:t xml:space="preserve"> In the simulated period it is assumed that IDC trades have the same price of the DAM trades to overcome the lack of data.</w:t>
      </w:r>
    </w:p>
    <w:p w14:paraId="22CBD0D5" w14:textId="315DB687" w:rsidR="00AD3D0F" w:rsidRDefault="00AD3D0F" w:rsidP="00AD3D0F">
      <w:pPr>
        <w:pStyle w:val="MDPI31text"/>
        <w:rPr>
          <w:color w:val="auto"/>
          <w:lang w:val="en-GB"/>
        </w:rPr>
      </w:pPr>
    </w:p>
    <w:p w14:paraId="6B3D939E" w14:textId="466BDED8" w:rsidR="00AD3D0F" w:rsidRDefault="006166BB" w:rsidP="00862F10">
      <w:pPr>
        <w:pStyle w:val="MDPI22heading2"/>
        <w:numPr>
          <w:ilvl w:val="1"/>
          <w:numId w:val="7"/>
        </w:numPr>
        <w:ind w:firstLine="1760"/>
      </w:pPr>
      <w:r>
        <w:t>Results</w:t>
      </w:r>
    </w:p>
    <w:p w14:paraId="3350DFE2" w14:textId="3319613F" w:rsidR="006076CA" w:rsidRDefault="006076CA" w:rsidP="006076CA">
      <w:pPr>
        <w:pStyle w:val="MDPI31text"/>
      </w:pPr>
      <w:r>
        <w:t xml:space="preserve">This section presents the results of the ideal and operational cases. In the ideal case, the WPP has perfect information about its production and market prices. So, it is the case that maximizes the market value of the WPP. The operational case simulates </w:t>
      </w:r>
      <w:r w:rsidR="009B218C">
        <w:t>the</w:t>
      </w:r>
      <w:r>
        <w:t xml:space="preserve"> daily behavior of an active WPP participating in EMs.</w:t>
      </w:r>
    </w:p>
    <w:p w14:paraId="36842863" w14:textId="2F8A7954" w:rsidR="006166BB" w:rsidRDefault="006166BB" w:rsidP="00862F10">
      <w:pPr>
        <w:pStyle w:val="MDPI22heading2"/>
        <w:numPr>
          <w:ilvl w:val="2"/>
          <w:numId w:val="7"/>
        </w:numPr>
        <w:ind w:firstLine="1328"/>
      </w:pPr>
      <w:r>
        <w:t xml:space="preserve">Ideal </w:t>
      </w:r>
      <w:r w:rsidR="00B320ED">
        <w:t>c</w:t>
      </w:r>
      <w:r>
        <w:t>ase</w:t>
      </w:r>
    </w:p>
    <w:p w14:paraId="73301FD9" w14:textId="0B413D13" w:rsidR="00AD3D0F" w:rsidRDefault="00B320ED" w:rsidP="00AD3D0F">
      <w:pPr>
        <w:pStyle w:val="MDPI31text"/>
        <w:rPr>
          <w:color w:val="auto"/>
          <w:lang w:val="en-GB"/>
        </w:rPr>
      </w:pPr>
      <w:r>
        <w:rPr>
          <w:color w:val="auto"/>
          <w:lang w:val="en-GB"/>
        </w:rPr>
        <w:t>The outputs of the ideal case are presented in</w:t>
      </w:r>
      <w:r w:rsidR="005D51A1">
        <w:rPr>
          <w:color w:val="auto"/>
          <w:lang w:val="en-GB"/>
        </w:rPr>
        <w:t xml:space="preserve"> </w:t>
      </w:r>
      <w:r w:rsidR="005D51A1">
        <w:rPr>
          <w:color w:val="auto"/>
          <w:lang w:val="en-GB"/>
        </w:rPr>
        <w:fldChar w:fldCharType="begin"/>
      </w:r>
      <w:r w:rsidR="005D51A1">
        <w:rPr>
          <w:color w:val="auto"/>
          <w:lang w:val="en-GB"/>
        </w:rPr>
        <w:instrText xml:space="preserve"> REF _Ref191375057 \h </w:instrText>
      </w:r>
      <w:r w:rsidR="005D51A1">
        <w:rPr>
          <w:color w:val="auto"/>
          <w:lang w:val="en-GB"/>
        </w:rPr>
      </w:r>
      <w:r w:rsidR="005D51A1">
        <w:rPr>
          <w:color w:val="auto"/>
          <w:lang w:val="en-GB"/>
        </w:rPr>
        <w:fldChar w:fldCharType="separate"/>
      </w:r>
      <w:r w:rsidR="005D51A1">
        <w:t xml:space="preserve">Figure </w:t>
      </w:r>
      <w:r w:rsidR="005D51A1">
        <w:rPr>
          <w:noProof/>
        </w:rPr>
        <w:t>5</w:t>
      </w:r>
      <w:r w:rsidR="005D51A1">
        <w:rPr>
          <w:color w:val="auto"/>
          <w:lang w:val="en-GB"/>
        </w:rPr>
        <w:fldChar w:fldCharType="end"/>
      </w:r>
      <w:r>
        <w:rPr>
          <w:color w:val="auto"/>
          <w:lang w:val="en-GB"/>
        </w:rPr>
        <w:t>.</w:t>
      </w:r>
    </w:p>
    <w:p w14:paraId="69F35D63" w14:textId="27527348" w:rsidR="005D51A1" w:rsidRDefault="005D51A1" w:rsidP="005D51A1">
      <w:pPr>
        <w:keepNext/>
        <w:suppressAutoHyphens/>
        <w:autoSpaceDN w:val="0"/>
        <w:spacing w:line="360" w:lineRule="auto"/>
        <w:ind w:firstLine="2410"/>
        <w:textAlignment w:val="baseline"/>
      </w:pPr>
    </w:p>
    <w:p w14:paraId="613A9233" w14:textId="5BD9D2B6" w:rsidR="009B218C" w:rsidRDefault="004560F5" w:rsidP="004560F5">
      <w:pPr>
        <w:pStyle w:val="MDPI51figurecaption"/>
        <w:jc w:val="center"/>
      </w:pPr>
      <w:bookmarkStart w:id="8" w:name="_Ref191375057"/>
      <w:r>
        <w:rPr>
          <w:noProof/>
        </w:rPr>
        <w:drawing>
          <wp:inline distT="0" distB="0" distL="0" distR="0" wp14:anchorId="4E7572F2" wp14:editId="62D9C9AC">
            <wp:extent cx="3858433" cy="2880000"/>
            <wp:effectExtent l="0" t="0" r="8890" b="0"/>
            <wp:docPr id="1205917556" name="Picture 3" descr="A graph with different colored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17556" name="Picture 3" descr="A graph with different colored rectangular bars&#10;&#10;AI-generated content may be incorrect."/>
                    <pic:cNvPicPr/>
                  </pic:nvPicPr>
                  <pic:blipFill>
                    <a:blip r:embed="rId20"/>
                    <a:stretch>
                      <a:fillRect/>
                    </a:stretch>
                  </pic:blipFill>
                  <pic:spPr>
                    <a:xfrm>
                      <a:off x="0" y="0"/>
                      <a:ext cx="3858433" cy="2880000"/>
                    </a:xfrm>
                    <a:prstGeom prst="rect">
                      <a:avLst/>
                    </a:prstGeom>
                  </pic:spPr>
                </pic:pic>
              </a:graphicData>
            </a:graphic>
          </wp:inline>
        </w:drawing>
      </w:r>
    </w:p>
    <w:p w14:paraId="73946ED0" w14:textId="58B635CB" w:rsidR="006166BB" w:rsidRPr="006166BB" w:rsidRDefault="005D51A1" w:rsidP="005D51A1">
      <w:pPr>
        <w:pStyle w:val="MDPI51figurecaption"/>
        <w:rPr>
          <w:lang w:val="en-GB"/>
        </w:rPr>
      </w:pPr>
      <w:r>
        <w:t xml:space="preserve">Figure </w:t>
      </w:r>
      <w:fldSimple w:instr=" SEQ Figure \* ARABIC ">
        <w:r>
          <w:rPr>
            <w:noProof/>
          </w:rPr>
          <w:t>5</w:t>
        </w:r>
      </w:fldSimple>
      <w:bookmarkEnd w:id="8"/>
      <w:r>
        <w:t xml:space="preserve">: </w:t>
      </w:r>
      <w:r w:rsidRPr="006166BB">
        <w:rPr>
          <w:lang w:val="en-GB"/>
        </w:rPr>
        <w:t xml:space="preserve">Average remuneration for the ideal case </w:t>
      </w:r>
      <w:r>
        <w:rPr>
          <w:lang w:val="en-GB"/>
        </w:rPr>
        <w:t>in different markets under the past</w:t>
      </w:r>
      <w:r w:rsidRPr="006166BB">
        <w:rPr>
          <w:lang w:val="en-GB"/>
        </w:rPr>
        <w:t xml:space="preserve"> market design.</w:t>
      </w:r>
    </w:p>
    <w:p w14:paraId="5950508C" w14:textId="183FCE94" w:rsidR="006076CA" w:rsidRDefault="00B320ED" w:rsidP="00B320ED">
      <w:pPr>
        <w:pStyle w:val="MDPI31text"/>
        <w:rPr>
          <w:color w:val="auto"/>
          <w:lang w:val="en-GB"/>
        </w:rPr>
      </w:pPr>
      <w:r>
        <w:rPr>
          <w:color w:val="auto"/>
          <w:lang w:val="en-GB"/>
        </w:rPr>
        <w:t xml:space="preserve">From </w:t>
      </w:r>
      <w:r w:rsidR="005D51A1">
        <w:rPr>
          <w:color w:val="auto"/>
          <w:lang w:val="en-GB"/>
        </w:rPr>
        <w:fldChar w:fldCharType="begin"/>
      </w:r>
      <w:r w:rsidR="005D51A1">
        <w:rPr>
          <w:color w:val="auto"/>
          <w:lang w:val="en-GB"/>
        </w:rPr>
        <w:instrText xml:space="preserve"> REF _Ref191375057 \h </w:instrText>
      </w:r>
      <w:r w:rsidR="005D51A1">
        <w:rPr>
          <w:color w:val="auto"/>
          <w:lang w:val="en-GB"/>
        </w:rPr>
      </w:r>
      <w:r w:rsidR="005D51A1">
        <w:rPr>
          <w:color w:val="auto"/>
          <w:lang w:val="en-GB"/>
        </w:rPr>
        <w:fldChar w:fldCharType="separate"/>
      </w:r>
      <w:r w:rsidR="005D51A1">
        <w:t xml:space="preserve">Figure </w:t>
      </w:r>
      <w:r w:rsidR="005D51A1">
        <w:rPr>
          <w:noProof/>
        </w:rPr>
        <w:t>5</w:t>
      </w:r>
      <w:r w:rsidR="005D51A1">
        <w:rPr>
          <w:color w:val="auto"/>
          <w:lang w:val="en-GB"/>
        </w:rPr>
        <w:fldChar w:fldCharType="end"/>
      </w:r>
      <w:r w:rsidR="005D51A1">
        <w:rPr>
          <w:color w:val="auto"/>
          <w:lang w:val="en-GB"/>
        </w:rPr>
        <w:t xml:space="preserve"> </w:t>
      </w:r>
      <w:r>
        <w:rPr>
          <w:color w:val="auto"/>
          <w:lang w:val="en-GB"/>
        </w:rPr>
        <w:t>can be verified the significant increase of 11</w:t>
      </w:r>
      <w:r w:rsidR="00692C2C">
        <w:rPr>
          <w:color w:val="auto"/>
          <w:lang w:val="en-GB"/>
        </w:rPr>
        <w:t>4</w:t>
      </w:r>
      <w:r>
        <w:rPr>
          <w:color w:val="auto"/>
          <w:lang w:val="en-GB"/>
        </w:rPr>
        <w:t>%</w:t>
      </w:r>
      <w:r w:rsidR="005D51A1">
        <w:rPr>
          <w:color w:val="auto"/>
          <w:lang w:val="en-GB"/>
        </w:rPr>
        <w:t xml:space="preserve"> and 84%</w:t>
      </w:r>
      <w:r>
        <w:rPr>
          <w:color w:val="auto"/>
          <w:lang w:val="en-GB"/>
        </w:rPr>
        <w:t xml:space="preserve"> in the case of the WPP has perfect information when participating in SR</w:t>
      </w:r>
      <w:r w:rsidR="005D51A1">
        <w:rPr>
          <w:color w:val="auto"/>
          <w:lang w:val="en-GB"/>
        </w:rPr>
        <w:t>, when compared to participating in the DAM, or DAM+IDM, respectively. Furthermore, can be concluded that by participating in the SR, the WPP has the potential to increase their market value by 84% regarding its actual market options.</w:t>
      </w:r>
      <w:r>
        <w:rPr>
          <w:color w:val="auto"/>
          <w:lang w:val="en-GB"/>
        </w:rPr>
        <w:t xml:space="preserve"> These results indicate the potential benefits of WPPs if electricity markets are designed in adaptation to the stochastic nature of vRES. The WPP perfectly adjusted its position in the IDM for an increase of 16% in its markets value. In the case of participating in the TR, its market value increases to 3</w:t>
      </w:r>
      <w:r w:rsidR="00692C2C">
        <w:rPr>
          <w:color w:val="auto"/>
          <w:lang w:val="en-GB"/>
        </w:rPr>
        <w:t>6</w:t>
      </w:r>
      <w:r>
        <w:rPr>
          <w:color w:val="auto"/>
          <w:lang w:val="en-GB"/>
        </w:rPr>
        <w:t>%. These results illustrate the high benefit of participating in BMs, mainly in the provision of reserve capacity, as presented in</w:t>
      </w:r>
      <w:r w:rsidR="005D51A1">
        <w:rPr>
          <w:color w:val="auto"/>
          <w:lang w:val="en-GB"/>
        </w:rPr>
        <w:t xml:space="preserve"> </w:t>
      </w:r>
      <w:r w:rsidR="005D51A1">
        <w:rPr>
          <w:color w:val="auto"/>
          <w:lang w:val="en-GB"/>
        </w:rPr>
        <w:fldChar w:fldCharType="begin"/>
      </w:r>
      <w:r w:rsidR="005D51A1">
        <w:rPr>
          <w:color w:val="auto"/>
          <w:lang w:val="en-GB"/>
        </w:rPr>
        <w:instrText xml:space="preserve"> REF _Ref191375395 \h </w:instrText>
      </w:r>
      <w:r w:rsidR="005D51A1">
        <w:rPr>
          <w:color w:val="auto"/>
          <w:lang w:val="en-GB"/>
        </w:rPr>
      </w:r>
      <w:r w:rsidR="005D51A1">
        <w:rPr>
          <w:color w:val="auto"/>
          <w:lang w:val="en-GB"/>
        </w:rPr>
        <w:fldChar w:fldCharType="separate"/>
      </w:r>
      <w:r w:rsidR="005D51A1">
        <w:t xml:space="preserve">Table </w:t>
      </w:r>
      <w:r w:rsidR="005D51A1">
        <w:rPr>
          <w:noProof/>
        </w:rPr>
        <w:t>3</w:t>
      </w:r>
      <w:r w:rsidR="005D51A1">
        <w:rPr>
          <w:color w:val="auto"/>
          <w:lang w:val="en-GB"/>
        </w:rPr>
        <w:fldChar w:fldCharType="end"/>
      </w:r>
      <w:r>
        <w:rPr>
          <w:color w:val="auto"/>
          <w:lang w:val="en-GB"/>
        </w:rPr>
        <w:t>.</w:t>
      </w:r>
      <w:r w:rsidR="009B218C" w:rsidRPr="009B218C">
        <w:t xml:space="preserve"> </w:t>
      </w:r>
    </w:p>
    <w:p w14:paraId="696713C0" w14:textId="5790905B" w:rsidR="005D51A1" w:rsidRDefault="005D51A1" w:rsidP="005D51A1">
      <w:pPr>
        <w:pStyle w:val="MDPI41tablecaption"/>
      </w:pPr>
      <w:bookmarkStart w:id="9" w:name="_Ref191375395"/>
      <w:r>
        <w:t xml:space="preserve">Table </w:t>
      </w:r>
      <w:fldSimple w:instr=" SEQ Table \* ARABIC ">
        <w:r>
          <w:rPr>
            <w:noProof/>
          </w:rPr>
          <w:t>3</w:t>
        </w:r>
      </w:fldSimple>
      <w:bookmarkEnd w:id="9"/>
      <w:r>
        <w:t>:</w:t>
      </w:r>
      <w:r w:rsidRPr="005D51A1">
        <w:rPr>
          <w:lang w:val="en-GB"/>
        </w:rPr>
        <w:t xml:space="preserve"> </w:t>
      </w:r>
      <w:r w:rsidRPr="006166BB">
        <w:rPr>
          <w:lang w:val="en-GB"/>
        </w:rPr>
        <w:t>Average hourly values of revenue for the different markets in the ideal case.</w:t>
      </w:r>
    </w:p>
    <w:tbl>
      <w:tblPr>
        <w:tblStyle w:val="TableGrid"/>
        <w:tblW w:w="0" w:type="auto"/>
        <w:tblInd w:w="27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134"/>
        <w:gridCol w:w="1134"/>
        <w:gridCol w:w="1134"/>
        <w:gridCol w:w="1134"/>
      </w:tblGrid>
      <w:tr w:rsidR="006166BB" w:rsidRPr="006166BB" w14:paraId="10F0192B" w14:textId="77777777" w:rsidTr="005D51A1">
        <w:trPr>
          <w:trHeight w:val="283"/>
        </w:trPr>
        <w:tc>
          <w:tcPr>
            <w:tcW w:w="2268" w:type="dxa"/>
            <w:vMerge w:val="restart"/>
            <w:tcBorders>
              <w:top w:val="thinThickSmallGap" w:sz="12" w:space="0" w:color="auto"/>
            </w:tcBorders>
            <w:vAlign w:val="center"/>
          </w:tcPr>
          <w:p w14:paraId="3963E11F" w14:textId="77777777" w:rsidR="006166BB" w:rsidRPr="005D51A1" w:rsidRDefault="006166BB" w:rsidP="006166BB">
            <w:pPr>
              <w:suppressAutoHyphens/>
              <w:autoSpaceDN w:val="0"/>
              <w:spacing w:line="240" w:lineRule="auto"/>
              <w:jc w:val="center"/>
              <w:textAlignment w:val="baseline"/>
              <w:rPr>
                <w:rFonts w:eastAsia="Times New Roman"/>
                <w:noProof w:val="0"/>
                <w:color w:val="auto"/>
                <w:lang w:val="en-GB" w:eastAsia="en-US"/>
              </w:rPr>
            </w:pPr>
            <w:r w:rsidRPr="005D51A1">
              <w:rPr>
                <w:rFonts w:eastAsia="Times New Roman"/>
                <w:noProof w:val="0"/>
                <w:color w:val="auto"/>
                <w:lang w:val="en-GB" w:eastAsia="en-US"/>
              </w:rPr>
              <w:t>Market Revenue</w:t>
            </w:r>
          </w:p>
          <w:p w14:paraId="47C0404C" w14:textId="77777777" w:rsidR="006166BB" w:rsidRPr="005D51A1" w:rsidRDefault="006166BB" w:rsidP="006166BB">
            <w:pPr>
              <w:suppressAutoHyphens/>
              <w:autoSpaceDN w:val="0"/>
              <w:spacing w:line="240" w:lineRule="auto"/>
              <w:jc w:val="center"/>
              <w:textAlignment w:val="baseline"/>
              <w:rPr>
                <w:rFonts w:eastAsia="Times New Roman"/>
                <w:noProof w:val="0"/>
                <w:color w:val="auto"/>
                <w:lang w:val="en-GB" w:eastAsia="en-US"/>
              </w:rPr>
            </w:pPr>
            <w:r w:rsidRPr="005D51A1">
              <w:rPr>
                <w:rFonts w:eastAsia="Times New Roman"/>
                <w:noProof w:val="0"/>
                <w:color w:val="auto"/>
                <w:lang w:val="en-GB" w:eastAsia="en-US"/>
              </w:rPr>
              <w:t>(k€)</w:t>
            </w:r>
          </w:p>
        </w:tc>
        <w:tc>
          <w:tcPr>
            <w:tcW w:w="4536" w:type="dxa"/>
            <w:gridSpan w:val="4"/>
            <w:tcBorders>
              <w:top w:val="thinThickSmallGap" w:sz="12" w:space="0" w:color="auto"/>
              <w:bottom w:val="single" w:sz="4" w:space="0" w:color="auto"/>
            </w:tcBorders>
            <w:vAlign w:val="center"/>
          </w:tcPr>
          <w:p w14:paraId="356F7BE0" w14:textId="00CD35EA" w:rsidR="006166BB" w:rsidRPr="005D51A1" w:rsidRDefault="006166BB" w:rsidP="006166BB">
            <w:pPr>
              <w:suppressAutoHyphens/>
              <w:autoSpaceDN w:val="0"/>
              <w:spacing w:line="240" w:lineRule="auto"/>
              <w:jc w:val="center"/>
              <w:textAlignment w:val="baseline"/>
              <w:rPr>
                <w:rFonts w:eastAsia="Times New Roman"/>
                <w:noProof w:val="0"/>
                <w:color w:val="auto"/>
                <w:lang w:val="en-GB" w:eastAsia="en-US"/>
              </w:rPr>
            </w:pPr>
            <w:r w:rsidRPr="005D51A1">
              <w:rPr>
                <w:rFonts w:eastAsia="Times New Roman"/>
                <w:noProof w:val="0"/>
                <w:color w:val="auto"/>
                <w:lang w:val="en-GB" w:eastAsia="en-US"/>
              </w:rPr>
              <w:t>Market</w:t>
            </w:r>
          </w:p>
        </w:tc>
      </w:tr>
      <w:tr w:rsidR="006166BB" w:rsidRPr="006166BB" w14:paraId="7C8F993B" w14:textId="77777777" w:rsidTr="005D51A1">
        <w:trPr>
          <w:trHeight w:val="454"/>
        </w:trPr>
        <w:tc>
          <w:tcPr>
            <w:tcW w:w="2268" w:type="dxa"/>
            <w:vMerge/>
            <w:tcBorders>
              <w:bottom w:val="single" w:sz="4" w:space="0" w:color="auto"/>
            </w:tcBorders>
            <w:vAlign w:val="center"/>
          </w:tcPr>
          <w:p w14:paraId="66024376" w14:textId="77777777" w:rsidR="006166BB" w:rsidRPr="005D51A1" w:rsidRDefault="006166BB" w:rsidP="006166BB">
            <w:pPr>
              <w:suppressAutoHyphens/>
              <w:autoSpaceDN w:val="0"/>
              <w:spacing w:line="240" w:lineRule="auto"/>
              <w:jc w:val="center"/>
              <w:textAlignment w:val="baseline"/>
              <w:rPr>
                <w:rFonts w:eastAsia="Times New Roman"/>
                <w:noProof w:val="0"/>
                <w:color w:val="auto"/>
                <w:lang w:val="en-GB" w:eastAsia="en-US"/>
              </w:rPr>
            </w:pPr>
          </w:p>
        </w:tc>
        <w:tc>
          <w:tcPr>
            <w:tcW w:w="1134" w:type="dxa"/>
            <w:tcBorders>
              <w:top w:val="single" w:sz="4" w:space="0" w:color="auto"/>
              <w:bottom w:val="single" w:sz="4" w:space="0" w:color="auto"/>
            </w:tcBorders>
            <w:vAlign w:val="center"/>
          </w:tcPr>
          <w:p w14:paraId="7FE2F296" w14:textId="77777777" w:rsidR="006166BB" w:rsidRPr="005D51A1" w:rsidRDefault="006166BB" w:rsidP="006166BB">
            <w:pPr>
              <w:suppressAutoHyphens/>
              <w:autoSpaceDN w:val="0"/>
              <w:spacing w:line="240" w:lineRule="auto"/>
              <w:jc w:val="center"/>
              <w:textAlignment w:val="baseline"/>
              <w:rPr>
                <w:rFonts w:eastAsia="Times New Roman"/>
                <w:noProof w:val="0"/>
                <w:color w:val="auto"/>
                <w:lang w:val="en-GB" w:eastAsia="en-US"/>
              </w:rPr>
            </w:pPr>
            <w:r w:rsidRPr="005D51A1">
              <w:rPr>
                <w:rFonts w:eastAsia="Times New Roman"/>
                <w:noProof w:val="0"/>
                <w:color w:val="auto"/>
                <w:lang w:val="en-GB" w:eastAsia="en-US"/>
              </w:rPr>
              <w:t>DAM</w:t>
            </w:r>
          </w:p>
        </w:tc>
        <w:tc>
          <w:tcPr>
            <w:tcW w:w="1134" w:type="dxa"/>
            <w:tcBorders>
              <w:top w:val="single" w:sz="4" w:space="0" w:color="auto"/>
              <w:bottom w:val="single" w:sz="4" w:space="0" w:color="auto"/>
            </w:tcBorders>
            <w:vAlign w:val="center"/>
          </w:tcPr>
          <w:p w14:paraId="408153D6" w14:textId="77777777" w:rsidR="006166BB" w:rsidRPr="005D51A1" w:rsidRDefault="006166BB" w:rsidP="006166BB">
            <w:pPr>
              <w:suppressAutoHyphens/>
              <w:autoSpaceDN w:val="0"/>
              <w:spacing w:line="240" w:lineRule="auto"/>
              <w:jc w:val="center"/>
              <w:textAlignment w:val="baseline"/>
              <w:rPr>
                <w:rFonts w:eastAsia="Times New Roman"/>
                <w:noProof w:val="0"/>
                <w:color w:val="auto"/>
                <w:lang w:val="en-GB" w:eastAsia="en-US"/>
              </w:rPr>
            </w:pPr>
            <w:r w:rsidRPr="005D51A1">
              <w:rPr>
                <w:rFonts w:eastAsia="Times New Roman"/>
                <w:noProof w:val="0"/>
                <w:color w:val="auto"/>
                <w:lang w:val="en-GB" w:eastAsia="en-US"/>
              </w:rPr>
              <w:t>IDM</w:t>
            </w:r>
          </w:p>
        </w:tc>
        <w:tc>
          <w:tcPr>
            <w:tcW w:w="1134" w:type="dxa"/>
            <w:tcBorders>
              <w:top w:val="single" w:sz="4" w:space="0" w:color="auto"/>
              <w:bottom w:val="single" w:sz="4" w:space="0" w:color="auto"/>
            </w:tcBorders>
            <w:vAlign w:val="center"/>
          </w:tcPr>
          <w:p w14:paraId="3C7A0F96" w14:textId="77777777" w:rsidR="006166BB" w:rsidRPr="005D51A1" w:rsidRDefault="006166BB" w:rsidP="006166BB">
            <w:pPr>
              <w:suppressAutoHyphens/>
              <w:autoSpaceDN w:val="0"/>
              <w:spacing w:line="240" w:lineRule="auto"/>
              <w:jc w:val="center"/>
              <w:textAlignment w:val="baseline"/>
              <w:rPr>
                <w:rFonts w:eastAsia="Times New Roman"/>
                <w:noProof w:val="0"/>
                <w:color w:val="auto"/>
                <w:lang w:val="en-GB" w:eastAsia="en-US"/>
              </w:rPr>
            </w:pPr>
            <w:r w:rsidRPr="005D51A1">
              <w:rPr>
                <w:rFonts w:eastAsia="Times New Roman"/>
                <w:noProof w:val="0"/>
                <w:color w:val="auto"/>
                <w:lang w:val="en-GB" w:eastAsia="en-US"/>
              </w:rPr>
              <w:t>SR</w:t>
            </w:r>
          </w:p>
        </w:tc>
        <w:tc>
          <w:tcPr>
            <w:tcW w:w="1134" w:type="dxa"/>
            <w:tcBorders>
              <w:top w:val="single" w:sz="4" w:space="0" w:color="auto"/>
              <w:bottom w:val="single" w:sz="4" w:space="0" w:color="auto"/>
            </w:tcBorders>
            <w:vAlign w:val="center"/>
          </w:tcPr>
          <w:p w14:paraId="31B4B4FA" w14:textId="77777777" w:rsidR="006166BB" w:rsidRPr="005D51A1" w:rsidRDefault="006166BB" w:rsidP="006166BB">
            <w:pPr>
              <w:suppressAutoHyphens/>
              <w:autoSpaceDN w:val="0"/>
              <w:spacing w:line="240" w:lineRule="auto"/>
              <w:jc w:val="center"/>
              <w:textAlignment w:val="baseline"/>
              <w:rPr>
                <w:rFonts w:eastAsia="Times New Roman"/>
                <w:noProof w:val="0"/>
                <w:color w:val="auto"/>
                <w:lang w:val="en-GB" w:eastAsia="en-US"/>
              </w:rPr>
            </w:pPr>
            <w:r w:rsidRPr="005D51A1">
              <w:rPr>
                <w:rFonts w:eastAsia="Times New Roman"/>
                <w:noProof w:val="0"/>
                <w:color w:val="auto"/>
                <w:lang w:val="en-GB" w:eastAsia="en-US"/>
              </w:rPr>
              <w:t>TR</w:t>
            </w:r>
          </w:p>
        </w:tc>
      </w:tr>
      <w:tr w:rsidR="006166BB" w:rsidRPr="006166BB" w14:paraId="28C74438" w14:textId="77777777" w:rsidTr="005D51A1">
        <w:tc>
          <w:tcPr>
            <w:tcW w:w="2268" w:type="dxa"/>
            <w:tcBorders>
              <w:top w:val="single" w:sz="4" w:space="0" w:color="auto"/>
            </w:tcBorders>
            <w:vAlign w:val="center"/>
          </w:tcPr>
          <w:p w14:paraId="2BF67867" w14:textId="77777777" w:rsidR="006166BB" w:rsidRPr="005D51A1" w:rsidRDefault="006166BB" w:rsidP="006166BB">
            <w:pPr>
              <w:suppressAutoHyphens/>
              <w:autoSpaceDN w:val="0"/>
              <w:spacing w:line="240" w:lineRule="auto"/>
              <w:jc w:val="center"/>
              <w:textAlignment w:val="baseline"/>
              <w:rPr>
                <w:rFonts w:eastAsia="Times New Roman"/>
                <w:noProof w:val="0"/>
                <w:color w:val="auto"/>
                <w:lang w:val="en-GB" w:eastAsia="en-US"/>
              </w:rPr>
            </w:pPr>
            <w:r w:rsidRPr="005D51A1">
              <w:rPr>
                <w:rFonts w:eastAsia="Times New Roman"/>
                <w:noProof w:val="0"/>
                <w:color w:val="auto"/>
                <w:lang w:val="en-GB" w:eastAsia="en-US"/>
              </w:rPr>
              <w:t>Day-ahead</w:t>
            </w:r>
          </w:p>
        </w:tc>
        <w:tc>
          <w:tcPr>
            <w:tcW w:w="1134" w:type="dxa"/>
            <w:tcBorders>
              <w:top w:val="single" w:sz="4" w:space="0" w:color="auto"/>
            </w:tcBorders>
            <w:vAlign w:val="center"/>
          </w:tcPr>
          <w:p w14:paraId="2975C696" w14:textId="77777777" w:rsidR="006166BB" w:rsidRPr="005D51A1" w:rsidRDefault="006166BB" w:rsidP="006166BB">
            <w:pPr>
              <w:suppressAutoHyphens/>
              <w:autoSpaceDN w:val="0"/>
              <w:spacing w:line="240" w:lineRule="auto"/>
              <w:jc w:val="center"/>
              <w:textAlignment w:val="baseline"/>
              <w:rPr>
                <w:rFonts w:eastAsia="Times New Roman"/>
                <w:noProof w:val="0"/>
                <w:color w:val="auto"/>
                <w:lang w:val="en-GB" w:eastAsia="en-US"/>
              </w:rPr>
            </w:pPr>
            <w:r w:rsidRPr="005D51A1">
              <w:rPr>
                <w:rFonts w:eastAsia="Times New Roman"/>
                <w:noProof w:val="0"/>
                <w:color w:val="auto"/>
                <w:lang w:val="en-GB" w:eastAsia="en-US"/>
              </w:rPr>
              <w:t>2.54</w:t>
            </w:r>
          </w:p>
        </w:tc>
        <w:tc>
          <w:tcPr>
            <w:tcW w:w="1134" w:type="dxa"/>
            <w:tcBorders>
              <w:top w:val="single" w:sz="4" w:space="0" w:color="auto"/>
            </w:tcBorders>
            <w:vAlign w:val="center"/>
          </w:tcPr>
          <w:p w14:paraId="265020B1" w14:textId="77777777" w:rsidR="006166BB" w:rsidRPr="005D51A1" w:rsidRDefault="006166BB" w:rsidP="006166BB">
            <w:pPr>
              <w:suppressAutoHyphens/>
              <w:autoSpaceDN w:val="0"/>
              <w:spacing w:line="240" w:lineRule="auto"/>
              <w:jc w:val="center"/>
              <w:textAlignment w:val="baseline"/>
              <w:rPr>
                <w:rFonts w:eastAsia="Times New Roman"/>
                <w:noProof w:val="0"/>
                <w:color w:val="auto"/>
                <w:lang w:val="en-GB" w:eastAsia="en-US"/>
              </w:rPr>
            </w:pPr>
            <w:r w:rsidRPr="005D51A1">
              <w:rPr>
                <w:rFonts w:eastAsia="Times New Roman"/>
                <w:noProof w:val="0"/>
                <w:color w:val="auto"/>
                <w:lang w:val="en-GB" w:eastAsia="en-US"/>
              </w:rPr>
              <w:t>3.04</w:t>
            </w:r>
          </w:p>
        </w:tc>
        <w:tc>
          <w:tcPr>
            <w:tcW w:w="1134" w:type="dxa"/>
            <w:tcBorders>
              <w:top w:val="single" w:sz="4" w:space="0" w:color="auto"/>
            </w:tcBorders>
            <w:vAlign w:val="center"/>
          </w:tcPr>
          <w:p w14:paraId="6B02E29E" w14:textId="7A59E21C" w:rsidR="006166BB" w:rsidRPr="004560F5" w:rsidRDefault="006166BB" w:rsidP="006166BB">
            <w:pPr>
              <w:suppressAutoHyphens/>
              <w:autoSpaceDN w:val="0"/>
              <w:spacing w:line="240" w:lineRule="auto"/>
              <w:jc w:val="center"/>
              <w:textAlignment w:val="baseline"/>
              <w:rPr>
                <w:rFonts w:eastAsia="Times New Roman"/>
                <w:noProof w:val="0"/>
                <w:color w:val="auto"/>
                <w:lang w:val="en-GB" w:eastAsia="en-US"/>
              </w:rPr>
            </w:pPr>
            <w:r w:rsidRPr="004560F5">
              <w:rPr>
                <w:rFonts w:eastAsia="Times New Roman"/>
                <w:noProof w:val="0"/>
                <w:color w:val="auto"/>
                <w:lang w:val="en-GB" w:eastAsia="en-US"/>
              </w:rPr>
              <w:t>1.7</w:t>
            </w:r>
            <w:r w:rsidR="00B506CB">
              <w:rPr>
                <w:rFonts w:eastAsia="Times New Roman"/>
                <w:noProof w:val="0"/>
                <w:color w:val="auto"/>
                <w:lang w:val="en-GB" w:eastAsia="en-US"/>
              </w:rPr>
              <w:t>5</w:t>
            </w:r>
          </w:p>
        </w:tc>
        <w:tc>
          <w:tcPr>
            <w:tcW w:w="1134" w:type="dxa"/>
            <w:tcBorders>
              <w:top w:val="single" w:sz="4" w:space="0" w:color="auto"/>
            </w:tcBorders>
            <w:vAlign w:val="center"/>
          </w:tcPr>
          <w:p w14:paraId="68BCA9B4" w14:textId="2F4BAEFD" w:rsidR="006166BB" w:rsidRPr="004560F5" w:rsidRDefault="006166BB" w:rsidP="006166BB">
            <w:pPr>
              <w:suppressAutoHyphens/>
              <w:autoSpaceDN w:val="0"/>
              <w:spacing w:line="240" w:lineRule="auto"/>
              <w:jc w:val="center"/>
              <w:textAlignment w:val="baseline"/>
              <w:rPr>
                <w:rFonts w:eastAsia="Times New Roman"/>
                <w:noProof w:val="0"/>
                <w:color w:val="auto"/>
                <w:lang w:val="en-GB" w:eastAsia="en-US"/>
              </w:rPr>
            </w:pPr>
            <w:r w:rsidRPr="004560F5">
              <w:rPr>
                <w:rFonts w:eastAsia="Times New Roman"/>
                <w:noProof w:val="0"/>
                <w:color w:val="auto"/>
                <w:lang w:val="en-GB" w:eastAsia="en-US"/>
              </w:rPr>
              <w:t>3.2</w:t>
            </w:r>
            <w:r w:rsidR="004560F5" w:rsidRPr="004560F5">
              <w:rPr>
                <w:rFonts w:eastAsia="Times New Roman"/>
                <w:noProof w:val="0"/>
                <w:color w:val="auto"/>
                <w:lang w:val="en-GB" w:eastAsia="en-US"/>
              </w:rPr>
              <w:t>6</w:t>
            </w:r>
          </w:p>
        </w:tc>
      </w:tr>
      <w:tr w:rsidR="006166BB" w:rsidRPr="006166BB" w14:paraId="1E2C28B0" w14:textId="77777777" w:rsidTr="005D51A1">
        <w:tc>
          <w:tcPr>
            <w:tcW w:w="2268" w:type="dxa"/>
            <w:vAlign w:val="center"/>
          </w:tcPr>
          <w:p w14:paraId="7F90EC69" w14:textId="77777777" w:rsidR="006166BB" w:rsidRPr="005D51A1" w:rsidRDefault="006166BB" w:rsidP="006166BB">
            <w:pPr>
              <w:suppressAutoHyphens/>
              <w:autoSpaceDN w:val="0"/>
              <w:spacing w:line="240" w:lineRule="auto"/>
              <w:jc w:val="center"/>
              <w:textAlignment w:val="baseline"/>
              <w:rPr>
                <w:rFonts w:eastAsia="Times New Roman"/>
                <w:noProof w:val="0"/>
                <w:color w:val="auto"/>
                <w:lang w:val="en-GB" w:eastAsia="en-US"/>
              </w:rPr>
            </w:pPr>
            <w:r w:rsidRPr="005D51A1">
              <w:rPr>
                <w:rFonts w:eastAsia="Times New Roman"/>
                <w:noProof w:val="0"/>
                <w:color w:val="auto"/>
                <w:lang w:val="en-GB" w:eastAsia="en-US"/>
              </w:rPr>
              <w:t>Intraday</w:t>
            </w:r>
          </w:p>
        </w:tc>
        <w:tc>
          <w:tcPr>
            <w:tcW w:w="1134" w:type="dxa"/>
            <w:vAlign w:val="center"/>
          </w:tcPr>
          <w:p w14:paraId="75CA70B4" w14:textId="77777777" w:rsidR="006166BB" w:rsidRPr="005D51A1" w:rsidRDefault="006166BB" w:rsidP="006166BB">
            <w:pPr>
              <w:suppressAutoHyphens/>
              <w:autoSpaceDN w:val="0"/>
              <w:spacing w:line="240" w:lineRule="auto"/>
              <w:jc w:val="center"/>
              <w:textAlignment w:val="baseline"/>
              <w:rPr>
                <w:rFonts w:eastAsia="Times New Roman"/>
                <w:noProof w:val="0"/>
                <w:color w:val="auto"/>
                <w:lang w:val="en-GB" w:eastAsia="en-US"/>
              </w:rPr>
            </w:pPr>
            <w:r w:rsidRPr="005D51A1">
              <w:rPr>
                <w:rFonts w:eastAsia="Times New Roman"/>
                <w:noProof w:val="0"/>
                <w:color w:val="auto"/>
                <w:lang w:val="en-GB" w:eastAsia="en-US"/>
              </w:rPr>
              <w:t>-</w:t>
            </w:r>
          </w:p>
        </w:tc>
        <w:tc>
          <w:tcPr>
            <w:tcW w:w="1134" w:type="dxa"/>
            <w:vAlign w:val="center"/>
          </w:tcPr>
          <w:p w14:paraId="72528D44" w14:textId="77777777" w:rsidR="006166BB" w:rsidRPr="005D51A1" w:rsidRDefault="006166BB" w:rsidP="006166BB">
            <w:pPr>
              <w:suppressAutoHyphens/>
              <w:autoSpaceDN w:val="0"/>
              <w:spacing w:line="240" w:lineRule="auto"/>
              <w:jc w:val="center"/>
              <w:textAlignment w:val="baseline"/>
              <w:rPr>
                <w:rFonts w:eastAsia="Times New Roman"/>
                <w:noProof w:val="0"/>
                <w:color w:val="auto"/>
                <w:lang w:val="en-GB" w:eastAsia="en-US"/>
              </w:rPr>
            </w:pPr>
            <w:r w:rsidRPr="005D51A1">
              <w:rPr>
                <w:rFonts w:eastAsia="Times New Roman"/>
                <w:noProof w:val="0"/>
                <w:color w:val="auto"/>
                <w:lang w:val="en-GB" w:eastAsia="en-US"/>
              </w:rPr>
              <w:t>-0.19</w:t>
            </w:r>
          </w:p>
        </w:tc>
        <w:tc>
          <w:tcPr>
            <w:tcW w:w="1134" w:type="dxa"/>
            <w:vAlign w:val="center"/>
          </w:tcPr>
          <w:p w14:paraId="64026ED9" w14:textId="59AFA234" w:rsidR="006166BB" w:rsidRPr="004560F5" w:rsidRDefault="006166BB" w:rsidP="006166BB">
            <w:pPr>
              <w:suppressAutoHyphens/>
              <w:autoSpaceDN w:val="0"/>
              <w:spacing w:line="240" w:lineRule="auto"/>
              <w:jc w:val="center"/>
              <w:textAlignment w:val="baseline"/>
              <w:rPr>
                <w:rFonts w:eastAsia="Times New Roman"/>
                <w:noProof w:val="0"/>
                <w:color w:val="auto"/>
                <w:lang w:val="en-GB" w:eastAsia="en-US"/>
              </w:rPr>
            </w:pPr>
            <w:r w:rsidRPr="004560F5">
              <w:rPr>
                <w:rFonts w:eastAsia="Times New Roman"/>
                <w:noProof w:val="0"/>
                <w:color w:val="auto"/>
                <w:lang w:val="en-GB" w:eastAsia="en-US"/>
              </w:rPr>
              <w:t>0.</w:t>
            </w:r>
            <w:r w:rsidR="00B506CB">
              <w:rPr>
                <w:rFonts w:eastAsia="Times New Roman"/>
                <w:noProof w:val="0"/>
                <w:color w:val="auto"/>
                <w:lang w:val="en-GB" w:eastAsia="en-US"/>
              </w:rPr>
              <w:t>10</w:t>
            </w:r>
          </w:p>
        </w:tc>
        <w:tc>
          <w:tcPr>
            <w:tcW w:w="1134" w:type="dxa"/>
            <w:vAlign w:val="center"/>
          </w:tcPr>
          <w:p w14:paraId="4C63727E" w14:textId="102DC435" w:rsidR="006166BB" w:rsidRPr="004560F5" w:rsidRDefault="006166BB" w:rsidP="006166BB">
            <w:pPr>
              <w:suppressAutoHyphens/>
              <w:autoSpaceDN w:val="0"/>
              <w:spacing w:line="240" w:lineRule="auto"/>
              <w:jc w:val="center"/>
              <w:textAlignment w:val="baseline"/>
              <w:rPr>
                <w:rFonts w:eastAsia="Times New Roman"/>
                <w:noProof w:val="0"/>
                <w:color w:val="auto"/>
                <w:lang w:val="en-GB" w:eastAsia="en-US"/>
              </w:rPr>
            </w:pPr>
            <w:r w:rsidRPr="004560F5">
              <w:rPr>
                <w:rFonts w:eastAsia="Times New Roman"/>
                <w:noProof w:val="0"/>
                <w:color w:val="auto"/>
                <w:lang w:val="en-GB" w:eastAsia="en-US"/>
              </w:rPr>
              <w:t>0.0</w:t>
            </w:r>
            <w:r w:rsidR="004560F5" w:rsidRPr="004560F5">
              <w:rPr>
                <w:rFonts w:eastAsia="Times New Roman"/>
                <w:noProof w:val="0"/>
                <w:color w:val="auto"/>
                <w:lang w:val="en-GB" w:eastAsia="en-US"/>
              </w:rPr>
              <w:t>4</w:t>
            </w:r>
          </w:p>
        </w:tc>
      </w:tr>
      <w:tr w:rsidR="006166BB" w:rsidRPr="006166BB" w14:paraId="59960AE9" w14:textId="77777777" w:rsidTr="005D51A1">
        <w:tc>
          <w:tcPr>
            <w:tcW w:w="2268" w:type="dxa"/>
            <w:vAlign w:val="center"/>
          </w:tcPr>
          <w:p w14:paraId="1F21A468" w14:textId="77777777" w:rsidR="006166BB" w:rsidRPr="005D51A1" w:rsidRDefault="006166BB" w:rsidP="006166BB">
            <w:pPr>
              <w:suppressAutoHyphens/>
              <w:autoSpaceDN w:val="0"/>
              <w:spacing w:line="240" w:lineRule="auto"/>
              <w:jc w:val="center"/>
              <w:textAlignment w:val="baseline"/>
              <w:rPr>
                <w:rFonts w:eastAsia="Times New Roman"/>
                <w:noProof w:val="0"/>
                <w:color w:val="auto"/>
                <w:lang w:val="en-GB" w:eastAsia="en-US"/>
              </w:rPr>
            </w:pPr>
            <w:r w:rsidRPr="005D51A1">
              <w:rPr>
                <w:rFonts w:eastAsia="Times New Roman"/>
                <w:noProof w:val="0"/>
                <w:color w:val="auto"/>
                <w:lang w:val="en-GB" w:eastAsia="en-US"/>
              </w:rPr>
              <w:t>Capacity</w:t>
            </w:r>
          </w:p>
        </w:tc>
        <w:tc>
          <w:tcPr>
            <w:tcW w:w="1134" w:type="dxa"/>
            <w:vAlign w:val="center"/>
          </w:tcPr>
          <w:p w14:paraId="68ACF3A9" w14:textId="77777777" w:rsidR="006166BB" w:rsidRPr="005D51A1" w:rsidRDefault="006166BB" w:rsidP="006166BB">
            <w:pPr>
              <w:suppressAutoHyphens/>
              <w:autoSpaceDN w:val="0"/>
              <w:spacing w:line="240" w:lineRule="auto"/>
              <w:jc w:val="center"/>
              <w:textAlignment w:val="baseline"/>
              <w:rPr>
                <w:rFonts w:eastAsia="Times New Roman"/>
                <w:noProof w:val="0"/>
                <w:color w:val="auto"/>
                <w:lang w:val="en-GB" w:eastAsia="en-US"/>
              </w:rPr>
            </w:pPr>
            <w:r w:rsidRPr="005D51A1">
              <w:rPr>
                <w:rFonts w:eastAsia="Times New Roman"/>
                <w:noProof w:val="0"/>
                <w:color w:val="auto"/>
                <w:lang w:val="en-GB" w:eastAsia="en-US"/>
              </w:rPr>
              <w:t>-</w:t>
            </w:r>
          </w:p>
        </w:tc>
        <w:tc>
          <w:tcPr>
            <w:tcW w:w="1134" w:type="dxa"/>
            <w:vAlign w:val="center"/>
          </w:tcPr>
          <w:p w14:paraId="4E0C77FB" w14:textId="77777777" w:rsidR="006166BB" w:rsidRPr="005D51A1" w:rsidRDefault="006166BB" w:rsidP="006166BB">
            <w:pPr>
              <w:suppressAutoHyphens/>
              <w:autoSpaceDN w:val="0"/>
              <w:spacing w:line="240" w:lineRule="auto"/>
              <w:jc w:val="center"/>
              <w:textAlignment w:val="baseline"/>
              <w:rPr>
                <w:rFonts w:eastAsia="Times New Roman"/>
                <w:noProof w:val="0"/>
                <w:color w:val="auto"/>
                <w:lang w:val="en-GB" w:eastAsia="en-US"/>
              </w:rPr>
            </w:pPr>
            <w:r w:rsidRPr="005D51A1">
              <w:rPr>
                <w:rFonts w:eastAsia="Times New Roman"/>
                <w:noProof w:val="0"/>
                <w:color w:val="auto"/>
                <w:lang w:val="en-GB" w:eastAsia="en-US"/>
              </w:rPr>
              <w:t>-</w:t>
            </w:r>
          </w:p>
        </w:tc>
        <w:tc>
          <w:tcPr>
            <w:tcW w:w="1134" w:type="dxa"/>
            <w:vAlign w:val="center"/>
          </w:tcPr>
          <w:p w14:paraId="4F63AD00" w14:textId="69883F20" w:rsidR="006166BB" w:rsidRPr="004560F5" w:rsidRDefault="004560F5" w:rsidP="006166BB">
            <w:pPr>
              <w:suppressAutoHyphens/>
              <w:autoSpaceDN w:val="0"/>
              <w:spacing w:line="240" w:lineRule="auto"/>
              <w:jc w:val="center"/>
              <w:textAlignment w:val="baseline"/>
              <w:rPr>
                <w:rFonts w:eastAsia="Times New Roman"/>
                <w:noProof w:val="0"/>
                <w:color w:val="auto"/>
                <w:lang w:val="en-GB" w:eastAsia="en-US"/>
              </w:rPr>
            </w:pPr>
            <w:r w:rsidRPr="004560F5">
              <w:rPr>
                <w:rFonts w:eastAsia="Times New Roman"/>
                <w:noProof w:val="0"/>
                <w:color w:val="auto"/>
                <w:lang w:val="en-GB" w:eastAsia="en-US"/>
              </w:rPr>
              <w:t>3.0</w:t>
            </w:r>
            <w:r w:rsidR="00B506CB">
              <w:rPr>
                <w:rFonts w:eastAsia="Times New Roman"/>
                <w:noProof w:val="0"/>
                <w:color w:val="auto"/>
                <w:lang w:val="en-GB" w:eastAsia="en-US"/>
              </w:rPr>
              <w:t>1</w:t>
            </w:r>
          </w:p>
        </w:tc>
        <w:tc>
          <w:tcPr>
            <w:tcW w:w="1134" w:type="dxa"/>
            <w:vAlign w:val="center"/>
          </w:tcPr>
          <w:p w14:paraId="3DF0CA84" w14:textId="77777777" w:rsidR="006166BB" w:rsidRPr="004560F5" w:rsidRDefault="006166BB" w:rsidP="006166BB">
            <w:pPr>
              <w:suppressAutoHyphens/>
              <w:autoSpaceDN w:val="0"/>
              <w:spacing w:line="240" w:lineRule="auto"/>
              <w:jc w:val="center"/>
              <w:textAlignment w:val="baseline"/>
              <w:rPr>
                <w:rFonts w:eastAsia="Times New Roman"/>
                <w:noProof w:val="0"/>
                <w:color w:val="auto"/>
                <w:lang w:val="en-GB" w:eastAsia="en-US"/>
              </w:rPr>
            </w:pPr>
            <w:r w:rsidRPr="004560F5">
              <w:rPr>
                <w:rFonts w:eastAsia="Times New Roman"/>
                <w:noProof w:val="0"/>
                <w:color w:val="auto"/>
                <w:lang w:val="en-GB" w:eastAsia="en-US"/>
              </w:rPr>
              <w:t>-</w:t>
            </w:r>
          </w:p>
        </w:tc>
      </w:tr>
      <w:tr w:rsidR="006166BB" w:rsidRPr="006166BB" w14:paraId="37B8A5D2" w14:textId="77777777" w:rsidTr="005D51A1">
        <w:tc>
          <w:tcPr>
            <w:tcW w:w="2268" w:type="dxa"/>
            <w:vAlign w:val="center"/>
          </w:tcPr>
          <w:p w14:paraId="6C2D6821" w14:textId="77777777" w:rsidR="006166BB" w:rsidRPr="005D51A1" w:rsidRDefault="006166BB" w:rsidP="006166BB">
            <w:pPr>
              <w:suppressAutoHyphens/>
              <w:autoSpaceDN w:val="0"/>
              <w:spacing w:line="240" w:lineRule="auto"/>
              <w:jc w:val="center"/>
              <w:textAlignment w:val="baseline"/>
              <w:rPr>
                <w:rFonts w:eastAsia="Times New Roman"/>
                <w:noProof w:val="0"/>
                <w:color w:val="auto"/>
                <w:lang w:val="en-GB" w:eastAsia="en-US"/>
              </w:rPr>
            </w:pPr>
            <w:r w:rsidRPr="005D51A1">
              <w:rPr>
                <w:rFonts w:eastAsia="Times New Roman"/>
                <w:noProof w:val="0"/>
                <w:color w:val="auto"/>
                <w:lang w:val="en-GB" w:eastAsia="en-US"/>
              </w:rPr>
              <w:t>Energy</w:t>
            </w:r>
          </w:p>
        </w:tc>
        <w:tc>
          <w:tcPr>
            <w:tcW w:w="1134" w:type="dxa"/>
            <w:vAlign w:val="center"/>
          </w:tcPr>
          <w:p w14:paraId="2500B1E0" w14:textId="77777777" w:rsidR="006166BB" w:rsidRPr="005D51A1" w:rsidRDefault="006166BB" w:rsidP="006166BB">
            <w:pPr>
              <w:suppressAutoHyphens/>
              <w:autoSpaceDN w:val="0"/>
              <w:spacing w:line="240" w:lineRule="auto"/>
              <w:jc w:val="center"/>
              <w:textAlignment w:val="baseline"/>
              <w:rPr>
                <w:rFonts w:eastAsia="Times New Roman"/>
                <w:noProof w:val="0"/>
                <w:color w:val="auto"/>
                <w:lang w:val="en-GB" w:eastAsia="en-US"/>
              </w:rPr>
            </w:pPr>
            <w:r w:rsidRPr="005D51A1">
              <w:rPr>
                <w:rFonts w:eastAsia="Times New Roman"/>
                <w:noProof w:val="0"/>
                <w:color w:val="auto"/>
                <w:lang w:val="en-GB" w:eastAsia="en-US"/>
              </w:rPr>
              <w:t>-</w:t>
            </w:r>
          </w:p>
        </w:tc>
        <w:tc>
          <w:tcPr>
            <w:tcW w:w="1134" w:type="dxa"/>
            <w:vAlign w:val="center"/>
          </w:tcPr>
          <w:p w14:paraId="26B4A9D4" w14:textId="77777777" w:rsidR="006166BB" w:rsidRPr="005D51A1" w:rsidRDefault="006166BB" w:rsidP="006166BB">
            <w:pPr>
              <w:suppressAutoHyphens/>
              <w:autoSpaceDN w:val="0"/>
              <w:spacing w:line="240" w:lineRule="auto"/>
              <w:jc w:val="center"/>
              <w:textAlignment w:val="baseline"/>
              <w:rPr>
                <w:rFonts w:eastAsia="Times New Roman"/>
                <w:noProof w:val="0"/>
                <w:color w:val="auto"/>
                <w:lang w:val="en-GB" w:eastAsia="en-US"/>
              </w:rPr>
            </w:pPr>
            <w:r w:rsidRPr="005D51A1">
              <w:rPr>
                <w:rFonts w:eastAsia="Times New Roman"/>
                <w:noProof w:val="0"/>
                <w:color w:val="auto"/>
                <w:lang w:val="en-GB" w:eastAsia="en-US"/>
              </w:rPr>
              <w:t>-</w:t>
            </w:r>
          </w:p>
        </w:tc>
        <w:tc>
          <w:tcPr>
            <w:tcW w:w="1134" w:type="dxa"/>
            <w:vAlign w:val="center"/>
          </w:tcPr>
          <w:p w14:paraId="7BE4007B" w14:textId="3136B216" w:rsidR="006166BB" w:rsidRPr="004560F5" w:rsidRDefault="006166BB" w:rsidP="006166BB">
            <w:pPr>
              <w:suppressAutoHyphens/>
              <w:autoSpaceDN w:val="0"/>
              <w:spacing w:line="240" w:lineRule="auto"/>
              <w:jc w:val="center"/>
              <w:textAlignment w:val="baseline"/>
              <w:rPr>
                <w:rFonts w:eastAsia="Times New Roman"/>
                <w:noProof w:val="0"/>
                <w:color w:val="auto"/>
                <w:lang w:val="en-GB" w:eastAsia="en-US"/>
              </w:rPr>
            </w:pPr>
            <w:r w:rsidRPr="004560F5">
              <w:rPr>
                <w:rFonts w:eastAsia="Times New Roman"/>
                <w:noProof w:val="0"/>
                <w:color w:val="auto"/>
                <w:lang w:val="en-GB" w:eastAsia="en-US"/>
              </w:rPr>
              <w:t>0.8</w:t>
            </w:r>
            <w:r w:rsidR="00B506CB">
              <w:rPr>
                <w:rFonts w:eastAsia="Times New Roman"/>
                <w:noProof w:val="0"/>
                <w:color w:val="auto"/>
                <w:lang w:val="en-GB" w:eastAsia="en-US"/>
              </w:rPr>
              <w:t>4</w:t>
            </w:r>
          </w:p>
        </w:tc>
        <w:tc>
          <w:tcPr>
            <w:tcW w:w="1134" w:type="dxa"/>
            <w:vAlign w:val="center"/>
          </w:tcPr>
          <w:p w14:paraId="74F3600C" w14:textId="77777777" w:rsidR="006166BB" w:rsidRPr="004560F5" w:rsidRDefault="006166BB" w:rsidP="006166BB">
            <w:pPr>
              <w:suppressAutoHyphens/>
              <w:autoSpaceDN w:val="0"/>
              <w:spacing w:line="240" w:lineRule="auto"/>
              <w:jc w:val="center"/>
              <w:textAlignment w:val="baseline"/>
              <w:rPr>
                <w:rFonts w:eastAsia="Times New Roman"/>
                <w:noProof w:val="0"/>
                <w:color w:val="auto"/>
                <w:lang w:val="en-GB" w:eastAsia="en-US"/>
              </w:rPr>
            </w:pPr>
            <w:r w:rsidRPr="004560F5">
              <w:rPr>
                <w:rFonts w:eastAsia="Times New Roman"/>
                <w:noProof w:val="0"/>
                <w:color w:val="auto"/>
                <w:lang w:val="en-GB" w:eastAsia="en-US"/>
              </w:rPr>
              <w:t>0.05</w:t>
            </w:r>
          </w:p>
        </w:tc>
      </w:tr>
      <w:tr w:rsidR="006166BB" w:rsidRPr="006166BB" w14:paraId="13015722" w14:textId="77777777" w:rsidTr="005D51A1">
        <w:tc>
          <w:tcPr>
            <w:tcW w:w="2268" w:type="dxa"/>
            <w:tcBorders>
              <w:bottom w:val="thinThickSmallGap" w:sz="12" w:space="0" w:color="auto"/>
            </w:tcBorders>
            <w:vAlign w:val="center"/>
          </w:tcPr>
          <w:p w14:paraId="41BE2DB3" w14:textId="77777777" w:rsidR="006166BB" w:rsidRPr="005D51A1" w:rsidRDefault="006166BB" w:rsidP="006166BB">
            <w:pPr>
              <w:suppressAutoHyphens/>
              <w:autoSpaceDN w:val="0"/>
              <w:spacing w:line="240" w:lineRule="auto"/>
              <w:jc w:val="center"/>
              <w:textAlignment w:val="baseline"/>
              <w:rPr>
                <w:rFonts w:eastAsia="Times New Roman"/>
                <w:noProof w:val="0"/>
                <w:color w:val="auto"/>
                <w:lang w:val="en-GB" w:eastAsia="en-US"/>
              </w:rPr>
            </w:pPr>
            <w:r w:rsidRPr="005D51A1">
              <w:rPr>
                <w:rFonts w:eastAsia="Times New Roman"/>
                <w:noProof w:val="0"/>
                <w:color w:val="auto"/>
                <w:lang w:val="en-GB" w:eastAsia="en-US"/>
              </w:rPr>
              <w:t>Imbalance Settlement</w:t>
            </w:r>
          </w:p>
        </w:tc>
        <w:tc>
          <w:tcPr>
            <w:tcW w:w="1134" w:type="dxa"/>
            <w:tcBorders>
              <w:bottom w:val="thinThickSmallGap" w:sz="12" w:space="0" w:color="auto"/>
            </w:tcBorders>
            <w:vAlign w:val="center"/>
          </w:tcPr>
          <w:p w14:paraId="37EBFFA6" w14:textId="77777777" w:rsidR="006166BB" w:rsidRPr="005D51A1" w:rsidRDefault="006166BB" w:rsidP="006166BB">
            <w:pPr>
              <w:suppressAutoHyphens/>
              <w:autoSpaceDN w:val="0"/>
              <w:spacing w:line="240" w:lineRule="auto"/>
              <w:jc w:val="center"/>
              <w:textAlignment w:val="baseline"/>
              <w:rPr>
                <w:rFonts w:eastAsia="Times New Roman"/>
                <w:noProof w:val="0"/>
                <w:color w:val="auto"/>
                <w:lang w:val="en-GB" w:eastAsia="en-US"/>
              </w:rPr>
            </w:pPr>
            <w:r w:rsidRPr="005D51A1">
              <w:rPr>
                <w:rFonts w:eastAsia="Times New Roman"/>
                <w:noProof w:val="0"/>
                <w:color w:val="auto"/>
                <w:lang w:val="en-GB" w:eastAsia="en-US"/>
              </w:rPr>
              <w:t>-0.09</w:t>
            </w:r>
          </w:p>
        </w:tc>
        <w:tc>
          <w:tcPr>
            <w:tcW w:w="1134" w:type="dxa"/>
            <w:tcBorders>
              <w:bottom w:val="thinThickSmallGap" w:sz="12" w:space="0" w:color="auto"/>
            </w:tcBorders>
            <w:vAlign w:val="center"/>
          </w:tcPr>
          <w:p w14:paraId="73BB520D" w14:textId="77777777" w:rsidR="006166BB" w:rsidRPr="005D51A1" w:rsidRDefault="006166BB" w:rsidP="006166BB">
            <w:pPr>
              <w:suppressAutoHyphens/>
              <w:autoSpaceDN w:val="0"/>
              <w:spacing w:line="240" w:lineRule="auto"/>
              <w:jc w:val="center"/>
              <w:textAlignment w:val="baseline"/>
              <w:rPr>
                <w:rFonts w:eastAsia="Times New Roman"/>
                <w:noProof w:val="0"/>
                <w:color w:val="auto"/>
                <w:lang w:val="en-GB" w:eastAsia="en-US"/>
              </w:rPr>
            </w:pPr>
            <w:r w:rsidRPr="005D51A1">
              <w:rPr>
                <w:rFonts w:eastAsia="Times New Roman"/>
                <w:noProof w:val="0"/>
                <w:color w:val="auto"/>
                <w:lang w:val="en-GB" w:eastAsia="en-US"/>
              </w:rPr>
              <w:t>-0.01</w:t>
            </w:r>
          </w:p>
        </w:tc>
        <w:tc>
          <w:tcPr>
            <w:tcW w:w="1134" w:type="dxa"/>
            <w:tcBorders>
              <w:bottom w:val="thinThickSmallGap" w:sz="12" w:space="0" w:color="auto"/>
            </w:tcBorders>
            <w:vAlign w:val="center"/>
          </w:tcPr>
          <w:p w14:paraId="7447B940" w14:textId="03CECDBF" w:rsidR="006166BB" w:rsidRPr="004560F5" w:rsidRDefault="006166BB" w:rsidP="006166BB">
            <w:pPr>
              <w:suppressAutoHyphens/>
              <w:autoSpaceDN w:val="0"/>
              <w:spacing w:line="240" w:lineRule="auto"/>
              <w:jc w:val="center"/>
              <w:textAlignment w:val="baseline"/>
              <w:rPr>
                <w:rFonts w:eastAsia="Times New Roman"/>
                <w:noProof w:val="0"/>
                <w:color w:val="auto"/>
                <w:lang w:val="en-GB" w:eastAsia="en-US"/>
              </w:rPr>
            </w:pPr>
            <w:r w:rsidRPr="004560F5">
              <w:rPr>
                <w:rFonts w:eastAsia="Times New Roman"/>
                <w:noProof w:val="0"/>
                <w:color w:val="auto"/>
                <w:lang w:val="en-GB" w:eastAsia="en-US"/>
              </w:rPr>
              <w:t>-0.4</w:t>
            </w:r>
            <w:r w:rsidR="004560F5" w:rsidRPr="004560F5">
              <w:rPr>
                <w:rFonts w:eastAsia="Times New Roman"/>
                <w:noProof w:val="0"/>
                <w:color w:val="auto"/>
                <w:lang w:val="en-GB" w:eastAsia="en-US"/>
              </w:rPr>
              <w:t>6</w:t>
            </w:r>
          </w:p>
        </w:tc>
        <w:tc>
          <w:tcPr>
            <w:tcW w:w="1134" w:type="dxa"/>
            <w:tcBorders>
              <w:bottom w:val="thinThickSmallGap" w:sz="12" w:space="0" w:color="auto"/>
            </w:tcBorders>
            <w:vAlign w:val="center"/>
          </w:tcPr>
          <w:p w14:paraId="7E9AC841" w14:textId="46C77923" w:rsidR="006166BB" w:rsidRPr="004560F5" w:rsidRDefault="006166BB" w:rsidP="006166BB">
            <w:pPr>
              <w:suppressAutoHyphens/>
              <w:autoSpaceDN w:val="0"/>
              <w:spacing w:line="240" w:lineRule="auto"/>
              <w:jc w:val="center"/>
              <w:textAlignment w:val="baseline"/>
              <w:rPr>
                <w:rFonts w:eastAsia="Times New Roman"/>
                <w:noProof w:val="0"/>
                <w:color w:val="auto"/>
                <w:lang w:val="en-GB" w:eastAsia="en-US"/>
              </w:rPr>
            </w:pPr>
            <w:r w:rsidRPr="004560F5">
              <w:rPr>
                <w:rFonts w:eastAsia="Times New Roman"/>
                <w:noProof w:val="0"/>
                <w:color w:val="auto"/>
                <w:lang w:val="en-GB" w:eastAsia="en-US"/>
              </w:rPr>
              <w:t>0.0</w:t>
            </w:r>
            <w:r w:rsidR="004560F5" w:rsidRPr="004560F5">
              <w:rPr>
                <w:rFonts w:eastAsia="Times New Roman"/>
                <w:noProof w:val="0"/>
                <w:color w:val="auto"/>
                <w:lang w:val="en-GB" w:eastAsia="en-US"/>
              </w:rPr>
              <w:t>1</w:t>
            </w:r>
          </w:p>
        </w:tc>
      </w:tr>
    </w:tbl>
    <w:p w14:paraId="4028702F" w14:textId="5EEB285B" w:rsidR="00B320ED" w:rsidRDefault="00B320ED" w:rsidP="00AD3D0F">
      <w:pPr>
        <w:pStyle w:val="MDPI31text"/>
        <w:rPr>
          <w:color w:val="auto"/>
          <w:lang w:val="en-GB"/>
        </w:rPr>
      </w:pPr>
      <w:r>
        <w:rPr>
          <w:color w:val="auto"/>
          <w:lang w:val="en-GB"/>
        </w:rPr>
        <w:t xml:space="preserve">Analysing </w:t>
      </w:r>
      <w:r w:rsidR="005D51A1">
        <w:rPr>
          <w:color w:val="auto"/>
          <w:lang w:val="en-GB"/>
        </w:rPr>
        <w:fldChar w:fldCharType="begin"/>
      </w:r>
      <w:r w:rsidR="005D51A1">
        <w:rPr>
          <w:color w:val="auto"/>
          <w:lang w:val="en-GB"/>
        </w:rPr>
        <w:instrText xml:space="preserve"> REF _Ref191375395 \h </w:instrText>
      </w:r>
      <w:r w:rsidR="005D51A1">
        <w:rPr>
          <w:color w:val="auto"/>
          <w:lang w:val="en-GB"/>
        </w:rPr>
      </w:r>
      <w:r w:rsidR="005D51A1">
        <w:rPr>
          <w:color w:val="auto"/>
          <w:lang w:val="en-GB"/>
        </w:rPr>
        <w:fldChar w:fldCharType="separate"/>
      </w:r>
      <w:r w:rsidR="005D51A1">
        <w:t xml:space="preserve">Table </w:t>
      </w:r>
      <w:r w:rsidR="005D51A1">
        <w:rPr>
          <w:noProof/>
        </w:rPr>
        <w:t>3</w:t>
      </w:r>
      <w:r w:rsidR="005D51A1">
        <w:rPr>
          <w:color w:val="auto"/>
          <w:lang w:val="en-GB"/>
        </w:rPr>
        <w:fldChar w:fldCharType="end"/>
      </w:r>
      <w:r w:rsidR="005D51A1">
        <w:rPr>
          <w:color w:val="auto"/>
          <w:lang w:val="en-GB"/>
        </w:rPr>
        <w:t xml:space="preserve"> </w:t>
      </w:r>
      <w:r>
        <w:rPr>
          <w:color w:val="auto"/>
          <w:lang w:val="en-GB"/>
        </w:rPr>
        <w:t>can be verified that the provision of reserve capacity in SR is the option that provides the higher revenue to the WPPs. Indeed, with increasing levels of vRES, as the main provider of energy, its provision of capacity is important to guarantee the flexibility from the supply-side, avoiding forced curtailments in the case of energy excess.</w:t>
      </w:r>
    </w:p>
    <w:p w14:paraId="1FE39795" w14:textId="69D2E519" w:rsidR="005D51A1" w:rsidRDefault="005D51A1" w:rsidP="005D51A1">
      <w:pPr>
        <w:pStyle w:val="MDPI31text"/>
        <w:rPr>
          <w:color w:val="auto"/>
          <w:lang w:val="en-GB"/>
        </w:rPr>
      </w:pPr>
      <w:r>
        <w:rPr>
          <w:color w:val="auto"/>
          <w:lang w:val="en-GB"/>
        </w:rPr>
        <w:fldChar w:fldCharType="begin"/>
      </w:r>
      <w:r>
        <w:rPr>
          <w:color w:val="auto"/>
          <w:lang w:val="en-GB"/>
        </w:rPr>
        <w:instrText xml:space="preserve"> REF _Ref191375763 \h </w:instrText>
      </w:r>
      <w:r>
        <w:rPr>
          <w:color w:val="auto"/>
          <w:lang w:val="en-GB"/>
        </w:rPr>
      </w:r>
      <w:r>
        <w:rPr>
          <w:color w:val="auto"/>
          <w:lang w:val="en-GB"/>
        </w:rPr>
        <w:fldChar w:fldCharType="separate"/>
      </w:r>
      <w:r>
        <w:t xml:space="preserve">Table </w:t>
      </w:r>
      <w:r>
        <w:rPr>
          <w:noProof/>
        </w:rPr>
        <w:t>4</w:t>
      </w:r>
      <w:r>
        <w:rPr>
          <w:color w:val="auto"/>
          <w:lang w:val="en-GB"/>
        </w:rPr>
        <w:fldChar w:fldCharType="end"/>
      </w:r>
      <w:r>
        <w:rPr>
          <w:color w:val="auto"/>
          <w:lang w:val="en-GB"/>
        </w:rPr>
        <w:t xml:space="preserve"> </w:t>
      </w:r>
      <w:r w:rsidR="00B320ED">
        <w:rPr>
          <w:color w:val="auto"/>
          <w:lang w:val="en-GB"/>
        </w:rPr>
        <w:t>presents th</w:t>
      </w:r>
      <w:r>
        <w:rPr>
          <w:color w:val="auto"/>
          <w:lang w:val="en-GB"/>
        </w:rPr>
        <w:t>e</w:t>
      </w:r>
      <w:r w:rsidR="00B320ED">
        <w:rPr>
          <w:color w:val="auto"/>
          <w:lang w:val="en-GB"/>
        </w:rPr>
        <w:t xml:space="preserve"> maximum market value of the WPP by introducing the continuous IDM. </w:t>
      </w:r>
      <w:r>
        <w:rPr>
          <w:color w:val="auto"/>
          <w:lang w:val="en-GB"/>
        </w:rPr>
        <w:t xml:space="preserve">Analysing </w:t>
      </w:r>
      <w:r>
        <w:rPr>
          <w:color w:val="auto"/>
          <w:lang w:val="en-GB"/>
        </w:rPr>
        <w:fldChar w:fldCharType="begin"/>
      </w:r>
      <w:r>
        <w:rPr>
          <w:color w:val="auto"/>
          <w:lang w:val="en-GB"/>
        </w:rPr>
        <w:instrText xml:space="preserve"> REF _Ref191375763 \h </w:instrText>
      </w:r>
      <w:r>
        <w:rPr>
          <w:color w:val="auto"/>
          <w:lang w:val="en-GB"/>
        </w:rPr>
      </w:r>
      <w:r>
        <w:rPr>
          <w:color w:val="auto"/>
          <w:lang w:val="en-GB"/>
        </w:rPr>
        <w:fldChar w:fldCharType="separate"/>
      </w:r>
      <w:r>
        <w:t xml:space="preserve">Table </w:t>
      </w:r>
      <w:r>
        <w:rPr>
          <w:noProof/>
        </w:rPr>
        <w:t>4</w:t>
      </w:r>
      <w:r>
        <w:rPr>
          <w:color w:val="auto"/>
          <w:lang w:val="en-GB"/>
        </w:rPr>
        <w:fldChar w:fldCharType="end"/>
      </w:r>
      <w:r>
        <w:rPr>
          <w:color w:val="auto"/>
          <w:lang w:val="en-GB"/>
        </w:rPr>
        <w:t xml:space="preserve"> can be verified that by considering perfect information, the </w:t>
      </w:r>
      <w:r>
        <w:rPr>
          <w:color w:val="auto"/>
          <w:lang w:val="en-GB"/>
        </w:rPr>
        <w:lastRenderedPageBreak/>
        <w:t xml:space="preserve">introduction of the IDC only increased the wind market value by </w:t>
      </w:r>
      <w:r w:rsidR="00692C2C">
        <w:rPr>
          <w:color w:val="auto"/>
          <w:lang w:val="en-GB"/>
        </w:rPr>
        <w:t>0.</w:t>
      </w:r>
      <w:r w:rsidR="003F4AEB">
        <w:rPr>
          <w:color w:val="auto"/>
          <w:lang w:val="en-GB"/>
        </w:rPr>
        <w:t>41</w:t>
      </w:r>
      <w:r>
        <w:rPr>
          <w:color w:val="auto"/>
          <w:lang w:val="en-GB"/>
        </w:rPr>
        <w:t xml:space="preserve">%. However, operationally, the IDC is very important for WPPs adjust their programmed dispatches closer to real-time, as can be verified in </w:t>
      </w:r>
      <w:r>
        <w:rPr>
          <w:color w:val="auto"/>
          <w:lang w:val="en-GB"/>
        </w:rPr>
        <w:fldChar w:fldCharType="begin"/>
      </w:r>
      <w:r>
        <w:rPr>
          <w:color w:val="auto"/>
          <w:lang w:val="en-GB"/>
        </w:rPr>
        <w:instrText xml:space="preserve"> REF _Ref191375057 \h </w:instrText>
      </w:r>
      <w:r>
        <w:rPr>
          <w:color w:val="auto"/>
          <w:lang w:val="en-GB"/>
        </w:rPr>
      </w:r>
      <w:r>
        <w:rPr>
          <w:color w:val="auto"/>
          <w:lang w:val="en-GB"/>
        </w:rPr>
        <w:fldChar w:fldCharType="separate"/>
      </w:r>
      <w:r>
        <w:t xml:space="preserve">Figure </w:t>
      </w:r>
      <w:r>
        <w:rPr>
          <w:noProof/>
        </w:rPr>
        <w:t>5</w:t>
      </w:r>
      <w:r>
        <w:rPr>
          <w:color w:val="auto"/>
          <w:lang w:val="en-GB"/>
        </w:rPr>
        <w:fldChar w:fldCharType="end"/>
      </w:r>
      <w:r>
        <w:rPr>
          <w:color w:val="auto"/>
          <w:lang w:val="en-GB"/>
        </w:rPr>
        <w:t xml:space="preserve"> and the outputs of the operational case. </w:t>
      </w:r>
    </w:p>
    <w:p w14:paraId="140A419E" w14:textId="4075971B" w:rsidR="006166BB" w:rsidRDefault="005D51A1" w:rsidP="00D12D81">
      <w:pPr>
        <w:pStyle w:val="MDPI31text"/>
        <w:rPr>
          <w:color w:val="auto"/>
          <w:lang w:val="en-GB"/>
        </w:rPr>
      </w:pPr>
      <w:r>
        <w:rPr>
          <w:color w:val="auto"/>
          <w:lang w:val="en-GB"/>
        </w:rPr>
        <w:fldChar w:fldCharType="begin"/>
      </w:r>
      <w:r>
        <w:rPr>
          <w:color w:val="auto"/>
          <w:lang w:val="en-GB"/>
        </w:rPr>
        <w:instrText xml:space="preserve"> REF _Ref191375976 \h </w:instrText>
      </w:r>
      <w:r>
        <w:rPr>
          <w:color w:val="auto"/>
          <w:lang w:val="en-GB"/>
        </w:rPr>
      </w:r>
      <w:r>
        <w:rPr>
          <w:color w:val="auto"/>
          <w:lang w:val="en-GB"/>
        </w:rPr>
        <w:fldChar w:fldCharType="separate"/>
      </w:r>
      <w:r>
        <w:t xml:space="preserve">Table </w:t>
      </w:r>
      <w:r>
        <w:rPr>
          <w:noProof/>
        </w:rPr>
        <w:t>5</w:t>
      </w:r>
      <w:r>
        <w:rPr>
          <w:color w:val="auto"/>
          <w:lang w:val="en-GB"/>
        </w:rPr>
        <w:fldChar w:fldCharType="end"/>
      </w:r>
      <w:r>
        <w:rPr>
          <w:color w:val="auto"/>
          <w:lang w:val="en-GB"/>
        </w:rPr>
        <w:t xml:space="preserve"> presents the final results of the ideal case.</w:t>
      </w:r>
    </w:p>
    <w:p w14:paraId="30768764" w14:textId="6CADC136" w:rsidR="005D51A1" w:rsidRDefault="005D51A1" w:rsidP="005D51A1">
      <w:pPr>
        <w:pStyle w:val="MDPI41tablecaption"/>
      </w:pPr>
      <w:bookmarkStart w:id="10" w:name="_Ref191375763"/>
      <w:r>
        <w:t xml:space="preserve">Table </w:t>
      </w:r>
      <w:fldSimple w:instr=" SEQ Table \* ARABIC ">
        <w:r>
          <w:rPr>
            <w:noProof/>
          </w:rPr>
          <w:t>4</w:t>
        </w:r>
      </w:fldSimple>
      <w:bookmarkEnd w:id="10"/>
      <w:r>
        <w:t xml:space="preserve">: </w:t>
      </w:r>
      <w:r w:rsidRPr="006166BB">
        <w:rPr>
          <w:lang w:val="en-GB"/>
        </w:rPr>
        <w:t>Average remuneration for the different market designs in the ideal case.</w:t>
      </w:r>
    </w:p>
    <w:tbl>
      <w:tblPr>
        <w:tblStyle w:val="TableGrid"/>
        <w:tblW w:w="0" w:type="auto"/>
        <w:jc w:val="center"/>
        <w:tblBorders>
          <w:top w:val="thinThickSmallGap" w:sz="12" w:space="0" w:color="auto"/>
          <w:left w:val="none" w:sz="0" w:space="0" w:color="auto"/>
          <w:bottom w:val="thinThickSmallGap" w:sz="12"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711"/>
        <w:gridCol w:w="986"/>
      </w:tblGrid>
      <w:tr w:rsidR="006166BB" w:rsidRPr="006166BB" w14:paraId="4BEC0527" w14:textId="77777777" w:rsidTr="002414DF">
        <w:trPr>
          <w:jc w:val="center"/>
        </w:trPr>
        <w:tc>
          <w:tcPr>
            <w:tcW w:w="3402" w:type="dxa"/>
            <w:tcBorders>
              <w:top w:val="thinThickSmallGap" w:sz="12" w:space="0" w:color="auto"/>
              <w:bottom w:val="single" w:sz="4" w:space="0" w:color="auto"/>
            </w:tcBorders>
            <w:vAlign w:val="center"/>
          </w:tcPr>
          <w:p w14:paraId="1A5AA76A" w14:textId="77777777" w:rsidR="006166BB" w:rsidRPr="006166BB" w:rsidRDefault="006166BB" w:rsidP="006166BB">
            <w:pPr>
              <w:suppressAutoHyphens/>
              <w:autoSpaceDN w:val="0"/>
              <w:spacing w:line="360" w:lineRule="auto"/>
              <w:jc w:val="center"/>
              <w:textAlignment w:val="baseline"/>
              <w:rPr>
                <w:rFonts w:ascii="Times New Roman" w:eastAsia="Times New Roman" w:hAnsi="Times New Roman"/>
                <w:noProof w:val="0"/>
                <w:color w:val="auto"/>
                <w:sz w:val="22"/>
                <w:szCs w:val="22"/>
                <w:lang w:val="en-GB" w:eastAsia="en-US"/>
              </w:rPr>
            </w:pPr>
            <w:r w:rsidRPr="006166BB">
              <w:rPr>
                <w:rFonts w:ascii="Times New Roman" w:eastAsia="Times New Roman" w:hAnsi="Times New Roman"/>
                <w:noProof w:val="0"/>
                <w:color w:val="auto"/>
                <w:sz w:val="22"/>
                <w:szCs w:val="22"/>
                <w:lang w:val="en-GB" w:eastAsia="en-US"/>
              </w:rPr>
              <w:t>Market Design</w:t>
            </w:r>
          </w:p>
        </w:tc>
        <w:tc>
          <w:tcPr>
            <w:tcW w:w="0" w:type="auto"/>
            <w:tcBorders>
              <w:top w:val="thinThickSmallGap" w:sz="12" w:space="0" w:color="auto"/>
              <w:bottom w:val="single" w:sz="4" w:space="0" w:color="auto"/>
            </w:tcBorders>
            <w:vAlign w:val="center"/>
          </w:tcPr>
          <w:p w14:paraId="22D5488E" w14:textId="3B3FD2D8" w:rsidR="006166BB" w:rsidRPr="006166BB" w:rsidRDefault="00B320ED" w:rsidP="006166BB">
            <w:pPr>
              <w:suppressAutoHyphens/>
              <w:autoSpaceDN w:val="0"/>
              <w:spacing w:line="360" w:lineRule="auto"/>
              <w:jc w:val="center"/>
              <w:textAlignment w:val="baseline"/>
              <w:rPr>
                <w:rFonts w:ascii="Times New Roman" w:eastAsia="Times New Roman" w:hAnsi="Times New Roman"/>
                <w:noProof w:val="0"/>
                <w:color w:val="auto"/>
                <w:sz w:val="22"/>
                <w:szCs w:val="22"/>
                <w:lang w:val="en-GB" w:eastAsia="en-US"/>
              </w:rPr>
            </w:pPr>
            <w:r>
              <w:rPr>
                <w:rFonts w:ascii="Times New Roman" w:eastAsia="Times New Roman" w:hAnsi="Times New Roman"/>
                <w:b/>
                <w:bCs/>
                <w:noProof w:val="0"/>
                <w:color w:val="auto"/>
                <w:sz w:val="22"/>
                <w:szCs w:val="22"/>
                <w:lang w:val="en-GB" w:eastAsia="en-US"/>
              </w:rPr>
              <w:t>Past</w:t>
            </w:r>
          </w:p>
        </w:tc>
        <w:tc>
          <w:tcPr>
            <w:tcW w:w="0" w:type="auto"/>
            <w:tcBorders>
              <w:top w:val="thinThickSmallGap" w:sz="12" w:space="0" w:color="auto"/>
              <w:bottom w:val="single" w:sz="4" w:space="0" w:color="auto"/>
            </w:tcBorders>
            <w:vAlign w:val="center"/>
          </w:tcPr>
          <w:p w14:paraId="6B4D2828" w14:textId="77777777" w:rsidR="006166BB" w:rsidRPr="006166BB" w:rsidRDefault="006166BB" w:rsidP="006166BB">
            <w:pPr>
              <w:suppressAutoHyphens/>
              <w:autoSpaceDN w:val="0"/>
              <w:spacing w:line="360" w:lineRule="auto"/>
              <w:jc w:val="center"/>
              <w:textAlignment w:val="baseline"/>
              <w:rPr>
                <w:rFonts w:ascii="Times New Roman" w:eastAsia="Times New Roman" w:hAnsi="Times New Roman"/>
                <w:noProof w:val="0"/>
                <w:color w:val="auto"/>
                <w:sz w:val="22"/>
                <w:szCs w:val="22"/>
                <w:lang w:val="en-GB" w:eastAsia="en-US"/>
              </w:rPr>
            </w:pPr>
            <w:r w:rsidRPr="006166BB">
              <w:rPr>
                <w:rFonts w:ascii="Times New Roman" w:eastAsia="Times New Roman" w:hAnsi="Times New Roman"/>
                <w:b/>
                <w:bCs/>
                <w:noProof w:val="0"/>
                <w:color w:val="auto"/>
                <w:sz w:val="22"/>
                <w:szCs w:val="22"/>
                <w:lang w:val="en-GB" w:eastAsia="en-US"/>
              </w:rPr>
              <w:t>Current</w:t>
            </w:r>
          </w:p>
        </w:tc>
      </w:tr>
      <w:tr w:rsidR="006166BB" w:rsidRPr="006166BB" w14:paraId="0E0C724F" w14:textId="77777777" w:rsidTr="002414DF">
        <w:trPr>
          <w:jc w:val="center"/>
        </w:trPr>
        <w:tc>
          <w:tcPr>
            <w:tcW w:w="3402" w:type="dxa"/>
            <w:tcBorders>
              <w:top w:val="single" w:sz="4" w:space="0" w:color="auto"/>
              <w:bottom w:val="thinThickSmallGap" w:sz="12" w:space="0" w:color="auto"/>
            </w:tcBorders>
            <w:vAlign w:val="center"/>
          </w:tcPr>
          <w:p w14:paraId="388E7871" w14:textId="77777777" w:rsidR="006166BB" w:rsidRPr="006166BB" w:rsidRDefault="006166BB" w:rsidP="006166BB">
            <w:pPr>
              <w:suppressAutoHyphens/>
              <w:autoSpaceDN w:val="0"/>
              <w:spacing w:line="360" w:lineRule="auto"/>
              <w:jc w:val="center"/>
              <w:textAlignment w:val="baseline"/>
              <w:rPr>
                <w:rFonts w:ascii="Times New Roman" w:eastAsia="Times New Roman" w:hAnsi="Times New Roman"/>
                <w:noProof w:val="0"/>
                <w:color w:val="auto"/>
                <w:sz w:val="22"/>
                <w:szCs w:val="22"/>
                <w:lang w:val="en-GB" w:eastAsia="en-US"/>
              </w:rPr>
            </w:pPr>
            <w:r w:rsidRPr="006166BB">
              <w:rPr>
                <w:rFonts w:ascii="Times New Roman" w:eastAsia="Times New Roman" w:hAnsi="Times New Roman"/>
                <w:noProof w:val="0"/>
                <w:color w:val="auto"/>
                <w:sz w:val="22"/>
                <w:szCs w:val="22"/>
                <w:lang w:val="en-GB" w:eastAsia="en-US"/>
              </w:rPr>
              <w:t>Average Remuneration (€/MWh)</w:t>
            </w:r>
          </w:p>
        </w:tc>
        <w:tc>
          <w:tcPr>
            <w:tcW w:w="0" w:type="auto"/>
            <w:tcBorders>
              <w:top w:val="single" w:sz="4" w:space="0" w:color="auto"/>
              <w:bottom w:val="thinThickSmallGap" w:sz="12" w:space="0" w:color="auto"/>
            </w:tcBorders>
            <w:vAlign w:val="center"/>
          </w:tcPr>
          <w:p w14:paraId="4CAF67A2" w14:textId="23D2A6D2" w:rsidR="006166BB" w:rsidRPr="004560F5" w:rsidRDefault="004560F5" w:rsidP="006166BB">
            <w:pPr>
              <w:suppressAutoHyphens/>
              <w:autoSpaceDN w:val="0"/>
              <w:spacing w:line="360" w:lineRule="auto"/>
              <w:jc w:val="center"/>
              <w:textAlignment w:val="baseline"/>
              <w:rPr>
                <w:rFonts w:ascii="Times New Roman" w:eastAsia="Times New Roman" w:hAnsi="Times New Roman"/>
                <w:noProof w:val="0"/>
                <w:color w:val="auto"/>
                <w:sz w:val="22"/>
                <w:szCs w:val="22"/>
                <w:lang w:val="en-GB" w:eastAsia="en-US"/>
              </w:rPr>
            </w:pPr>
            <w:r w:rsidRPr="004560F5">
              <w:rPr>
                <w:rFonts w:ascii="Times New Roman" w:eastAsia="Times New Roman" w:hAnsi="Times New Roman"/>
                <w:noProof w:val="0"/>
                <w:color w:val="auto"/>
                <w:sz w:val="22"/>
                <w:szCs w:val="22"/>
                <w:lang w:val="en-GB" w:eastAsia="en-US"/>
              </w:rPr>
              <w:t>71.4</w:t>
            </w:r>
            <w:r w:rsidR="00B506CB">
              <w:rPr>
                <w:rFonts w:ascii="Times New Roman" w:eastAsia="Times New Roman" w:hAnsi="Times New Roman"/>
                <w:noProof w:val="0"/>
                <w:color w:val="auto"/>
                <w:sz w:val="22"/>
                <w:szCs w:val="22"/>
                <w:lang w:val="en-GB" w:eastAsia="en-US"/>
              </w:rPr>
              <w:t>1</w:t>
            </w:r>
          </w:p>
        </w:tc>
        <w:tc>
          <w:tcPr>
            <w:tcW w:w="0" w:type="auto"/>
            <w:tcBorders>
              <w:top w:val="single" w:sz="4" w:space="0" w:color="auto"/>
              <w:bottom w:val="thinThickSmallGap" w:sz="12" w:space="0" w:color="auto"/>
            </w:tcBorders>
            <w:vAlign w:val="center"/>
          </w:tcPr>
          <w:p w14:paraId="002790DD" w14:textId="13914835" w:rsidR="006166BB" w:rsidRPr="004560F5" w:rsidRDefault="006166BB" w:rsidP="006166BB">
            <w:pPr>
              <w:suppressAutoHyphens/>
              <w:autoSpaceDN w:val="0"/>
              <w:spacing w:line="360" w:lineRule="auto"/>
              <w:jc w:val="center"/>
              <w:textAlignment w:val="baseline"/>
              <w:rPr>
                <w:rFonts w:ascii="Times New Roman" w:eastAsia="Times New Roman" w:hAnsi="Times New Roman"/>
                <w:noProof w:val="0"/>
                <w:color w:val="auto"/>
                <w:sz w:val="22"/>
                <w:szCs w:val="22"/>
                <w:lang w:val="en-GB" w:eastAsia="en-US"/>
              </w:rPr>
            </w:pPr>
            <w:r w:rsidRPr="004560F5">
              <w:rPr>
                <w:rFonts w:ascii="Times New Roman" w:eastAsia="Times New Roman" w:hAnsi="Times New Roman"/>
                <w:noProof w:val="0"/>
                <w:color w:val="auto"/>
                <w:sz w:val="22"/>
                <w:szCs w:val="22"/>
                <w:lang w:val="en-GB" w:eastAsia="en-US"/>
              </w:rPr>
              <w:t>71.</w:t>
            </w:r>
            <w:r w:rsidR="00B506CB">
              <w:rPr>
                <w:rFonts w:ascii="Times New Roman" w:eastAsia="Times New Roman" w:hAnsi="Times New Roman"/>
                <w:noProof w:val="0"/>
                <w:color w:val="auto"/>
                <w:sz w:val="22"/>
                <w:szCs w:val="22"/>
                <w:lang w:val="en-GB" w:eastAsia="en-US"/>
              </w:rPr>
              <w:t>70</w:t>
            </w:r>
          </w:p>
        </w:tc>
      </w:tr>
    </w:tbl>
    <w:p w14:paraId="5646F6D1" w14:textId="3D9EC2EB" w:rsidR="005D51A1" w:rsidRDefault="005D51A1" w:rsidP="005D51A1">
      <w:pPr>
        <w:pStyle w:val="MDPI41tablecaption"/>
      </w:pPr>
      <w:bookmarkStart w:id="11" w:name="_Ref191375976"/>
      <w:r>
        <w:t xml:space="preserve">Table </w:t>
      </w:r>
      <w:fldSimple w:instr=" SEQ Table \* ARABIC ">
        <w:r>
          <w:rPr>
            <w:noProof/>
          </w:rPr>
          <w:t>5</w:t>
        </w:r>
      </w:fldSimple>
      <w:bookmarkEnd w:id="11"/>
      <w:r w:rsidRPr="006166BB">
        <w:rPr>
          <w:lang w:val="en-GB"/>
        </w:rPr>
        <w:t>: Average hourly values for different market designs in the ide</w:t>
      </w:r>
      <w:r w:rsidR="00B506CB" w:rsidRPr="00B506CB">
        <w:t xml:space="preserve"> </w:t>
      </w:r>
      <w:r w:rsidRPr="006166BB">
        <w:rPr>
          <w:lang w:val="en-GB"/>
        </w:rPr>
        <w:t>al case.</w:t>
      </w:r>
    </w:p>
    <w:tbl>
      <w:tblPr>
        <w:tblStyle w:val="TableGridLight"/>
        <w:tblW w:w="0" w:type="auto"/>
        <w:jc w:val="center"/>
        <w:tblBorders>
          <w:top w:val="thinThickSmallGap" w:sz="12" w:space="0" w:color="auto"/>
          <w:left w:val="none" w:sz="0" w:space="0" w:color="auto"/>
          <w:bottom w:val="thinThickSmallGap" w:sz="12"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417"/>
        <w:gridCol w:w="1417"/>
      </w:tblGrid>
      <w:tr w:rsidR="006166BB" w:rsidRPr="006166BB" w14:paraId="5423F762" w14:textId="77777777" w:rsidTr="002414DF">
        <w:trPr>
          <w:jc w:val="center"/>
        </w:trPr>
        <w:tc>
          <w:tcPr>
            <w:tcW w:w="2835" w:type="dxa"/>
            <w:vMerge w:val="restart"/>
            <w:tcBorders>
              <w:top w:val="thinThickSmallGap" w:sz="12" w:space="0" w:color="auto"/>
              <w:bottom w:val="nil"/>
            </w:tcBorders>
            <w:vAlign w:val="center"/>
          </w:tcPr>
          <w:p w14:paraId="0F884BD3" w14:textId="77777777" w:rsidR="006166BB" w:rsidRPr="006166BB" w:rsidRDefault="006166BB" w:rsidP="006166BB">
            <w:pPr>
              <w:suppressAutoHyphens/>
              <w:autoSpaceDN w:val="0"/>
              <w:spacing w:line="240" w:lineRule="auto"/>
              <w:jc w:val="center"/>
              <w:textAlignment w:val="baseline"/>
              <w:rPr>
                <w:rFonts w:ascii="Times New Roman" w:hAnsi="Times New Roman"/>
                <w:noProof w:val="0"/>
                <w:color w:val="auto"/>
              </w:rPr>
            </w:pPr>
            <w:r w:rsidRPr="006166BB">
              <w:rPr>
                <w:rFonts w:ascii="Times New Roman" w:hAnsi="Times New Roman"/>
                <w:noProof w:val="0"/>
                <w:color w:val="auto"/>
              </w:rPr>
              <w:t>Variables</w:t>
            </w:r>
          </w:p>
        </w:tc>
        <w:tc>
          <w:tcPr>
            <w:tcW w:w="2834" w:type="dxa"/>
            <w:gridSpan w:val="2"/>
            <w:tcBorders>
              <w:top w:val="thinThickSmallGap" w:sz="12" w:space="0" w:color="auto"/>
              <w:bottom w:val="single" w:sz="4" w:space="0" w:color="auto"/>
            </w:tcBorders>
            <w:vAlign w:val="center"/>
          </w:tcPr>
          <w:p w14:paraId="40C4F998" w14:textId="7D16C04D" w:rsidR="006166BB" w:rsidRPr="006166BB" w:rsidRDefault="006166BB" w:rsidP="006166BB">
            <w:pPr>
              <w:suppressAutoHyphens/>
              <w:autoSpaceDN w:val="0"/>
              <w:spacing w:line="240" w:lineRule="auto"/>
              <w:contextualSpacing/>
              <w:jc w:val="center"/>
              <w:textAlignment w:val="baseline"/>
              <w:rPr>
                <w:rFonts w:ascii="Times New Roman" w:hAnsi="Times New Roman"/>
                <w:b/>
                <w:bCs/>
                <w:noProof w:val="0"/>
                <w:color w:val="auto"/>
              </w:rPr>
            </w:pPr>
            <w:r w:rsidRPr="006166BB">
              <w:rPr>
                <w:rFonts w:ascii="Times New Roman" w:hAnsi="Times New Roman"/>
                <w:noProof w:val="0"/>
                <w:color w:val="auto"/>
              </w:rPr>
              <w:t>Market Design</w:t>
            </w:r>
          </w:p>
        </w:tc>
      </w:tr>
      <w:tr w:rsidR="006166BB" w:rsidRPr="006166BB" w14:paraId="32D72379" w14:textId="77777777" w:rsidTr="002414DF">
        <w:trPr>
          <w:jc w:val="center"/>
        </w:trPr>
        <w:tc>
          <w:tcPr>
            <w:tcW w:w="2835" w:type="dxa"/>
            <w:vMerge/>
            <w:tcBorders>
              <w:top w:val="nil"/>
              <w:bottom w:val="single" w:sz="4" w:space="0" w:color="auto"/>
            </w:tcBorders>
            <w:vAlign w:val="center"/>
          </w:tcPr>
          <w:p w14:paraId="02D65AA0" w14:textId="77777777" w:rsidR="006166BB" w:rsidRPr="006166BB" w:rsidRDefault="006166BB" w:rsidP="006166BB">
            <w:pPr>
              <w:suppressAutoHyphens/>
              <w:autoSpaceDN w:val="0"/>
              <w:spacing w:line="240" w:lineRule="auto"/>
              <w:contextualSpacing/>
              <w:jc w:val="center"/>
              <w:textAlignment w:val="baseline"/>
              <w:rPr>
                <w:rFonts w:ascii="Times New Roman" w:hAnsi="Times New Roman"/>
                <w:noProof w:val="0"/>
                <w:color w:val="auto"/>
              </w:rPr>
            </w:pPr>
          </w:p>
        </w:tc>
        <w:tc>
          <w:tcPr>
            <w:tcW w:w="1417" w:type="dxa"/>
            <w:tcBorders>
              <w:top w:val="single" w:sz="4" w:space="0" w:color="auto"/>
              <w:bottom w:val="single" w:sz="4" w:space="0" w:color="auto"/>
            </w:tcBorders>
            <w:vAlign w:val="center"/>
          </w:tcPr>
          <w:p w14:paraId="745F4E70" w14:textId="7A59E1CD" w:rsidR="006166BB" w:rsidRPr="006166BB" w:rsidRDefault="00B320ED" w:rsidP="006166BB">
            <w:pPr>
              <w:suppressAutoHyphens/>
              <w:autoSpaceDN w:val="0"/>
              <w:spacing w:line="240" w:lineRule="auto"/>
              <w:contextualSpacing/>
              <w:jc w:val="center"/>
              <w:textAlignment w:val="baseline"/>
              <w:rPr>
                <w:rFonts w:ascii="Times New Roman" w:hAnsi="Times New Roman"/>
                <w:b/>
                <w:bCs/>
                <w:noProof w:val="0"/>
                <w:color w:val="auto"/>
              </w:rPr>
            </w:pPr>
            <w:r>
              <w:rPr>
                <w:rFonts w:ascii="Times New Roman" w:hAnsi="Times New Roman"/>
                <w:b/>
                <w:bCs/>
                <w:noProof w:val="0"/>
                <w:color w:val="auto"/>
              </w:rPr>
              <w:t>Past</w:t>
            </w:r>
          </w:p>
        </w:tc>
        <w:tc>
          <w:tcPr>
            <w:tcW w:w="1417" w:type="dxa"/>
            <w:tcBorders>
              <w:top w:val="single" w:sz="4" w:space="0" w:color="auto"/>
              <w:bottom w:val="single" w:sz="4" w:space="0" w:color="auto"/>
            </w:tcBorders>
            <w:vAlign w:val="center"/>
          </w:tcPr>
          <w:p w14:paraId="0751263D" w14:textId="77777777" w:rsidR="006166BB" w:rsidRPr="006166BB" w:rsidRDefault="006166BB" w:rsidP="006166BB">
            <w:pPr>
              <w:suppressAutoHyphens/>
              <w:autoSpaceDN w:val="0"/>
              <w:spacing w:line="240" w:lineRule="auto"/>
              <w:contextualSpacing/>
              <w:jc w:val="center"/>
              <w:textAlignment w:val="baseline"/>
              <w:rPr>
                <w:rFonts w:ascii="Times New Roman" w:hAnsi="Times New Roman"/>
                <w:b/>
                <w:bCs/>
                <w:noProof w:val="0"/>
                <w:color w:val="auto"/>
              </w:rPr>
            </w:pPr>
            <w:r w:rsidRPr="006166BB">
              <w:rPr>
                <w:rFonts w:ascii="Times New Roman" w:hAnsi="Times New Roman"/>
                <w:b/>
                <w:bCs/>
                <w:noProof w:val="0"/>
                <w:color w:val="auto"/>
              </w:rPr>
              <w:t>Current</w:t>
            </w:r>
          </w:p>
        </w:tc>
      </w:tr>
      <w:tr w:rsidR="006166BB" w:rsidRPr="004560F5" w14:paraId="4B752C4A" w14:textId="77777777" w:rsidTr="002414DF">
        <w:trPr>
          <w:jc w:val="center"/>
        </w:trPr>
        <w:tc>
          <w:tcPr>
            <w:tcW w:w="2835" w:type="dxa"/>
            <w:tcBorders>
              <w:top w:val="single" w:sz="4" w:space="0" w:color="auto"/>
            </w:tcBorders>
            <w:vAlign w:val="center"/>
          </w:tcPr>
          <w:p w14:paraId="0278A65D" w14:textId="77777777" w:rsidR="006166BB" w:rsidRPr="004560F5" w:rsidRDefault="006166BB" w:rsidP="006166BB">
            <w:pPr>
              <w:suppressAutoHyphens/>
              <w:autoSpaceDN w:val="0"/>
              <w:spacing w:line="240" w:lineRule="auto"/>
              <w:contextualSpacing/>
              <w:jc w:val="center"/>
              <w:textAlignment w:val="baseline"/>
              <w:rPr>
                <w:rFonts w:ascii="Times New Roman" w:hAnsi="Times New Roman"/>
                <w:noProof w:val="0"/>
                <w:color w:val="auto"/>
              </w:rPr>
            </w:pPr>
            <w:r w:rsidRPr="004560F5">
              <w:rPr>
                <w:rFonts w:ascii="Times New Roman" w:hAnsi="Times New Roman"/>
                <w:noProof w:val="0"/>
                <w:color w:val="auto"/>
              </w:rPr>
              <w:t>Revenue (k€)</w:t>
            </w:r>
          </w:p>
        </w:tc>
        <w:tc>
          <w:tcPr>
            <w:tcW w:w="1417" w:type="dxa"/>
            <w:tcBorders>
              <w:top w:val="single" w:sz="4" w:space="0" w:color="auto"/>
            </w:tcBorders>
            <w:vAlign w:val="center"/>
          </w:tcPr>
          <w:p w14:paraId="6992E33F" w14:textId="61A6ACF9" w:rsidR="006166BB" w:rsidRPr="00B506CB" w:rsidRDefault="006166BB" w:rsidP="006166BB">
            <w:pPr>
              <w:suppressAutoHyphens/>
              <w:autoSpaceDN w:val="0"/>
              <w:spacing w:line="240" w:lineRule="auto"/>
              <w:contextualSpacing/>
              <w:jc w:val="center"/>
              <w:textAlignment w:val="baseline"/>
              <w:rPr>
                <w:rFonts w:ascii="Times New Roman" w:hAnsi="Times New Roman"/>
                <w:noProof w:val="0"/>
                <w:color w:val="auto"/>
              </w:rPr>
            </w:pPr>
            <w:r w:rsidRPr="00B506CB">
              <w:rPr>
                <w:rFonts w:ascii="Times New Roman" w:hAnsi="Times New Roman"/>
                <w:noProof w:val="0"/>
                <w:color w:val="auto"/>
              </w:rPr>
              <w:t>5.</w:t>
            </w:r>
            <w:r w:rsidR="004560F5" w:rsidRPr="00B506CB">
              <w:rPr>
                <w:rFonts w:ascii="Times New Roman" w:hAnsi="Times New Roman"/>
                <w:noProof w:val="0"/>
                <w:color w:val="auto"/>
              </w:rPr>
              <w:t>24</w:t>
            </w:r>
          </w:p>
        </w:tc>
        <w:tc>
          <w:tcPr>
            <w:tcW w:w="1417" w:type="dxa"/>
            <w:tcBorders>
              <w:top w:val="single" w:sz="4" w:space="0" w:color="auto"/>
            </w:tcBorders>
            <w:vAlign w:val="center"/>
          </w:tcPr>
          <w:p w14:paraId="4324E133" w14:textId="2EF4D8A7" w:rsidR="006166BB" w:rsidRPr="00B506CB" w:rsidRDefault="006166BB" w:rsidP="006166BB">
            <w:pPr>
              <w:suppressAutoHyphens/>
              <w:autoSpaceDN w:val="0"/>
              <w:spacing w:line="240" w:lineRule="auto"/>
              <w:contextualSpacing/>
              <w:jc w:val="center"/>
              <w:textAlignment w:val="baseline"/>
              <w:rPr>
                <w:rFonts w:ascii="Times New Roman" w:hAnsi="Times New Roman"/>
                <w:noProof w:val="0"/>
                <w:color w:val="auto"/>
              </w:rPr>
            </w:pPr>
            <w:r w:rsidRPr="00B506CB">
              <w:rPr>
                <w:rFonts w:ascii="Times New Roman" w:hAnsi="Times New Roman"/>
                <w:noProof w:val="0"/>
                <w:color w:val="auto"/>
              </w:rPr>
              <w:t>5.2</w:t>
            </w:r>
            <w:r w:rsidR="004560F5" w:rsidRPr="00B506CB">
              <w:rPr>
                <w:rFonts w:ascii="Times New Roman" w:hAnsi="Times New Roman"/>
                <w:noProof w:val="0"/>
                <w:color w:val="auto"/>
              </w:rPr>
              <w:t>6</w:t>
            </w:r>
          </w:p>
        </w:tc>
      </w:tr>
      <w:tr w:rsidR="009B218C" w:rsidRPr="004560F5" w14:paraId="1A569ACA" w14:textId="77777777" w:rsidTr="002414DF">
        <w:trPr>
          <w:jc w:val="center"/>
        </w:trPr>
        <w:tc>
          <w:tcPr>
            <w:tcW w:w="2835" w:type="dxa"/>
            <w:vAlign w:val="center"/>
          </w:tcPr>
          <w:p w14:paraId="6930E5D4" w14:textId="77777777" w:rsidR="006166BB" w:rsidRPr="004560F5" w:rsidRDefault="006166BB" w:rsidP="006166BB">
            <w:pPr>
              <w:suppressAutoHyphens/>
              <w:autoSpaceDN w:val="0"/>
              <w:spacing w:line="240" w:lineRule="auto"/>
              <w:contextualSpacing/>
              <w:jc w:val="center"/>
              <w:textAlignment w:val="baseline"/>
              <w:rPr>
                <w:rFonts w:ascii="Times New Roman" w:hAnsi="Times New Roman"/>
                <w:noProof w:val="0"/>
                <w:color w:val="auto"/>
              </w:rPr>
            </w:pPr>
            <w:r w:rsidRPr="004560F5">
              <w:rPr>
                <w:rFonts w:ascii="Times New Roman" w:hAnsi="Times New Roman"/>
                <w:noProof w:val="0"/>
                <w:color w:val="auto"/>
              </w:rPr>
              <w:t>DAM traded energy (MWh)</w:t>
            </w:r>
          </w:p>
        </w:tc>
        <w:tc>
          <w:tcPr>
            <w:tcW w:w="1417" w:type="dxa"/>
            <w:vAlign w:val="center"/>
          </w:tcPr>
          <w:p w14:paraId="13EDD2C8" w14:textId="6ADF307D" w:rsidR="006166BB" w:rsidRPr="00B506CB" w:rsidRDefault="006166BB" w:rsidP="006166BB">
            <w:pPr>
              <w:suppressAutoHyphens/>
              <w:autoSpaceDN w:val="0"/>
              <w:spacing w:line="240" w:lineRule="auto"/>
              <w:contextualSpacing/>
              <w:jc w:val="center"/>
              <w:textAlignment w:val="baseline"/>
              <w:rPr>
                <w:rFonts w:ascii="Times New Roman" w:hAnsi="Times New Roman"/>
                <w:noProof w:val="0"/>
                <w:color w:val="auto"/>
              </w:rPr>
            </w:pPr>
            <w:r w:rsidRPr="00B506CB">
              <w:rPr>
                <w:rFonts w:ascii="Times New Roman" w:hAnsi="Times New Roman"/>
                <w:noProof w:val="0"/>
                <w:color w:val="auto"/>
              </w:rPr>
              <w:t>48.</w:t>
            </w:r>
            <w:r w:rsidR="00B506CB" w:rsidRPr="00B506CB">
              <w:rPr>
                <w:rFonts w:ascii="Times New Roman" w:hAnsi="Times New Roman"/>
                <w:noProof w:val="0"/>
                <w:color w:val="auto"/>
              </w:rPr>
              <w:t>96</w:t>
            </w:r>
          </w:p>
        </w:tc>
        <w:tc>
          <w:tcPr>
            <w:tcW w:w="1417" w:type="dxa"/>
            <w:vAlign w:val="center"/>
          </w:tcPr>
          <w:p w14:paraId="25BBF130" w14:textId="16EF6256" w:rsidR="006166BB" w:rsidRPr="00B506CB" w:rsidRDefault="006166BB" w:rsidP="006166BB">
            <w:pPr>
              <w:suppressAutoHyphens/>
              <w:autoSpaceDN w:val="0"/>
              <w:spacing w:line="240" w:lineRule="auto"/>
              <w:contextualSpacing/>
              <w:jc w:val="center"/>
              <w:textAlignment w:val="baseline"/>
              <w:rPr>
                <w:rFonts w:ascii="Times New Roman" w:hAnsi="Times New Roman"/>
                <w:noProof w:val="0"/>
                <w:color w:val="auto"/>
              </w:rPr>
            </w:pPr>
            <w:r w:rsidRPr="00B506CB">
              <w:rPr>
                <w:rFonts w:ascii="Times New Roman" w:hAnsi="Times New Roman"/>
                <w:noProof w:val="0"/>
                <w:color w:val="auto"/>
              </w:rPr>
              <w:t>4</w:t>
            </w:r>
            <w:r w:rsidR="00B506CB" w:rsidRPr="00B506CB">
              <w:rPr>
                <w:rFonts w:ascii="Times New Roman" w:hAnsi="Times New Roman"/>
                <w:noProof w:val="0"/>
                <w:color w:val="auto"/>
              </w:rPr>
              <w:t>8.30</w:t>
            </w:r>
          </w:p>
        </w:tc>
      </w:tr>
      <w:tr w:rsidR="006166BB" w:rsidRPr="004560F5" w14:paraId="1C454746" w14:textId="77777777" w:rsidTr="002414DF">
        <w:trPr>
          <w:jc w:val="center"/>
        </w:trPr>
        <w:tc>
          <w:tcPr>
            <w:tcW w:w="2835" w:type="dxa"/>
            <w:vAlign w:val="center"/>
          </w:tcPr>
          <w:p w14:paraId="077CECE3" w14:textId="77777777" w:rsidR="006166BB" w:rsidRPr="004560F5" w:rsidRDefault="006166BB" w:rsidP="006166BB">
            <w:pPr>
              <w:suppressAutoHyphens/>
              <w:autoSpaceDN w:val="0"/>
              <w:spacing w:line="240" w:lineRule="auto"/>
              <w:contextualSpacing/>
              <w:jc w:val="center"/>
              <w:textAlignment w:val="baseline"/>
              <w:rPr>
                <w:rFonts w:ascii="Times New Roman" w:hAnsi="Times New Roman"/>
                <w:noProof w:val="0"/>
                <w:color w:val="auto"/>
              </w:rPr>
            </w:pPr>
            <w:r w:rsidRPr="004560F5">
              <w:rPr>
                <w:rFonts w:ascii="Times New Roman" w:hAnsi="Times New Roman"/>
                <w:noProof w:val="0"/>
                <w:color w:val="auto"/>
              </w:rPr>
              <w:t>IDA traded energy (MWh)</w:t>
            </w:r>
          </w:p>
        </w:tc>
        <w:tc>
          <w:tcPr>
            <w:tcW w:w="1417" w:type="dxa"/>
            <w:vAlign w:val="center"/>
          </w:tcPr>
          <w:p w14:paraId="5E98681A" w14:textId="69223B50" w:rsidR="006166BB" w:rsidRPr="00B506CB" w:rsidRDefault="006166BB" w:rsidP="006166BB">
            <w:pPr>
              <w:suppressAutoHyphens/>
              <w:autoSpaceDN w:val="0"/>
              <w:spacing w:line="240" w:lineRule="auto"/>
              <w:contextualSpacing/>
              <w:jc w:val="center"/>
              <w:textAlignment w:val="baseline"/>
              <w:rPr>
                <w:rFonts w:ascii="Times New Roman" w:hAnsi="Times New Roman"/>
                <w:noProof w:val="0"/>
                <w:color w:val="auto"/>
              </w:rPr>
            </w:pPr>
            <w:r w:rsidRPr="00B506CB">
              <w:rPr>
                <w:rFonts w:ascii="Times New Roman" w:hAnsi="Times New Roman"/>
                <w:noProof w:val="0"/>
                <w:color w:val="auto"/>
              </w:rPr>
              <w:t>2</w:t>
            </w:r>
            <w:r w:rsidR="00B506CB" w:rsidRPr="00B506CB">
              <w:rPr>
                <w:rFonts w:ascii="Times New Roman" w:hAnsi="Times New Roman"/>
                <w:noProof w:val="0"/>
                <w:color w:val="auto"/>
              </w:rPr>
              <w:t>3.48</w:t>
            </w:r>
          </w:p>
        </w:tc>
        <w:tc>
          <w:tcPr>
            <w:tcW w:w="1417" w:type="dxa"/>
            <w:vAlign w:val="center"/>
          </w:tcPr>
          <w:p w14:paraId="17DE8AA9" w14:textId="686A48BB" w:rsidR="006166BB" w:rsidRPr="00B506CB" w:rsidRDefault="006166BB" w:rsidP="006166BB">
            <w:pPr>
              <w:suppressAutoHyphens/>
              <w:autoSpaceDN w:val="0"/>
              <w:spacing w:line="240" w:lineRule="auto"/>
              <w:contextualSpacing/>
              <w:jc w:val="center"/>
              <w:textAlignment w:val="baseline"/>
              <w:rPr>
                <w:rFonts w:ascii="Times New Roman" w:hAnsi="Times New Roman"/>
                <w:noProof w:val="0"/>
                <w:color w:val="auto"/>
              </w:rPr>
            </w:pPr>
            <w:r w:rsidRPr="00B506CB">
              <w:rPr>
                <w:rFonts w:ascii="Times New Roman" w:hAnsi="Times New Roman"/>
                <w:noProof w:val="0"/>
                <w:color w:val="auto"/>
              </w:rPr>
              <w:t>1</w:t>
            </w:r>
            <w:r w:rsidR="00B506CB" w:rsidRPr="00B506CB">
              <w:rPr>
                <w:rFonts w:ascii="Times New Roman" w:hAnsi="Times New Roman"/>
                <w:noProof w:val="0"/>
                <w:color w:val="auto"/>
              </w:rPr>
              <w:t>6.20</w:t>
            </w:r>
          </w:p>
        </w:tc>
      </w:tr>
      <w:tr w:rsidR="006166BB" w:rsidRPr="004560F5" w14:paraId="023232F0" w14:textId="77777777" w:rsidTr="002414DF">
        <w:trPr>
          <w:jc w:val="center"/>
        </w:trPr>
        <w:tc>
          <w:tcPr>
            <w:tcW w:w="2835" w:type="dxa"/>
            <w:vAlign w:val="center"/>
          </w:tcPr>
          <w:p w14:paraId="28CC0127" w14:textId="291C71B4" w:rsidR="006166BB" w:rsidRPr="004560F5" w:rsidRDefault="00B320ED" w:rsidP="00B320ED">
            <w:pPr>
              <w:suppressAutoHyphens/>
              <w:autoSpaceDN w:val="0"/>
              <w:spacing w:line="240" w:lineRule="auto"/>
              <w:contextualSpacing/>
              <w:jc w:val="center"/>
              <w:textAlignment w:val="baseline"/>
              <w:rPr>
                <w:rFonts w:ascii="Times New Roman" w:hAnsi="Times New Roman"/>
                <w:noProof w:val="0"/>
                <w:color w:val="auto"/>
              </w:rPr>
            </w:pPr>
            <w:r w:rsidRPr="004560F5">
              <w:rPr>
                <w:rFonts w:ascii="Times New Roman" w:hAnsi="Times New Roman"/>
                <w:noProof w:val="0"/>
                <w:color w:val="auto"/>
              </w:rPr>
              <w:t>IDC</w:t>
            </w:r>
            <w:r w:rsidR="006166BB" w:rsidRPr="004560F5">
              <w:rPr>
                <w:rFonts w:ascii="Times New Roman" w:hAnsi="Times New Roman"/>
                <w:noProof w:val="0"/>
                <w:color w:val="auto"/>
              </w:rPr>
              <w:t xml:space="preserve"> traded energy (MWh)</w:t>
            </w:r>
          </w:p>
        </w:tc>
        <w:tc>
          <w:tcPr>
            <w:tcW w:w="1417" w:type="dxa"/>
            <w:vAlign w:val="center"/>
          </w:tcPr>
          <w:p w14:paraId="3554FBE7" w14:textId="77777777" w:rsidR="006166BB" w:rsidRPr="00B506CB" w:rsidRDefault="006166BB" w:rsidP="006166BB">
            <w:pPr>
              <w:suppressAutoHyphens/>
              <w:autoSpaceDN w:val="0"/>
              <w:spacing w:line="240" w:lineRule="auto"/>
              <w:contextualSpacing/>
              <w:jc w:val="center"/>
              <w:textAlignment w:val="baseline"/>
              <w:rPr>
                <w:rFonts w:ascii="Times New Roman" w:hAnsi="Times New Roman"/>
                <w:noProof w:val="0"/>
                <w:color w:val="auto"/>
              </w:rPr>
            </w:pPr>
            <w:r w:rsidRPr="00B506CB">
              <w:rPr>
                <w:rFonts w:ascii="Times New Roman" w:hAnsi="Times New Roman"/>
                <w:noProof w:val="0"/>
                <w:color w:val="auto"/>
              </w:rPr>
              <w:t>-</w:t>
            </w:r>
          </w:p>
        </w:tc>
        <w:tc>
          <w:tcPr>
            <w:tcW w:w="1417" w:type="dxa"/>
            <w:vAlign w:val="center"/>
          </w:tcPr>
          <w:p w14:paraId="18509261" w14:textId="742D5D1B" w:rsidR="006166BB" w:rsidRPr="00B506CB" w:rsidRDefault="004560F5" w:rsidP="006166BB">
            <w:pPr>
              <w:suppressAutoHyphens/>
              <w:autoSpaceDN w:val="0"/>
              <w:spacing w:line="240" w:lineRule="auto"/>
              <w:contextualSpacing/>
              <w:jc w:val="center"/>
              <w:textAlignment w:val="baseline"/>
              <w:rPr>
                <w:rFonts w:ascii="Times New Roman" w:hAnsi="Times New Roman"/>
                <w:noProof w:val="0"/>
                <w:color w:val="auto"/>
              </w:rPr>
            </w:pPr>
            <w:r w:rsidRPr="00B506CB">
              <w:rPr>
                <w:rFonts w:ascii="Times New Roman" w:hAnsi="Times New Roman"/>
                <w:noProof w:val="0"/>
                <w:color w:val="auto"/>
              </w:rPr>
              <w:t>7.</w:t>
            </w:r>
            <w:r w:rsidR="00B506CB" w:rsidRPr="00B506CB">
              <w:rPr>
                <w:rFonts w:ascii="Times New Roman" w:hAnsi="Times New Roman"/>
                <w:noProof w:val="0"/>
                <w:color w:val="auto"/>
              </w:rPr>
              <w:t>98</w:t>
            </w:r>
          </w:p>
        </w:tc>
      </w:tr>
      <w:tr w:rsidR="006166BB" w:rsidRPr="004560F5" w14:paraId="2CCCFAAC" w14:textId="77777777" w:rsidTr="002414DF">
        <w:trPr>
          <w:jc w:val="center"/>
        </w:trPr>
        <w:tc>
          <w:tcPr>
            <w:tcW w:w="2835" w:type="dxa"/>
            <w:vAlign w:val="center"/>
          </w:tcPr>
          <w:p w14:paraId="5AD8D63C" w14:textId="77777777" w:rsidR="006166BB" w:rsidRPr="004560F5" w:rsidRDefault="006166BB" w:rsidP="006166BB">
            <w:pPr>
              <w:suppressAutoHyphens/>
              <w:autoSpaceDN w:val="0"/>
              <w:spacing w:line="240" w:lineRule="auto"/>
              <w:contextualSpacing/>
              <w:jc w:val="center"/>
              <w:textAlignment w:val="baseline"/>
              <w:rPr>
                <w:rFonts w:ascii="Times New Roman" w:hAnsi="Times New Roman"/>
                <w:noProof w:val="0"/>
                <w:color w:val="auto"/>
              </w:rPr>
            </w:pPr>
            <w:r w:rsidRPr="004560F5">
              <w:rPr>
                <w:rFonts w:ascii="Times New Roman" w:hAnsi="Times New Roman"/>
                <w:noProof w:val="0"/>
                <w:color w:val="auto"/>
              </w:rPr>
              <w:t>Allocated Capacity (MW)</w:t>
            </w:r>
          </w:p>
        </w:tc>
        <w:tc>
          <w:tcPr>
            <w:tcW w:w="1417" w:type="dxa"/>
            <w:vAlign w:val="center"/>
          </w:tcPr>
          <w:p w14:paraId="4B9FACB7" w14:textId="343F144C" w:rsidR="006166BB" w:rsidRPr="00B506CB" w:rsidRDefault="004560F5" w:rsidP="006166BB">
            <w:pPr>
              <w:suppressAutoHyphens/>
              <w:autoSpaceDN w:val="0"/>
              <w:spacing w:line="240" w:lineRule="auto"/>
              <w:contextualSpacing/>
              <w:jc w:val="center"/>
              <w:textAlignment w:val="baseline"/>
              <w:rPr>
                <w:rFonts w:ascii="Times New Roman" w:hAnsi="Times New Roman"/>
                <w:noProof w:val="0"/>
                <w:color w:val="auto"/>
              </w:rPr>
            </w:pPr>
            <w:r w:rsidRPr="00B506CB">
              <w:rPr>
                <w:rFonts w:ascii="Times New Roman" w:hAnsi="Times New Roman"/>
                <w:noProof w:val="0"/>
                <w:color w:val="auto"/>
              </w:rPr>
              <w:t>10</w:t>
            </w:r>
            <w:r w:rsidR="00B506CB" w:rsidRPr="00B506CB">
              <w:rPr>
                <w:rFonts w:ascii="Times New Roman" w:hAnsi="Times New Roman"/>
                <w:noProof w:val="0"/>
                <w:color w:val="auto"/>
              </w:rPr>
              <w:t>0.90</w:t>
            </w:r>
          </w:p>
        </w:tc>
        <w:tc>
          <w:tcPr>
            <w:tcW w:w="1417" w:type="dxa"/>
            <w:vAlign w:val="center"/>
          </w:tcPr>
          <w:p w14:paraId="47B1CF0F" w14:textId="68575EB3" w:rsidR="006166BB" w:rsidRPr="00B506CB" w:rsidRDefault="004560F5" w:rsidP="006166BB">
            <w:pPr>
              <w:suppressAutoHyphens/>
              <w:autoSpaceDN w:val="0"/>
              <w:spacing w:line="240" w:lineRule="auto"/>
              <w:contextualSpacing/>
              <w:jc w:val="center"/>
              <w:textAlignment w:val="baseline"/>
              <w:rPr>
                <w:rFonts w:ascii="Times New Roman" w:hAnsi="Times New Roman"/>
                <w:noProof w:val="0"/>
                <w:color w:val="auto"/>
              </w:rPr>
            </w:pPr>
            <w:r w:rsidRPr="00B506CB">
              <w:rPr>
                <w:rFonts w:ascii="Times New Roman" w:hAnsi="Times New Roman"/>
                <w:noProof w:val="0"/>
                <w:color w:val="auto"/>
              </w:rPr>
              <w:t>100</w:t>
            </w:r>
            <w:r w:rsidR="00B506CB" w:rsidRPr="00B506CB">
              <w:rPr>
                <w:rFonts w:ascii="Times New Roman" w:hAnsi="Times New Roman"/>
                <w:noProof w:val="0"/>
                <w:color w:val="auto"/>
              </w:rPr>
              <w:t>.43</w:t>
            </w:r>
          </w:p>
        </w:tc>
      </w:tr>
      <w:tr w:rsidR="006166BB" w:rsidRPr="004560F5" w14:paraId="39E54110" w14:textId="77777777" w:rsidTr="002414DF">
        <w:trPr>
          <w:jc w:val="center"/>
        </w:trPr>
        <w:tc>
          <w:tcPr>
            <w:tcW w:w="2835" w:type="dxa"/>
            <w:vAlign w:val="center"/>
          </w:tcPr>
          <w:p w14:paraId="4EB959AC" w14:textId="77777777" w:rsidR="006166BB" w:rsidRPr="004560F5" w:rsidRDefault="006166BB" w:rsidP="006166BB">
            <w:pPr>
              <w:suppressAutoHyphens/>
              <w:autoSpaceDN w:val="0"/>
              <w:spacing w:line="240" w:lineRule="auto"/>
              <w:contextualSpacing/>
              <w:jc w:val="center"/>
              <w:textAlignment w:val="baseline"/>
              <w:rPr>
                <w:rFonts w:ascii="Times New Roman" w:hAnsi="Times New Roman"/>
                <w:noProof w:val="0"/>
                <w:color w:val="auto"/>
              </w:rPr>
            </w:pPr>
            <w:r w:rsidRPr="004560F5">
              <w:rPr>
                <w:rFonts w:ascii="Times New Roman" w:hAnsi="Times New Roman"/>
                <w:noProof w:val="0"/>
                <w:color w:val="auto"/>
              </w:rPr>
              <w:t>Activated Reserve (MWh)</w:t>
            </w:r>
          </w:p>
        </w:tc>
        <w:tc>
          <w:tcPr>
            <w:tcW w:w="1417" w:type="dxa"/>
            <w:vAlign w:val="center"/>
          </w:tcPr>
          <w:p w14:paraId="37B1F660" w14:textId="603043C1" w:rsidR="006166BB" w:rsidRPr="00B506CB" w:rsidRDefault="006166BB" w:rsidP="006166BB">
            <w:pPr>
              <w:suppressAutoHyphens/>
              <w:autoSpaceDN w:val="0"/>
              <w:spacing w:line="240" w:lineRule="auto"/>
              <w:contextualSpacing/>
              <w:jc w:val="center"/>
              <w:textAlignment w:val="baseline"/>
              <w:rPr>
                <w:rFonts w:ascii="Times New Roman" w:hAnsi="Times New Roman"/>
                <w:noProof w:val="0"/>
                <w:color w:val="auto"/>
              </w:rPr>
            </w:pPr>
            <w:r w:rsidRPr="00B506CB">
              <w:rPr>
                <w:rFonts w:ascii="Times New Roman" w:hAnsi="Times New Roman"/>
                <w:noProof w:val="0"/>
                <w:color w:val="auto"/>
              </w:rPr>
              <w:t>21.</w:t>
            </w:r>
            <w:r w:rsidR="00B506CB" w:rsidRPr="00B506CB">
              <w:rPr>
                <w:rFonts w:ascii="Times New Roman" w:hAnsi="Times New Roman"/>
                <w:noProof w:val="0"/>
                <w:color w:val="auto"/>
              </w:rPr>
              <w:t>04</w:t>
            </w:r>
          </w:p>
        </w:tc>
        <w:tc>
          <w:tcPr>
            <w:tcW w:w="1417" w:type="dxa"/>
            <w:vAlign w:val="center"/>
          </w:tcPr>
          <w:p w14:paraId="41458104" w14:textId="75451C0B" w:rsidR="006166BB" w:rsidRPr="00B506CB" w:rsidRDefault="006166BB" w:rsidP="006166BB">
            <w:pPr>
              <w:suppressAutoHyphens/>
              <w:autoSpaceDN w:val="0"/>
              <w:spacing w:line="240" w:lineRule="auto"/>
              <w:contextualSpacing/>
              <w:jc w:val="center"/>
              <w:textAlignment w:val="baseline"/>
              <w:rPr>
                <w:rFonts w:ascii="Times New Roman" w:hAnsi="Times New Roman"/>
                <w:noProof w:val="0"/>
                <w:color w:val="auto"/>
              </w:rPr>
            </w:pPr>
            <w:r w:rsidRPr="00B506CB">
              <w:rPr>
                <w:rFonts w:ascii="Times New Roman" w:hAnsi="Times New Roman"/>
                <w:noProof w:val="0"/>
                <w:color w:val="auto"/>
              </w:rPr>
              <w:t>21.</w:t>
            </w:r>
            <w:r w:rsidR="00B506CB" w:rsidRPr="00B506CB">
              <w:rPr>
                <w:rFonts w:ascii="Times New Roman" w:hAnsi="Times New Roman"/>
                <w:noProof w:val="0"/>
                <w:color w:val="auto"/>
              </w:rPr>
              <w:t>10</w:t>
            </w:r>
          </w:p>
        </w:tc>
      </w:tr>
      <w:tr w:rsidR="006166BB" w:rsidRPr="004560F5" w14:paraId="47E3A6CB" w14:textId="77777777" w:rsidTr="002414DF">
        <w:trPr>
          <w:jc w:val="center"/>
        </w:trPr>
        <w:tc>
          <w:tcPr>
            <w:tcW w:w="2835" w:type="dxa"/>
            <w:vAlign w:val="center"/>
          </w:tcPr>
          <w:p w14:paraId="2AFDC3A1" w14:textId="77777777" w:rsidR="006166BB" w:rsidRPr="004560F5" w:rsidRDefault="006166BB" w:rsidP="006166BB">
            <w:pPr>
              <w:suppressAutoHyphens/>
              <w:autoSpaceDN w:val="0"/>
              <w:spacing w:line="240" w:lineRule="auto"/>
              <w:contextualSpacing/>
              <w:jc w:val="center"/>
              <w:textAlignment w:val="baseline"/>
              <w:rPr>
                <w:rFonts w:ascii="Times New Roman" w:hAnsi="Times New Roman"/>
                <w:noProof w:val="0"/>
                <w:color w:val="auto"/>
              </w:rPr>
            </w:pPr>
            <w:r w:rsidRPr="004560F5">
              <w:rPr>
                <w:rFonts w:ascii="Times New Roman" w:hAnsi="Times New Roman"/>
                <w:noProof w:val="0"/>
                <w:color w:val="auto"/>
              </w:rPr>
              <w:t>Imbalances (MWh)</w:t>
            </w:r>
          </w:p>
        </w:tc>
        <w:tc>
          <w:tcPr>
            <w:tcW w:w="1417" w:type="dxa"/>
            <w:vAlign w:val="center"/>
          </w:tcPr>
          <w:p w14:paraId="6446AF88" w14:textId="3CD50F8C" w:rsidR="006166BB" w:rsidRPr="00B506CB" w:rsidRDefault="006166BB" w:rsidP="006166BB">
            <w:pPr>
              <w:suppressAutoHyphens/>
              <w:autoSpaceDN w:val="0"/>
              <w:spacing w:line="240" w:lineRule="auto"/>
              <w:contextualSpacing/>
              <w:jc w:val="center"/>
              <w:textAlignment w:val="baseline"/>
              <w:rPr>
                <w:rFonts w:ascii="Times New Roman" w:hAnsi="Times New Roman"/>
                <w:noProof w:val="0"/>
                <w:color w:val="auto"/>
              </w:rPr>
            </w:pPr>
            <w:r w:rsidRPr="00B506CB">
              <w:rPr>
                <w:rFonts w:ascii="Times New Roman" w:hAnsi="Times New Roman"/>
                <w:noProof w:val="0"/>
                <w:color w:val="auto"/>
              </w:rPr>
              <w:t>14.</w:t>
            </w:r>
            <w:r w:rsidR="00B506CB" w:rsidRPr="00B506CB">
              <w:rPr>
                <w:rFonts w:ascii="Times New Roman" w:hAnsi="Times New Roman"/>
                <w:noProof w:val="0"/>
                <w:color w:val="auto"/>
              </w:rPr>
              <w:t>16</w:t>
            </w:r>
          </w:p>
        </w:tc>
        <w:tc>
          <w:tcPr>
            <w:tcW w:w="1417" w:type="dxa"/>
            <w:vAlign w:val="center"/>
          </w:tcPr>
          <w:p w14:paraId="06C8EF84" w14:textId="0F65B334" w:rsidR="006166BB" w:rsidRPr="00B506CB" w:rsidRDefault="006166BB" w:rsidP="006166BB">
            <w:pPr>
              <w:suppressAutoHyphens/>
              <w:autoSpaceDN w:val="0"/>
              <w:spacing w:line="240" w:lineRule="auto"/>
              <w:contextualSpacing/>
              <w:jc w:val="center"/>
              <w:textAlignment w:val="baseline"/>
              <w:rPr>
                <w:rFonts w:ascii="Times New Roman" w:hAnsi="Times New Roman"/>
                <w:noProof w:val="0"/>
                <w:color w:val="auto"/>
              </w:rPr>
            </w:pPr>
            <w:r w:rsidRPr="00B506CB">
              <w:rPr>
                <w:rFonts w:ascii="Times New Roman" w:hAnsi="Times New Roman"/>
                <w:noProof w:val="0"/>
                <w:color w:val="auto"/>
              </w:rPr>
              <w:t>1</w:t>
            </w:r>
            <w:r w:rsidR="004560F5" w:rsidRPr="00B506CB">
              <w:rPr>
                <w:rFonts w:ascii="Times New Roman" w:hAnsi="Times New Roman"/>
                <w:noProof w:val="0"/>
                <w:color w:val="auto"/>
              </w:rPr>
              <w:t>4.</w:t>
            </w:r>
            <w:r w:rsidR="00B506CB" w:rsidRPr="00B506CB">
              <w:rPr>
                <w:rFonts w:ascii="Times New Roman" w:hAnsi="Times New Roman"/>
                <w:noProof w:val="0"/>
                <w:color w:val="auto"/>
              </w:rPr>
              <w:t>10</w:t>
            </w:r>
          </w:p>
        </w:tc>
      </w:tr>
      <w:tr w:rsidR="006166BB" w:rsidRPr="004560F5" w14:paraId="45BE736F" w14:textId="77777777" w:rsidTr="002414DF">
        <w:trPr>
          <w:jc w:val="center"/>
        </w:trPr>
        <w:tc>
          <w:tcPr>
            <w:tcW w:w="2835" w:type="dxa"/>
            <w:tcBorders>
              <w:bottom w:val="thinThickSmallGap" w:sz="12" w:space="0" w:color="auto"/>
            </w:tcBorders>
            <w:vAlign w:val="center"/>
          </w:tcPr>
          <w:p w14:paraId="038294DD" w14:textId="77777777" w:rsidR="006166BB" w:rsidRPr="004560F5" w:rsidRDefault="006166BB" w:rsidP="006166BB">
            <w:pPr>
              <w:suppressAutoHyphens/>
              <w:autoSpaceDN w:val="0"/>
              <w:spacing w:line="240" w:lineRule="auto"/>
              <w:contextualSpacing/>
              <w:jc w:val="center"/>
              <w:textAlignment w:val="baseline"/>
              <w:rPr>
                <w:rFonts w:ascii="Times New Roman" w:hAnsi="Times New Roman"/>
                <w:noProof w:val="0"/>
                <w:color w:val="auto"/>
              </w:rPr>
            </w:pPr>
            <w:r w:rsidRPr="004560F5">
              <w:rPr>
                <w:rFonts w:ascii="Times New Roman" w:hAnsi="Times New Roman"/>
                <w:noProof w:val="0"/>
                <w:color w:val="auto"/>
              </w:rPr>
              <w:t>Curtailment (MWh)</w:t>
            </w:r>
          </w:p>
        </w:tc>
        <w:tc>
          <w:tcPr>
            <w:tcW w:w="1417" w:type="dxa"/>
            <w:tcBorders>
              <w:bottom w:val="thinThickSmallGap" w:sz="12" w:space="0" w:color="auto"/>
            </w:tcBorders>
            <w:vAlign w:val="center"/>
          </w:tcPr>
          <w:p w14:paraId="439590F7" w14:textId="47AAD422" w:rsidR="006166BB" w:rsidRPr="00B506CB" w:rsidRDefault="006166BB" w:rsidP="006166BB">
            <w:pPr>
              <w:suppressAutoHyphens/>
              <w:autoSpaceDN w:val="0"/>
              <w:spacing w:line="240" w:lineRule="auto"/>
              <w:contextualSpacing/>
              <w:jc w:val="center"/>
              <w:textAlignment w:val="baseline"/>
              <w:rPr>
                <w:rFonts w:ascii="Times New Roman" w:hAnsi="Times New Roman"/>
                <w:noProof w:val="0"/>
                <w:color w:val="auto"/>
              </w:rPr>
            </w:pPr>
            <w:r w:rsidRPr="00B506CB">
              <w:rPr>
                <w:rFonts w:ascii="Times New Roman" w:hAnsi="Times New Roman"/>
                <w:noProof w:val="0"/>
                <w:color w:val="auto"/>
              </w:rPr>
              <w:t>3.</w:t>
            </w:r>
            <w:r w:rsidR="00B506CB" w:rsidRPr="00B506CB">
              <w:rPr>
                <w:rFonts w:ascii="Times New Roman" w:hAnsi="Times New Roman"/>
                <w:noProof w:val="0"/>
                <w:color w:val="auto"/>
              </w:rPr>
              <w:t>48</w:t>
            </w:r>
          </w:p>
        </w:tc>
        <w:tc>
          <w:tcPr>
            <w:tcW w:w="1417" w:type="dxa"/>
            <w:tcBorders>
              <w:bottom w:val="thinThickSmallGap" w:sz="12" w:space="0" w:color="auto"/>
            </w:tcBorders>
            <w:vAlign w:val="center"/>
          </w:tcPr>
          <w:p w14:paraId="5BE733CA" w14:textId="1B287C26" w:rsidR="006166BB" w:rsidRPr="00B506CB" w:rsidRDefault="006166BB" w:rsidP="006166BB">
            <w:pPr>
              <w:suppressAutoHyphens/>
              <w:autoSpaceDN w:val="0"/>
              <w:spacing w:line="240" w:lineRule="auto"/>
              <w:contextualSpacing/>
              <w:jc w:val="center"/>
              <w:textAlignment w:val="baseline"/>
              <w:rPr>
                <w:rFonts w:ascii="Times New Roman" w:hAnsi="Times New Roman"/>
                <w:noProof w:val="0"/>
                <w:color w:val="auto"/>
              </w:rPr>
            </w:pPr>
            <w:r w:rsidRPr="00B506CB">
              <w:rPr>
                <w:rFonts w:ascii="Times New Roman" w:hAnsi="Times New Roman"/>
                <w:noProof w:val="0"/>
                <w:color w:val="auto"/>
              </w:rPr>
              <w:t>3.</w:t>
            </w:r>
            <w:r w:rsidR="00B506CB" w:rsidRPr="00B506CB">
              <w:rPr>
                <w:rFonts w:ascii="Times New Roman" w:hAnsi="Times New Roman"/>
                <w:noProof w:val="0"/>
                <w:color w:val="auto"/>
              </w:rPr>
              <w:t>29</w:t>
            </w:r>
          </w:p>
        </w:tc>
      </w:tr>
    </w:tbl>
    <w:p w14:paraId="6689908E" w14:textId="4B01A815" w:rsidR="006166BB" w:rsidRDefault="00B320ED" w:rsidP="00AD3D0F">
      <w:pPr>
        <w:pStyle w:val="MDPI31text"/>
        <w:rPr>
          <w:color w:val="auto"/>
          <w:lang w:val="en-GB"/>
        </w:rPr>
      </w:pPr>
      <w:r>
        <w:rPr>
          <w:color w:val="auto"/>
          <w:lang w:val="en-GB"/>
        </w:rPr>
        <w:t xml:space="preserve">Analysing </w:t>
      </w:r>
      <w:r w:rsidR="005D51A1">
        <w:rPr>
          <w:color w:val="auto"/>
          <w:lang w:val="en-GB"/>
        </w:rPr>
        <w:fldChar w:fldCharType="begin"/>
      </w:r>
      <w:r w:rsidR="005D51A1">
        <w:rPr>
          <w:color w:val="auto"/>
          <w:lang w:val="en-GB"/>
        </w:rPr>
        <w:instrText xml:space="preserve"> REF _Ref191375976 \h </w:instrText>
      </w:r>
      <w:r w:rsidR="005D51A1">
        <w:rPr>
          <w:color w:val="auto"/>
          <w:lang w:val="en-GB"/>
        </w:rPr>
      </w:r>
      <w:r w:rsidR="005D51A1">
        <w:rPr>
          <w:color w:val="auto"/>
          <w:lang w:val="en-GB"/>
        </w:rPr>
        <w:fldChar w:fldCharType="separate"/>
      </w:r>
      <w:r w:rsidR="005D51A1">
        <w:t xml:space="preserve">Table </w:t>
      </w:r>
      <w:r w:rsidR="005D51A1">
        <w:rPr>
          <w:noProof/>
        </w:rPr>
        <w:t>5</w:t>
      </w:r>
      <w:r w:rsidR="005D51A1">
        <w:rPr>
          <w:color w:val="auto"/>
          <w:lang w:val="en-GB"/>
        </w:rPr>
        <w:fldChar w:fldCharType="end"/>
      </w:r>
      <w:r w:rsidR="005D51A1">
        <w:rPr>
          <w:color w:val="auto"/>
          <w:lang w:val="en-GB"/>
        </w:rPr>
        <w:t xml:space="preserve"> </w:t>
      </w:r>
      <w:r>
        <w:rPr>
          <w:color w:val="auto"/>
          <w:lang w:val="en-GB"/>
        </w:rPr>
        <w:t>can be verified that the mainly difference between the past and current designs is that the IDA energy is now divided between the IDA and IDC. Basically, under perfect information the WPP is gaining from the different prices in IDA and IDC. Naturally, the IDC can reduce imbalances even under perfect information, which is more relevant in the case of the operational case</w:t>
      </w:r>
      <w:r w:rsidR="005D51A1">
        <w:rPr>
          <w:color w:val="auto"/>
          <w:lang w:val="en-GB"/>
        </w:rPr>
        <w:t xml:space="preserve"> presented in the next section</w:t>
      </w:r>
      <w:r>
        <w:rPr>
          <w:color w:val="auto"/>
          <w:lang w:val="en-GB"/>
        </w:rPr>
        <w:t xml:space="preserve">.  </w:t>
      </w:r>
    </w:p>
    <w:p w14:paraId="0B980BDD" w14:textId="119EA15A" w:rsidR="006166BB" w:rsidRDefault="006166BB" w:rsidP="00862F10">
      <w:pPr>
        <w:pStyle w:val="MDPI22heading2"/>
        <w:numPr>
          <w:ilvl w:val="2"/>
          <w:numId w:val="7"/>
        </w:numPr>
        <w:ind w:firstLine="1328"/>
      </w:pPr>
      <w:r>
        <w:t xml:space="preserve">Operational </w:t>
      </w:r>
      <w:r w:rsidR="00B320ED">
        <w:t>c</w:t>
      </w:r>
      <w:r>
        <w:t>ase</w:t>
      </w:r>
    </w:p>
    <w:p w14:paraId="0DA0B976" w14:textId="3D309708" w:rsidR="00B320ED" w:rsidRDefault="00B320ED" w:rsidP="00B320ED">
      <w:pPr>
        <w:pStyle w:val="MDPI31text"/>
      </w:pPr>
      <w:r>
        <w:t xml:space="preserve">In the operation case it is considered the participation of the WPP in all markets. However, the strategic bidding neglected the TR, because of its competition with SR, being SR more economically advantageous as indicated in section 3.2.1. </w:t>
      </w:r>
      <w:r w:rsidR="005D51A1">
        <w:fldChar w:fldCharType="begin"/>
      </w:r>
      <w:r w:rsidR="005D51A1">
        <w:instrText xml:space="preserve"> REF _Ref191376586 \h </w:instrText>
      </w:r>
      <w:r w:rsidR="005D51A1">
        <w:fldChar w:fldCharType="separate"/>
      </w:r>
      <w:r w:rsidR="005D51A1">
        <w:t xml:space="preserve">Figure </w:t>
      </w:r>
      <w:r w:rsidR="005D51A1">
        <w:rPr>
          <w:noProof/>
        </w:rPr>
        <w:t>6</w:t>
      </w:r>
      <w:r w:rsidR="005D51A1">
        <w:fldChar w:fldCharType="end"/>
      </w:r>
      <w:r w:rsidR="005D51A1">
        <w:t xml:space="preserve"> </w:t>
      </w:r>
      <w:r>
        <w:t xml:space="preserve">presents the outcomes of the WPP in the </w:t>
      </w:r>
      <w:r w:rsidR="005D51A1">
        <w:t>different strategies</w:t>
      </w:r>
      <w:r>
        <w:t>.</w:t>
      </w:r>
    </w:p>
    <w:p w14:paraId="1EE1157E" w14:textId="2DBC149C" w:rsidR="005D51A1" w:rsidRDefault="005D51A1" w:rsidP="005D51A1">
      <w:pPr>
        <w:pStyle w:val="MDPI51figurecaption"/>
      </w:pPr>
    </w:p>
    <w:p w14:paraId="2DA3F440" w14:textId="2D484483" w:rsidR="009B218C" w:rsidRDefault="00692C2C" w:rsidP="00692C2C">
      <w:pPr>
        <w:pStyle w:val="MDPI51figurecaption"/>
        <w:jc w:val="center"/>
      </w:pPr>
      <w:bookmarkStart w:id="12" w:name="_Ref191376586"/>
      <w:r>
        <w:rPr>
          <w:noProof/>
        </w:rPr>
        <w:lastRenderedPageBreak/>
        <w:drawing>
          <wp:inline distT="0" distB="0" distL="0" distR="0" wp14:anchorId="48791953" wp14:editId="4716B93C">
            <wp:extent cx="3858425" cy="2880000"/>
            <wp:effectExtent l="0" t="0" r="8890" b="0"/>
            <wp:docPr id="506257195" name="Picture 2"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57195" name="Picture 2" descr="A graph of a number of bars&#10;&#10;AI-generated content may be incorrect."/>
                    <pic:cNvPicPr/>
                  </pic:nvPicPr>
                  <pic:blipFill>
                    <a:blip r:embed="rId21"/>
                    <a:stretch>
                      <a:fillRect/>
                    </a:stretch>
                  </pic:blipFill>
                  <pic:spPr>
                    <a:xfrm>
                      <a:off x="0" y="0"/>
                      <a:ext cx="3858425" cy="2880000"/>
                    </a:xfrm>
                    <a:prstGeom prst="rect">
                      <a:avLst/>
                    </a:prstGeom>
                  </pic:spPr>
                </pic:pic>
              </a:graphicData>
            </a:graphic>
          </wp:inline>
        </w:drawing>
      </w:r>
    </w:p>
    <w:p w14:paraId="3C024EE7" w14:textId="6DCFFBB6" w:rsidR="005D51A1" w:rsidRDefault="005D51A1" w:rsidP="005D51A1">
      <w:pPr>
        <w:pStyle w:val="MDPI51figurecaption"/>
      </w:pPr>
      <w:r>
        <w:t xml:space="preserve">Figure </w:t>
      </w:r>
      <w:fldSimple w:instr=" SEQ Figure \* ARABIC ">
        <w:r>
          <w:rPr>
            <w:noProof/>
          </w:rPr>
          <w:t>6</w:t>
        </w:r>
      </w:fldSimple>
      <w:bookmarkEnd w:id="12"/>
      <w:r>
        <w:t xml:space="preserve">: </w:t>
      </w:r>
      <w:r w:rsidRPr="005D51A1">
        <w:t xml:space="preserve">Average remuneration for the </w:t>
      </w:r>
      <w:r>
        <w:t xml:space="preserve">operational </w:t>
      </w:r>
      <w:r w:rsidRPr="005D51A1">
        <w:t xml:space="preserve">case in different </w:t>
      </w:r>
      <w:r>
        <w:t>strategies.</w:t>
      </w:r>
    </w:p>
    <w:p w14:paraId="66298190" w14:textId="4A439CBF" w:rsidR="006166BB" w:rsidRDefault="00F80C2B" w:rsidP="00AD3D0F">
      <w:pPr>
        <w:pStyle w:val="MDPI31text"/>
        <w:rPr>
          <w:color w:val="auto"/>
          <w:lang w:val="en-GB"/>
        </w:rPr>
      </w:pPr>
      <w:commentRangeStart w:id="13"/>
      <w:commentRangeEnd w:id="13"/>
      <w:r>
        <w:rPr>
          <w:rStyle w:val="CommentReference"/>
          <w:rFonts w:eastAsia="SimSun"/>
          <w:noProof/>
          <w:snapToGrid/>
          <w:lang w:eastAsia="zh-CN" w:bidi="ar-SA"/>
        </w:rPr>
        <w:commentReference w:id="13"/>
      </w:r>
    </w:p>
    <w:p w14:paraId="239F884F" w14:textId="0B0F9B8D" w:rsidR="00B320ED" w:rsidRDefault="00B320ED" w:rsidP="00B320ED">
      <w:pPr>
        <w:pStyle w:val="MDPI31text"/>
        <w:rPr>
          <w:rFonts w:ascii="Times New Roman" w:hAnsi="Times New Roman"/>
          <w:color w:val="auto"/>
          <w:sz w:val="22"/>
          <w:lang w:val="en-GB" w:eastAsia="en-US"/>
        </w:rPr>
      </w:pPr>
      <w:r>
        <w:rPr>
          <w:lang w:val="en-GB"/>
        </w:rPr>
        <w:t xml:space="preserve">From </w:t>
      </w:r>
      <w:r w:rsidR="005D51A1">
        <w:fldChar w:fldCharType="begin"/>
      </w:r>
      <w:r w:rsidR="005D51A1">
        <w:instrText xml:space="preserve"> REF _Ref191376586 \h </w:instrText>
      </w:r>
      <w:r w:rsidR="005D51A1">
        <w:fldChar w:fldCharType="separate"/>
      </w:r>
      <w:r w:rsidR="005D51A1">
        <w:t xml:space="preserve">Figure </w:t>
      </w:r>
      <w:r w:rsidR="005D51A1">
        <w:rPr>
          <w:noProof/>
        </w:rPr>
        <w:t>6</w:t>
      </w:r>
      <w:r w:rsidR="005D51A1">
        <w:fldChar w:fldCharType="end"/>
      </w:r>
      <w:r>
        <w:rPr>
          <w:lang w:val="en-GB"/>
        </w:rPr>
        <w:t xml:space="preserve"> can be verified the small increase of 1</w:t>
      </w:r>
      <w:r w:rsidR="00692C2C">
        <w:rPr>
          <w:lang w:val="en-GB"/>
        </w:rPr>
        <w:t>8</w:t>
      </w:r>
      <w:r>
        <w:rPr>
          <w:lang w:val="en-GB"/>
        </w:rPr>
        <w:t>% in the outcomes of the WPP by using different strategic bidding. However</w:t>
      </w:r>
      <w:r w:rsidRPr="00A95EC3">
        <w:rPr>
          <w:lang w:val="en-GB"/>
        </w:rPr>
        <w:t>, is relevant to notice that S</w:t>
      </w:r>
      <w:r w:rsidR="00692C2C" w:rsidRPr="00A95EC3">
        <w:rPr>
          <w:lang w:val="en-GB"/>
        </w:rPr>
        <w:t>3</w:t>
      </w:r>
      <w:r w:rsidRPr="00A95EC3">
        <w:rPr>
          <w:lang w:val="en-GB"/>
        </w:rPr>
        <w:t xml:space="preserve"> increases by </w:t>
      </w:r>
      <w:r w:rsidR="0011750B" w:rsidRPr="00A95EC3">
        <w:rPr>
          <w:lang w:val="en-GB"/>
        </w:rPr>
        <w:t>10</w:t>
      </w:r>
      <w:r w:rsidRPr="00A95EC3">
        <w:rPr>
          <w:lang w:val="en-GB"/>
        </w:rPr>
        <w:t>% the optimal value in the actual marker framework (see</w:t>
      </w:r>
      <w:r>
        <w:rPr>
          <w:lang w:val="en-GB"/>
        </w:rPr>
        <w:t xml:space="preserve"> IDM output in </w:t>
      </w:r>
      <w:r w:rsidR="005D51A1">
        <w:rPr>
          <w:color w:val="auto"/>
          <w:lang w:val="en-GB"/>
        </w:rPr>
        <w:fldChar w:fldCharType="begin"/>
      </w:r>
      <w:r w:rsidR="005D51A1">
        <w:rPr>
          <w:color w:val="auto"/>
          <w:lang w:val="en-GB"/>
        </w:rPr>
        <w:instrText xml:space="preserve"> REF _Ref191375057 \h </w:instrText>
      </w:r>
      <w:r w:rsidR="005D51A1">
        <w:rPr>
          <w:color w:val="auto"/>
          <w:lang w:val="en-GB"/>
        </w:rPr>
      </w:r>
      <w:r w:rsidR="005D51A1">
        <w:rPr>
          <w:color w:val="auto"/>
          <w:lang w:val="en-GB"/>
        </w:rPr>
        <w:fldChar w:fldCharType="separate"/>
      </w:r>
      <w:r w:rsidR="005D51A1">
        <w:t xml:space="preserve">Figure </w:t>
      </w:r>
      <w:r w:rsidR="005D51A1">
        <w:rPr>
          <w:noProof/>
        </w:rPr>
        <w:t>5</w:t>
      </w:r>
      <w:r w:rsidR="005D51A1">
        <w:rPr>
          <w:color w:val="auto"/>
          <w:lang w:val="en-GB"/>
        </w:rPr>
        <w:fldChar w:fldCharType="end"/>
      </w:r>
      <w:r>
        <w:rPr>
          <w:lang w:val="en-GB"/>
        </w:rPr>
        <w:t xml:space="preserve">). These results highlight the importance of allowing the participation of vRES, increasing their market value and reducing their imbalances, as presented in </w:t>
      </w:r>
      <w:r w:rsidR="005D51A1">
        <w:rPr>
          <w:lang w:val="en-GB"/>
        </w:rPr>
        <w:fldChar w:fldCharType="begin"/>
      </w:r>
      <w:r w:rsidR="005D51A1">
        <w:rPr>
          <w:lang w:val="en-GB"/>
        </w:rPr>
        <w:instrText xml:space="preserve"> REF _Ref191376744 \h </w:instrText>
      </w:r>
      <w:r w:rsidR="005D51A1">
        <w:rPr>
          <w:lang w:val="en-GB"/>
        </w:rPr>
      </w:r>
      <w:r w:rsidR="005D51A1">
        <w:rPr>
          <w:lang w:val="en-GB"/>
        </w:rPr>
        <w:fldChar w:fldCharType="separate"/>
      </w:r>
      <w:r w:rsidR="005D51A1">
        <w:t xml:space="preserve">Table </w:t>
      </w:r>
      <w:r w:rsidR="005D51A1">
        <w:rPr>
          <w:noProof/>
        </w:rPr>
        <w:t>6</w:t>
      </w:r>
      <w:r w:rsidR="005D51A1">
        <w:rPr>
          <w:lang w:val="en-GB"/>
        </w:rPr>
        <w:fldChar w:fldCharType="end"/>
      </w:r>
      <w:r w:rsidR="005D51A1">
        <w:rPr>
          <w:lang w:val="en-GB"/>
        </w:rPr>
        <w:t>.</w:t>
      </w:r>
    </w:p>
    <w:p w14:paraId="1EBE9D9C" w14:textId="1A57E781" w:rsidR="005D51A1" w:rsidRDefault="005D51A1" w:rsidP="005D51A1">
      <w:pPr>
        <w:pStyle w:val="MDPI41tablecaption"/>
      </w:pPr>
      <w:bookmarkStart w:id="14" w:name="_Ref191376744"/>
      <w:r>
        <w:t xml:space="preserve">Table </w:t>
      </w:r>
      <w:fldSimple w:instr=" SEQ Table \* ARABIC ">
        <w:r>
          <w:rPr>
            <w:noProof/>
          </w:rPr>
          <w:t>6</w:t>
        </w:r>
      </w:fldSimple>
      <w:bookmarkEnd w:id="14"/>
      <w:r>
        <w:t xml:space="preserve">: </w:t>
      </w:r>
      <w:r w:rsidRPr="006166BB">
        <w:rPr>
          <w:lang w:val="en-GB"/>
        </w:rPr>
        <w:t>Average hourly quantities traded for the different scenarios in the operational mode.</w:t>
      </w:r>
    </w:p>
    <w:tbl>
      <w:tblPr>
        <w:tblStyle w:val="TableGrid"/>
        <w:tblW w:w="3391" w:type="pct"/>
        <w:tblInd w:w="25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7"/>
        <w:gridCol w:w="1002"/>
        <w:gridCol w:w="962"/>
        <w:gridCol w:w="937"/>
        <w:gridCol w:w="20"/>
      </w:tblGrid>
      <w:tr w:rsidR="006166BB" w:rsidRPr="006166BB" w14:paraId="73BD22C6" w14:textId="77777777" w:rsidTr="006166BB">
        <w:trPr>
          <w:gridAfter w:val="1"/>
          <w:wAfter w:w="14" w:type="pct"/>
        </w:trPr>
        <w:tc>
          <w:tcPr>
            <w:tcW w:w="2942" w:type="pct"/>
            <w:vMerge w:val="restart"/>
            <w:tcBorders>
              <w:top w:val="thinThickSmallGap" w:sz="12" w:space="0" w:color="auto"/>
              <w:bottom w:val="nil"/>
            </w:tcBorders>
            <w:vAlign w:val="center"/>
          </w:tcPr>
          <w:p w14:paraId="727AECC3" w14:textId="77777777" w:rsidR="006166BB" w:rsidRPr="006166BB" w:rsidRDefault="006166B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6166BB">
              <w:rPr>
                <w:rFonts w:ascii="Times New Roman" w:eastAsia="Times New Roman" w:hAnsi="Times New Roman"/>
                <w:noProof w:val="0"/>
                <w:color w:val="auto"/>
                <w:sz w:val="22"/>
                <w:szCs w:val="22"/>
                <w:lang w:val="en-GB" w:eastAsia="en-US"/>
              </w:rPr>
              <w:t>Variables</w:t>
            </w:r>
          </w:p>
        </w:tc>
        <w:tc>
          <w:tcPr>
            <w:tcW w:w="2044" w:type="pct"/>
            <w:gridSpan w:val="3"/>
            <w:tcBorders>
              <w:top w:val="thinThickSmallGap" w:sz="12" w:space="0" w:color="auto"/>
              <w:bottom w:val="single" w:sz="4" w:space="0" w:color="auto"/>
            </w:tcBorders>
          </w:tcPr>
          <w:p w14:paraId="3909E708" w14:textId="30D8B3D6" w:rsidR="006166BB" w:rsidRPr="006166BB" w:rsidRDefault="006166B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6166BB">
              <w:rPr>
                <w:rFonts w:ascii="Times New Roman" w:eastAsia="Times New Roman" w:hAnsi="Times New Roman"/>
                <w:noProof w:val="0"/>
                <w:color w:val="auto"/>
                <w:sz w:val="22"/>
                <w:szCs w:val="22"/>
                <w:lang w:val="en-GB" w:eastAsia="en-US"/>
              </w:rPr>
              <w:t>Scenario</w:t>
            </w:r>
          </w:p>
        </w:tc>
      </w:tr>
      <w:tr w:rsidR="006166BB" w:rsidRPr="006166BB" w14:paraId="34230D70" w14:textId="77777777" w:rsidTr="006166BB">
        <w:tc>
          <w:tcPr>
            <w:tcW w:w="2942" w:type="pct"/>
            <w:vMerge/>
            <w:tcBorders>
              <w:top w:val="nil"/>
              <w:bottom w:val="single" w:sz="4" w:space="0" w:color="auto"/>
            </w:tcBorders>
          </w:tcPr>
          <w:p w14:paraId="39EBF7BF" w14:textId="77777777" w:rsidR="006166BB" w:rsidRPr="006166BB" w:rsidRDefault="006166B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p>
        </w:tc>
        <w:tc>
          <w:tcPr>
            <w:tcW w:w="706" w:type="pct"/>
            <w:tcBorders>
              <w:top w:val="single" w:sz="4" w:space="0" w:color="auto"/>
              <w:bottom w:val="single" w:sz="4" w:space="0" w:color="auto"/>
            </w:tcBorders>
          </w:tcPr>
          <w:p w14:paraId="2C8C30EE" w14:textId="77777777" w:rsidR="006166BB" w:rsidRPr="006166BB" w:rsidRDefault="006166B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6166BB">
              <w:rPr>
                <w:rFonts w:ascii="Times New Roman" w:eastAsia="Times New Roman" w:hAnsi="Times New Roman"/>
                <w:noProof w:val="0"/>
                <w:color w:val="auto"/>
                <w:sz w:val="22"/>
                <w:szCs w:val="22"/>
                <w:lang w:val="en-GB" w:eastAsia="en-US"/>
              </w:rPr>
              <w:t>S1</w:t>
            </w:r>
          </w:p>
        </w:tc>
        <w:tc>
          <w:tcPr>
            <w:tcW w:w="678" w:type="pct"/>
            <w:tcBorders>
              <w:top w:val="single" w:sz="4" w:space="0" w:color="auto"/>
              <w:bottom w:val="single" w:sz="4" w:space="0" w:color="auto"/>
            </w:tcBorders>
          </w:tcPr>
          <w:p w14:paraId="193DEC6F" w14:textId="77777777" w:rsidR="006166BB" w:rsidRPr="006166BB" w:rsidRDefault="006166B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6166BB">
              <w:rPr>
                <w:rFonts w:ascii="Times New Roman" w:eastAsia="Times New Roman" w:hAnsi="Times New Roman"/>
                <w:noProof w:val="0"/>
                <w:color w:val="auto"/>
                <w:sz w:val="22"/>
                <w:szCs w:val="22"/>
                <w:lang w:val="en-GB" w:eastAsia="en-US"/>
              </w:rPr>
              <w:t>S2</w:t>
            </w:r>
          </w:p>
        </w:tc>
        <w:tc>
          <w:tcPr>
            <w:tcW w:w="674" w:type="pct"/>
            <w:gridSpan w:val="2"/>
            <w:tcBorders>
              <w:top w:val="single" w:sz="4" w:space="0" w:color="auto"/>
              <w:bottom w:val="single" w:sz="4" w:space="0" w:color="auto"/>
            </w:tcBorders>
          </w:tcPr>
          <w:p w14:paraId="77A42D38" w14:textId="77777777" w:rsidR="006166BB" w:rsidRPr="006166BB" w:rsidRDefault="006166B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6166BB">
              <w:rPr>
                <w:rFonts w:ascii="Times New Roman" w:eastAsia="Times New Roman" w:hAnsi="Times New Roman"/>
                <w:noProof w:val="0"/>
                <w:color w:val="auto"/>
                <w:sz w:val="22"/>
                <w:szCs w:val="22"/>
                <w:lang w:val="en-GB" w:eastAsia="en-US"/>
              </w:rPr>
              <w:t>S3</w:t>
            </w:r>
          </w:p>
        </w:tc>
      </w:tr>
      <w:tr w:rsidR="006166BB" w:rsidRPr="006166BB" w14:paraId="0E8DDBA9" w14:textId="77777777" w:rsidTr="006166BB">
        <w:tc>
          <w:tcPr>
            <w:tcW w:w="2942" w:type="pct"/>
            <w:tcBorders>
              <w:top w:val="single" w:sz="4" w:space="0" w:color="auto"/>
            </w:tcBorders>
          </w:tcPr>
          <w:p w14:paraId="3FC75E00" w14:textId="77777777" w:rsidR="006166BB" w:rsidRPr="0011750B" w:rsidRDefault="006166B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DAM traded energy (MWh)</w:t>
            </w:r>
          </w:p>
        </w:tc>
        <w:tc>
          <w:tcPr>
            <w:tcW w:w="706" w:type="pct"/>
            <w:tcBorders>
              <w:top w:val="single" w:sz="4" w:space="0" w:color="auto"/>
            </w:tcBorders>
          </w:tcPr>
          <w:p w14:paraId="5E6DF772" w14:textId="31EE8AD3" w:rsidR="006166BB" w:rsidRPr="0011750B" w:rsidRDefault="006166B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95.</w:t>
            </w:r>
            <w:r w:rsidR="00DC42B4">
              <w:rPr>
                <w:rFonts w:ascii="Times New Roman" w:eastAsia="Times New Roman" w:hAnsi="Times New Roman"/>
                <w:noProof w:val="0"/>
                <w:color w:val="auto"/>
                <w:sz w:val="22"/>
                <w:szCs w:val="22"/>
                <w:lang w:val="en-GB" w:eastAsia="en-US"/>
              </w:rPr>
              <w:t>40</w:t>
            </w:r>
          </w:p>
        </w:tc>
        <w:tc>
          <w:tcPr>
            <w:tcW w:w="678" w:type="pct"/>
            <w:tcBorders>
              <w:top w:val="single" w:sz="4" w:space="0" w:color="auto"/>
            </w:tcBorders>
          </w:tcPr>
          <w:p w14:paraId="3BBABB43" w14:textId="2AC85F64" w:rsidR="006166BB" w:rsidRPr="0011750B" w:rsidRDefault="006166B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95.</w:t>
            </w:r>
            <w:r w:rsidR="00DC42B4">
              <w:rPr>
                <w:rFonts w:ascii="Times New Roman" w:eastAsia="Times New Roman" w:hAnsi="Times New Roman"/>
                <w:noProof w:val="0"/>
                <w:color w:val="auto"/>
                <w:sz w:val="22"/>
                <w:szCs w:val="22"/>
                <w:lang w:val="en-GB" w:eastAsia="en-US"/>
              </w:rPr>
              <w:t>34</w:t>
            </w:r>
          </w:p>
        </w:tc>
        <w:tc>
          <w:tcPr>
            <w:tcW w:w="674" w:type="pct"/>
            <w:gridSpan w:val="2"/>
            <w:tcBorders>
              <w:top w:val="single" w:sz="4" w:space="0" w:color="auto"/>
            </w:tcBorders>
          </w:tcPr>
          <w:p w14:paraId="05AED3EF" w14:textId="71A4E0D0" w:rsidR="006166BB" w:rsidRPr="0011750B" w:rsidRDefault="006166B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95.</w:t>
            </w:r>
            <w:r w:rsidR="00DC42B4">
              <w:rPr>
                <w:rFonts w:ascii="Times New Roman" w:eastAsia="Times New Roman" w:hAnsi="Times New Roman"/>
                <w:noProof w:val="0"/>
                <w:color w:val="auto"/>
                <w:sz w:val="22"/>
                <w:szCs w:val="22"/>
                <w:lang w:val="en-GB" w:eastAsia="en-US"/>
              </w:rPr>
              <w:t>34</w:t>
            </w:r>
          </w:p>
        </w:tc>
      </w:tr>
      <w:tr w:rsidR="006166BB" w:rsidRPr="006166BB" w14:paraId="00088EB0" w14:textId="77777777" w:rsidTr="006166BB">
        <w:tc>
          <w:tcPr>
            <w:tcW w:w="2942" w:type="pct"/>
          </w:tcPr>
          <w:p w14:paraId="73308948" w14:textId="6FBFB11D" w:rsidR="006166BB" w:rsidRPr="0011750B" w:rsidRDefault="006166B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ID</w:t>
            </w:r>
            <w:r w:rsidR="004560F5" w:rsidRPr="0011750B">
              <w:rPr>
                <w:rFonts w:ascii="Times New Roman" w:eastAsia="Times New Roman" w:hAnsi="Times New Roman"/>
                <w:noProof w:val="0"/>
                <w:color w:val="auto"/>
                <w:sz w:val="22"/>
                <w:szCs w:val="22"/>
                <w:lang w:val="en-GB" w:eastAsia="en-US"/>
              </w:rPr>
              <w:t>A</w:t>
            </w:r>
            <w:r w:rsidRPr="0011750B">
              <w:rPr>
                <w:rFonts w:ascii="Times New Roman" w:eastAsia="Times New Roman" w:hAnsi="Times New Roman"/>
                <w:noProof w:val="0"/>
                <w:color w:val="auto"/>
                <w:sz w:val="22"/>
                <w:szCs w:val="22"/>
                <w:lang w:val="en-GB" w:eastAsia="en-US"/>
              </w:rPr>
              <w:t xml:space="preserve"> traded energy (MWh)</w:t>
            </w:r>
          </w:p>
        </w:tc>
        <w:tc>
          <w:tcPr>
            <w:tcW w:w="706" w:type="pct"/>
          </w:tcPr>
          <w:p w14:paraId="280F7369" w14:textId="768F0791" w:rsidR="006166BB" w:rsidRPr="0011750B" w:rsidRDefault="006166B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34.</w:t>
            </w:r>
            <w:r w:rsidR="00DC42B4">
              <w:rPr>
                <w:rFonts w:ascii="Times New Roman" w:eastAsia="Times New Roman" w:hAnsi="Times New Roman"/>
                <w:noProof w:val="0"/>
                <w:color w:val="auto"/>
                <w:sz w:val="22"/>
                <w:szCs w:val="22"/>
                <w:lang w:val="en-GB" w:eastAsia="en-US"/>
              </w:rPr>
              <w:t>15</w:t>
            </w:r>
          </w:p>
        </w:tc>
        <w:tc>
          <w:tcPr>
            <w:tcW w:w="678" w:type="pct"/>
          </w:tcPr>
          <w:p w14:paraId="73CB5E7B" w14:textId="47F5D039" w:rsidR="006166BB" w:rsidRPr="0011750B" w:rsidRDefault="004560F5"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21.2</w:t>
            </w:r>
            <w:r w:rsidR="00DC42B4">
              <w:rPr>
                <w:rFonts w:ascii="Times New Roman" w:eastAsia="Times New Roman" w:hAnsi="Times New Roman"/>
                <w:noProof w:val="0"/>
                <w:color w:val="auto"/>
                <w:sz w:val="22"/>
                <w:szCs w:val="22"/>
                <w:lang w:val="en-GB" w:eastAsia="en-US"/>
              </w:rPr>
              <w:t>0</w:t>
            </w:r>
          </w:p>
        </w:tc>
        <w:tc>
          <w:tcPr>
            <w:tcW w:w="674" w:type="pct"/>
            <w:gridSpan w:val="2"/>
          </w:tcPr>
          <w:p w14:paraId="5BF47EA1" w14:textId="52CA96B0" w:rsidR="006166BB" w:rsidRPr="0011750B" w:rsidRDefault="004560F5"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20.</w:t>
            </w:r>
            <w:r w:rsidR="00DC42B4">
              <w:rPr>
                <w:rFonts w:ascii="Times New Roman" w:eastAsia="Times New Roman" w:hAnsi="Times New Roman"/>
                <w:noProof w:val="0"/>
                <w:color w:val="auto"/>
                <w:sz w:val="22"/>
                <w:szCs w:val="22"/>
                <w:lang w:val="en-GB" w:eastAsia="en-US"/>
              </w:rPr>
              <w:t>79</w:t>
            </w:r>
          </w:p>
        </w:tc>
      </w:tr>
      <w:tr w:rsidR="004560F5" w:rsidRPr="006166BB" w14:paraId="79C9AB94" w14:textId="77777777" w:rsidTr="006166BB">
        <w:tc>
          <w:tcPr>
            <w:tcW w:w="2942" w:type="pct"/>
          </w:tcPr>
          <w:p w14:paraId="1BCA3B69" w14:textId="662E7EB3" w:rsidR="004560F5" w:rsidRPr="0011750B" w:rsidRDefault="004560F5"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IDC traded energy (MWh)</w:t>
            </w:r>
          </w:p>
        </w:tc>
        <w:tc>
          <w:tcPr>
            <w:tcW w:w="706" w:type="pct"/>
          </w:tcPr>
          <w:p w14:paraId="3855FBC5" w14:textId="27FA9D46" w:rsidR="004560F5" w:rsidRPr="0011750B" w:rsidRDefault="004560F5"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w:t>
            </w:r>
          </w:p>
        </w:tc>
        <w:tc>
          <w:tcPr>
            <w:tcW w:w="678" w:type="pct"/>
          </w:tcPr>
          <w:p w14:paraId="55A87920" w14:textId="0D39B47D" w:rsidR="004560F5" w:rsidRPr="0011750B" w:rsidRDefault="004560F5"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23.4</w:t>
            </w:r>
            <w:r w:rsidR="00DC42B4">
              <w:rPr>
                <w:rFonts w:ascii="Times New Roman" w:eastAsia="Times New Roman" w:hAnsi="Times New Roman"/>
                <w:noProof w:val="0"/>
                <w:color w:val="auto"/>
                <w:sz w:val="22"/>
                <w:szCs w:val="22"/>
                <w:lang w:val="en-GB" w:eastAsia="en-US"/>
              </w:rPr>
              <w:t>1</w:t>
            </w:r>
          </w:p>
        </w:tc>
        <w:tc>
          <w:tcPr>
            <w:tcW w:w="674" w:type="pct"/>
            <w:gridSpan w:val="2"/>
          </w:tcPr>
          <w:p w14:paraId="3B3BA22F" w14:textId="650EA1DC" w:rsidR="004560F5" w:rsidRPr="0011750B" w:rsidRDefault="004560F5"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15.5</w:t>
            </w:r>
            <w:r w:rsidR="00DC42B4">
              <w:rPr>
                <w:rFonts w:ascii="Times New Roman" w:eastAsia="Times New Roman" w:hAnsi="Times New Roman"/>
                <w:noProof w:val="0"/>
                <w:color w:val="auto"/>
                <w:sz w:val="22"/>
                <w:szCs w:val="22"/>
                <w:lang w:val="en-GB" w:eastAsia="en-US"/>
              </w:rPr>
              <w:t>7</w:t>
            </w:r>
          </w:p>
        </w:tc>
      </w:tr>
      <w:tr w:rsidR="006166BB" w:rsidRPr="006166BB" w14:paraId="415F6D17" w14:textId="77777777" w:rsidTr="006166BB">
        <w:tc>
          <w:tcPr>
            <w:tcW w:w="2942" w:type="pct"/>
          </w:tcPr>
          <w:p w14:paraId="63569A5A" w14:textId="77777777" w:rsidR="006166BB" w:rsidRPr="0011750B" w:rsidRDefault="006166B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Capacity allocated (MW)</w:t>
            </w:r>
          </w:p>
        </w:tc>
        <w:tc>
          <w:tcPr>
            <w:tcW w:w="706" w:type="pct"/>
          </w:tcPr>
          <w:p w14:paraId="0C6C532E" w14:textId="046FAB0B" w:rsidR="006166BB" w:rsidRPr="0011750B" w:rsidRDefault="006166B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10.</w:t>
            </w:r>
            <w:r w:rsidR="004560F5" w:rsidRPr="0011750B">
              <w:rPr>
                <w:rFonts w:ascii="Times New Roman" w:eastAsia="Times New Roman" w:hAnsi="Times New Roman"/>
                <w:noProof w:val="0"/>
                <w:color w:val="auto"/>
                <w:sz w:val="22"/>
                <w:szCs w:val="22"/>
                <w:lang w:val="en-GB" w:eastAsia="en-US"/>
              </w:rPr>
              <w:t>1</w:t>
            </w:r>
            <w:r w:rsidR="00DC42B4">
              <w:rPr>
                <w:rFonts w:ascii="Times New Roman" w:eastAsia="Times New Roman" w:hAnsi="Times New Roman"/>
                <w:noProof w:val="0"/>
                <w:color w:val="auto"/>
                <w:sz w:val="22"/>
                <w:szCs w:val="22"/>
                <w:lang w:val="en-GB" w:eastAsia="en-US"/>
              </w:rPr>
              <w:t>4</w:t>
            </w:r>
          </w:p>
        </w:tc>
        <w:tc>
          <w:tcPr>
            <w:tcW w:w="678" w:type="pct"/>
          </w:tcPr>
          <w:p w14:paraId="32BFBCB7" w14:textId="1201B0EF" w:rsidR="006166BB" w:rsidRPr="0011750B" w:rsidRDefault="006166B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10.</w:t>
            </w:r>
            <w:r w:rsidR="004560F5" w:rsidRPr="0011750B">
              <w:rPr>
                <w:rFonts w:ascii="Times New Roman" w:eastAsia="Times New Roman" w:hAnsi="Times New Roman"/>
                <w:noProof w:val="0"/>
                <w:color w:val="auto"/>
                <w:sz w:val="22"/>
                <w:szCs w:val="22"/>
                <w:lang w:val="en-GB" w:eastAsia="en-US"/>
              </w:rPr>
              <w:t>1</w:t>
            </w:r>
            <w:r w:rsidR="00DC42B4">
              <w:rPr>
                <w:rFonts w:ascii="Times New Roman" w:eastAsia="Times New Roman" w:hAnsi="Times New Roman"/>
                <w:noProof w:val="0"/>
                <w:color w:val="auto"/>
                <w:sz w:val="22"/>
                <w:szCs w:val="22"/>
                <w:lang w:val="en-GB" w:eastAsia="en-US"/>
              </w:rPr>
              <w:t>6</w:t>
            </w:r>
          </w:p>
        </w:tc>
        <w:tc>
          <w:tcPr>
            <w:tcW w:w="674" w:type="pct"/>
            <w:gridSpan w:val="2"/>
          </w:tcPr>
          <w:p w14:paraId="00B78A62" w14:textId="63D545A6" w:rsidR="006166BB" w:rsidRPr="0011750B" w:rsidRDefault="006166B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17.</w:t>
            </w:r>
            <w:r w:rsidR="004560F5" w:rsidRPr="0011750B">
              <w:rPr>
                <w:rFonts w:ascii="Times New Roman" w:eastAsia="Times New Roman" w:hAnsi="Times New Roman"/>
                <w:noProof w:val="0"/>
                <w:color w:val="auto"/>
                <w:sz w:val="22"/>
                <w:szCs w:val="22"/>
                <w:lang w:val="en-GB" w:eastAsia="en-US"/>
              </w:rPr>
              <w:t>8</w:t>
            </w:r>
            <w:r w:rsidR="00DC42B4">
              <w:rPr>
                <w:rFonts w:ascii="Times New Roman" w:eastAsia="Times New Roman" w:hAnsi="Times New Roman"/>
                <w:noProof w:val="0"/>
                <w:color w:val="auto"/>
                <w:sz w:val="22"/>
                <w:szCs w:val="22"/>
                <w:lang w:val="en-GB" w:eastAsia="en-US"/>
              </w:rPr>
              <w:t>8</w:t>
            </w:r>
          </w:p>
        </w:tc>
      </w:tr>
      <w:tr w:rsidR="006166BB" w:rsidRPr="006166BB" w14:paraId="72103782" w14:textId="77777777" w:rsidTr="006166BB">
        <w:tc>
          <w:tcPr>
            <w:tcW w:w="2942" w:type="pct"/>
          </w:tcPr>
          <w:p w14:paraId="04E8E918" w14:textId="7CE74879" w:rsidR="006166BB" w:rsidRPr="0011750B" w:rsidRDefault="0011750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 xml:space="preserve">Upward </w:t>
            </w:r>
            <w:r w:rsidR="006166BB" w:rsidRPr="0011750B">
              <w:rPr>
                <w:rFonts w:ascii="Times New Roman" w:eastAsia="Times New Roman" w:hAnsi="Times New Roman"/>
                <w:noProof w:val="0"/>
                <w:color w:val="auto"/>
                <w:sz w:val="22"/>
                <w:szCs w:val="22"/>
                <w:lang w:val="en-GB" w:eastAsia="en-US"/>
              </w:rPr>
              <w:t>Reserve Activated (MWh)</w:t>
            </w:r>
          </w:p>
        </w:tc>
        <w:tc>
          <w:tcPr>
            <w:tcW w:w="706" w:type="pct"/>
          </w:tcPr>
          <w:p w14:paraId="7642FA1C" w14:textId="5424DD7D" w:rsidR="006166BB" w:rsidRPr="0011750B" w:rsidRDefault="0011750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2.8</w:t>
            </w:r>
            <w:r w:rsidR="00DC42B4">
              <w:rPr>
                <w:rFonts w:ascii="Times New Roman" w:eastAsia="Times New Roman" w:hAnsi="Times New Roman"/>
                <w:noProof w:val="0"/>
                <w:color w:val="auto"/>
                <w:sz w:val="22"/>
                <w:szCs w:val="22"/>
                <w:lang w:val="en-GB" w:eastAsia="en-US"/>
              </w:rPr>
              <w:t>6</w:t>
            </w:r>
          </w:p>
        </w:tc>
        <w:tc>
          <w:tcPr>
            <w:tcW w:w="678" w:type="pct"/>
          </w:tcPr>
          <w:p w14:paraId="0281ED73" w14:textId="71C06FD6" w:rsidR="006166BB" w:rsidRPr="0011750B" w:rsidRDefault="006166B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3.</w:t>
            </w:r>
            <w:r w:rsidR="0011750B" w:rsidRPr="0011750B">
              <w:rPr>
                <w:rFonts w:ascii="Times New Roman" w:eastAsia="Times New Roman" w:hAnsi="Times New Roman"/>
                <w:noProof w:val="0"/>
                <w:color w:val="auto"/>
                <w:sz w:val="22"/>
                <w:szCs w:val="22"/>
                <w:lang w:val="en-GB" w:eastAsia="en-US"/>
              </w:rPr>
              <w:t>72</w:t>
            </w:r>
          </w:p>
        </w:tc>
        <w:tc>
          <w:tcPr>
            <w:tcW w:w="674" w:type="pct"/>
            <w:gridSpan w:val="2"/>
          </w:tcPr>
          <w:p w14:paraId="4D7F1032" w14:textId="05514639" w:rsidR="006166BB" w:rsidRPr="0011750B" w:rsidRDefault="0011750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6.49</w:t>
            </w:r>
          </w:p>
        </w:tc>
      </w:tr>
      <w:tr w:rsidR="0011750B" w:rsidRPr="006166BB" w14:paraId="72E5B025" w14:textId="77777777" w:rsidTr="006166BB">
        <w:tc>
          <w:tcPr>
            <w:tcW w:w="2942" w:type="pct"/>
          </w:tcPr>
          <w:p w14:paraId="046D4603" w14:textId="3806FFF6" w:rsidR="0011750B" w:rsidRPr="0011750B" w:rsidRDefault="0011750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Downward Reserve Activated (MWh)</w:t>
            </w:r>
          </w:p>
        </w:tc>
        <w:tc>
          <w:tcPr>
            <w:tcW w:w="706" w:type="pct"/>
          </w:tcPr>
          <w:p w14:paraId="6F23A280" w14:textId="3DD5B6CD" w:rsidR="0011750B" w:rsidRPr="0011750B" w:rsidRDefault="0011750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0.1</w:t>
            </w:r>
            <w:r w:rsidR="00DC42B4">
              <w:rPr>
                <w:rFonts w:ascii="Times New Roman" w:eastAsia="Times New Roman" w:hAnsi="Times New Roman"/>
                <w:noProof w:val="0"/>
                <w:color w:val="auto"/>
                <w:sz w:val="22"/>
                <w:szCs w:val="22"/>
                <w:lang w:val="en-GB" w:eastAsia="en-US"/>
              </w:rPr>
              <w:t>7</w:t>
            </w:r>
          </w:p>
        </w:tc>
        <w:tc>
          <w:tcPr>
            <w:tcW w:w="678" w:type="pct"/>
          </w:tcPr>
          <w:p w14:paraId="451DF84B" w14:textId="69F4A4FD" w:rsidR="0011750B" w:rsidRPr="0011750B" w:rsidRDefault="0011750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0.17</w:t>
            </w:r>
          </w:p>
        </w:tc>
        <w:tc>
          <w:tcPr>
            <w:tcW w:w="674" w:type="pct"/>
            <w:gridSpan w:val="2"/>
          </w:tcPr>
          <w:p w14:paraId="29CB2F63" w14:textId="0EB76AC4" w:rsidR="0011750B" w:rsidRPr="0011750B" w:rsidRDefault="0011750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2.6</w:t>
            </w:r>
            <w:r w:rsidR="00DC42B4">
              <w:rPr>
                <w:rFonts w:ascii="Times New Roman" w:eastAsia="Times New Roman" w:hAnsi="Times New Roman"/>
                <w:noProof w:val="0"/>
                <w:color w:val="auto"/>
                <w:sz w:val="22"/>
                <w:szCs w:val="22"/>
                <w:lang w:val="en-GB" w:eastAsia="en-US"/>
              </w:rPr>
              <w:t>8</w:t>
            </w:r>
          </w:p>
        </w:tc>
      </w:tr>
      <w:tr w:rsidR="006166BB" w:rsidRPr="006166BB" w14:paraId="4AA7D935" w14:textId="77777777" w:rsidTr="006166BB">
        <w:tc>
          <w:tcPr>
            <w:tcW w:w="2942" w:type="pct"/>
          </w:tcPr>
          <w:p w14:paraId="732E7D3F" w14:textId="77777777" w:rsidR="006166BB" w:rsidRPr="0011750B" w:rsidRDefault="006166B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Imbalances (MWh)</w:t>
            </w:r>
          </w:p>
        </w:tc>
        <w:tc>
          <w:tcPr>
            <w:tcW w:w="706" w:type="pct"/>
          </w:tcPr>
          <w:p w14:paraId="5987C003" w14:textId="321E260A" w:rsidR="006166BB" w:rsidRPr="0011750B" w:rsidRDefault="006166B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1</w:t>
            </w:r>
            <w:r w:rsidR="004560F5" w:rsidRPr="0011750B">
              <w:rPr>
                <w:rFonts w:ascii="Times New Roman" w:eastAsia="Times New Roman" w:hAnsi="Times New Roman"/>
                <w:noProof w:val="0"/>
                <w:color w:val="auto"/>
                <w:sz w:val="22"/>
                <w:szCs w:val="22"/>
                <w:lang w:val="en-GB" w:eastAsia="en-US"/>
              </w:rPr>
              <w:t>4.64</w:t>
            </w:r>
          </w:p>
        </w:tc>
        <w:tc>
          <w:tcPr>
            <w:tcW w:w="678" w:type="pct"/>
          </w:tcPr>
          <w:p w14:paraId="47DE231C" w14:textId="4525E583" w:rsidR="006166BB" w:rsidRPr="0011750B" w:rsidRDefault="006166B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2.</w:t>
            </w:r>
            <w:r w:rsidR="004560F5" w:rsidRPr="0011750B">
              <w:rPr>
                <w:rFonts w:ascii="Times New Roman" w:eastAsia="Times New Roman" w:hAnsi="Times New Roman"/>
                <w:noProof w:val="0"/>
                <w:color w:val="auto"/>
                <w:sz w:val="22"/>
                <w:szCs w:val="22"/>
                <w:lang w:val="en-GB" w:eastAsia="en-US"/>
              </w:rPr>
              <w:t>31</w:t>
            </w:r>
          </w:p>
        </w:tc>
        <w:tc>
          <w:tcPr>
            <w:tcW w:w="674" w:type="pct"/>
            <w:gridSpan w:val="2"/>
          </w:tcPr>
          <w:p w14:paraId="2FF5B1DB" w14:textId="794A5D7A" w:rsidR="006166BB" w:rsidRPr="0011750B" w:rsidRDefault="006166B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3.5</w:t>
            </w:r>
            <w:r w:rsidR="00DC42B4">
              <w:rPr>
                <w:rFonts w:ascii="Times New Roman" w:eastAsia="Times New Roman" w:hAnsi="Times New Roman"/>
                <w:noProof w:val="0"/>
                <w:color w:val="auto"/>
                <w:sz w:val="22"/>
                <w:szCs w:val="22"/>
                <w:lang w:val="en-GB" w:eastAsia="en-US"/>
              </w:rPr>
              <w:t>3</w:t>
            </w:r>
          </w:p>
        </w:tc>
      </w:tr>
      <w:tr w:rsidR="006166BB" w:rsidRPr="006166BB" w14:paraId="5DC91F21" w14:textId="77777777" w:rsidTr="006166BB">
        <w:tc>
          <w:tcPr>
            <w:tcW w:w="2942" w:type="pct"/>
            <w:tcBorders>
              <w:bottom w:val="thinThickSmallGap" w:sz="12" w:space="0" w:color="auto"/>
            </w:tcBorders>
          </w:tcPr>
          <w:p w14:paraId="2444A02B" w14:textId="77777777" w:rsidR="006166BB" w:rsidRPr="0011750B" w:rsidRDefault="006166B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Curtailment (MWh)</w:t>
            </w:r>
          </w:p>
        </w:tc>
        <w:tc>
          <w:tcPr>
            <w:tcW w:w="706" w:type="pct"/>
            <w:tcBorders>
              <w:bottom w:val="thinThickSmallGap" w:sz="12" w:space="0" w:color="auto"/>
            </w:tcBorders>
          </w:tcPr>
          <w:p w14:paraId="77C16A42" w14:textId="3E6741E6" w:rsidR="006166BB" w:rsidRPr="0011750B" w:rsidRDefault="004560F5"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3.8</w:t>
            </w:r>
            <w:r w:rsidR="00DC42B4">
              <w:rPr>
                <w:rFonts w:ascii="Times New Roman" w:eastAsia="Times New Roman" w:hAnsi="Times New Roman"/>
                <w:noProof w:val="0"/>
                <w:color w:val="auto"/>
                <w:sz w:val="22"/>
                <w:szCs w:val="22"/>
                <w:lang w:val="en-GB" w:eastAsia="en-US"/>
              </w:rPr>
              <w:t>7</w:t>
            </w:r>
          </w:p>
        </w:tc>
        <w:tc>
          <w:tcPr>
            <w:tcW w:w="678" w:type="pct"/>
            <w:tcBorders>
              <w:bottom w:val="thinThickSmallGap" w:sz="12" w:space="0" w:color="auto"/>
            </w:tcBorders>
          </w:tcPr>
          <w:p w14:paraId="5216619C" w14:textId="3954E7EF" w:rsidR="006166BB" w:rsidRPr="0011750B" w:rsidRDefault="004560F5"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2.5</w:t>
            </w:r>
            <w:r w:rsidR="00DC42B4">
              <w:rPr>
                <w:rFonts w:ascii="Times New Roman" w:eastAsia="Times New Roman" w:hAnsi="Times New Roman"/>
                <w:noProof w:val="0"/>
                <w:color w:val="auto"/>
                <w:sz w:val="22"/>
                <w:szCs w:val="22"/>
                <w:lang w:val="en-GB" w:eastAsia="en-US"/>
              </w:rPr>
              <w:t>2</w:t>
            </w:r>
          </w:p>
        </w:tc>
        <w:tc>
          <w:tcPr>
            <w:tcW w:w="674" w:type="pct"/>
            <w:gridSpan w:val="2"/>
            <w:tcBorders>
              <w:bottom w:val="thinThickSmallGap" w:sz="12" w:space="0" w:color="auto"/>
            </w:tcBorders>
          </w:tcPr>
          <w:p w14:paraId="3FAB6C6C" w14:textId="37DBCA02" w:rsidR="006166BB" w:rsidRPr="0011750B" w:rsidRDefault="006166BB" w:rsidP="006166BB">
            <w:pPr>
              <w:suppressAutoHyphens/>
              <w:autoSpaceDN w:val="0"/>
              <w:spacing w:line="240" w:lineRule="auto"/>
              <w:jc w:val="center"/>
              <w:textAlignment w:val="baseline"/>
              <w:rPr>
                <w:rFonts w:ascii="Times New Roman" w:eastAsia="Times New Roman" w:hAnsi="Times New Roman"/>
                <w:noProof w:val="0"/>
                <w:color w:val="auto"/>
                <w:sz w:val="22"/>
                <w:szCs w:val="22"/>
                <w:lang w:val="en-GB" w:eastAsia="en-US"/>
              </w:rPr>
            </w:pPr>
            <w:r w:rsidRPr="0011750B">
              <w:rPr>
                <w:rFonts w:ascii="Times New Roman" w:eastAsia="Times New Roman" w:hAnsi="Times New Roman"/>
                <w:noProof w:val="0"/>
                <w:color w:val="auto"/>
                <w:sz w:val="22"/>
                <w:szCs w:val="22"/>
                <w:lang w:val="en-GB" w:eastAsia="en-US"/>
              </w:rPr>
              <w:t>5.</w:t>
            </w:r>
            <w:r w:rsidR="004560F5" w:rsidRPr="0011750B">
              <w:rPr>
                <w:rFonts w:ascii="Times New Roman" w:eastAsia="Times New Roman" w:hAnsi="Times New Roman"/>
                <w:noProof w:val="0"/>
                <w:color w:val="auto"/>
                <w:sz w:val="22"/>
                <w:szCs w:val="22"/>
                <w:lang w:val="en-GB" w:eastAsia="en-US"/>
              </w:rPr>
              <w:t>8</w:t>
            </w:r>
            <w:r w:rsidR="00DC42B4">
              <w:rPr>
                <w:rFonts w:ascii="Times New Roman" w:eastAsia="Times New Roman" w:hAnsi="Times New Roman"/>
                <w:noProof w:val="0"/>
                <w:color w:val="auto"/>
                <w:sz w:val="22"/>
                <w:szCs w:val="22"/>
                <w:lang w:val="en-GB" w:eastAsia="en-US"/>
              </w:rPr>
              <w:t>5</w:t>
            </w:r>
          </w:p>
        </w:tc>
      </w:tr>
    </w:tbl>
    <w:p w14:paraId="2AE6D7BD" w14:textId="230BE786" w:rsidR="00B320ED" w:rsidRDefault="00B320ED" w:rsidP="00B320ED">
      <w:pPr>
        <w:pStyle w:val="MDPI31text"/>
        <w:rPr>
          <w:lang w:val="en-GB"/>
        </w:rPr>
      </w:pPr>
      <w:r>
        <w:rPr>
          <w:lang w:val="en-GB"/>
        </w:rPr>
        <w:t xml:space="preserve">Analysing </w:t>
      </w:r>
      <w:r w:rsidR="005D51A1">
        <w:rPr>
          <w:lang w:val="en-GB"/>
        </w:rPr>
        <w:fldChar w:fldCharType="begin"/>
      </w:r>
      <w:r w:rsidR="005D51A1">
        <w:rPr>
          <w:lang w:val="en-GB"/>
        </w:rPr>
        <w:instrText xml:space="preserve"> REF _Ref191376744 \h </w:instrText>
      </w:r>
      <w:r w:rsidR="005D51A1">
        <w:rPr>
          <w:lang w:val="en-GB"/>
        </w:rPr>
      </w:r>
      <w:r w:rsidR="005D51A1">
        <w:rPr>
          <w:lang w:val="en-GB"/>
        </w:rPr>
        <w:fldChar w:fldCharType="separate"/>
      </w:r>
      <w:r w:rsidR="005D51A1">
        <w:t xml:space="preserve">Table </w:t>
      </w:r>
      <w:r w:rsidR="005D51A1">
        <w:rPr>
          <w:noProof/>
        </w:rPr>
        <w:t>6</w:t>
      </w:r>
      <w:r w:rsidR="005D51A1">
        <w:rPr>
          <w:lang w:val="en-GB"/>
        </w:rPr>
        <w:fldChar w:fldCharType="end"/>
      </w:r>
      <w:r>
        <w:rPr>
          <w:lang w:val="en-GB"/>
        </w:rPr>
        <w:t xml:space="preserve"> can be verifies the benefit of strategies S2 and S3 from a technical point of view by reducing the imbalances. However, in S2 both imbalances and forced curtailments are lower, being the best strategy from the point of view of the system operator. So, from a technical an economical point of views, S2 and S3 are the best strategies, respectively. </w:t>
      </w:r>
      <w:r w:rsidR="005D51A1">
        <w:rPr>
          <w:lang w:val="en-GB"/>
        </w:rPr>
        <w:fldChar w:fldCharType="begin"/>
      </w:r>
      <w:r w:rsidR="005D51A1">
        <w:rPr>
          <w:lang w:val="en-GB"/>
        </w:rPr>
        <w:instrText xml:space="preserve"> REF _Ref191376785 \h </w:instrText>
      </w:r>
      <w:r w:rsidR="005D51A1">
        <w:rPr>
          <w:lang w:val="en-GB"/>
        </w:rPr>
      </w:r>
      <w:r w:rsidR="005D51A1">
        <w:rPr>
          <w:lang w:val="en-GB"/>
        </w:rPr>
        <w:fldChar w:fldCharType="separate"/>
      </w:r>
      <w:r w:rsidR="005D51A1">
        <w:t xml:space="preserve">Table </w:t>
      </w:r>
      <w:r w:rsidR="005D51A1">
        <w:rPr>
          <w:noProof/>
        </w:rPr>
        <w:t>7</w:t>
      </w:r>
      <w:r w:rsidR="005D51A1">
        <w:rPr>
          <w:lang w:val="en-GB"/>
        </w:rPr>
        <w:fldChar w:fldCharType="end"/>
      </w:r>
      <w:r>
        <w:rPr>
          <w:lang w:val="en-GB"/>
        </w:rPr>
        <w:t xml:space="preserve"> presents the total revenues from each market.</w:t>
      </w:r>
    </w:p>
    <w:p w14:paraId="2B4893E5" w14:textId="4D46070B" w:rsidR="004560F5" w:rsidRDefault="005D51A1" w:rsidP="0068192A">
      <w:pPr>
        <w:pStyle w:val="MDPI41tablecaption"/>
        <w:rPr>
          <w:lang w:val="en-GB"/>
        </w:rPr>
      </w:pPr>
      <w:bookmarkStart w:id="15" w:name="_Ref191376785"/>
      <w:r>
        <w:t xml:space="preserve">Table </w:t>
      </w:r>
      <w:fldSimple w:instr=" SEQ Table \* ARABIC ">
        <w:r>
          <w:rPr>
            <w:noProof/>
          </w:rPr>
          <w:t>7</w:t>
        </w:r>
      </w:fldSimple>
      <w:bookmarkEnd w:id="15"/>
      <w:r>
        <w:t xml:space="preserve">: </w:t>
      </w:r>
      <w:r w:rsidRPr="00D41151">
        <w:rPr>
          <w:lang w:val="en-GB"/>
        </w:rPr>
        <w:t>Total revenue from different markets for the different scenarios under study.</w:t>
      </w:r>
    </w:p>
    <w:p w14:paraId="561ECDC6" w14:textId="77777777" w:rsidR="0068192A" w:rsidRDefault="0068192A" w:rsidP="0068192A">
      <w:pPr>
        <w:pStyle w:val="MDPI41tablecaption"/>
        <w:rPr>
          <w:lang w:val="en-GB"/>
        </w:rPr>
      </w:pPr>
    </w:p>
    <w:p w14:paraId="2994BE56" w14:textId="77777777" w:rsidR="0068192A" w:rsidRPr="0068192A" w:rsidRDefault="0068192A" w:rsidP="0068192A">
      <w:pPr>
        <w:pStyle w:val="MDPI41tablecaption"/>
        <w:rPr>
          <w:lang w:val="en-GB"/>
        </w:rPr>
      </w:pPr>
    </w:p>
    <w:tbl>
      <w:tblPr>
        <w:tblStyle w:val="TableGrid"/>
        <w:tblW w:w="0" w:type="auto"/>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827"/>
        <w:gridCol w:w="785"/>
        <w:gridCol w:w="785"/>
        <w:gridCol w:w="785"/>
      </w:tblGrid>
      <w:tr w:rsidR="00D41151" w:rsidRPr="00D41151" w14:paraId="25161302" w14:textId="77777777" w:rsidTr="004560F5">
        <w:trPr>
          <w:jc w:val="center"/>
        </w:trPr>
        <w:tc>
          <w:tcPr>
            <w:tcW w:w="0" w:type="auto"/>
            <w:vMerge w:val="restart"/>
            <w:tcBorders>
              <w:top w:val="double" w:sz="4" w:space="0" w:color="auto"/>
              <w:bottom w:val="single" w:sz="4" w:space="0" w:color="auto"/>
            </w:tcBorders>
            <w:vAlign w:val="center"/>
          </w:tcPr>
          <w:p w14:paraId="336960F6" w14:textId="77777777" w:rsidR="00D41151" w:rsidRPr="004560F5"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4560F5">
              <w:rPr>
                <w:rFonts w:ascii="Times New Roman" w:eastAsia="Times New Roman" w:hAnsi="Times New Roman"/>
                <w:noProof w:val="0"/>
                <w:color w:val="auto"/>
                <w:kern w:val="2"/>
                <w:sz w:val="22"/>
                <w:szCs w:val="22"/>
                <w:lang w:val="en-GB" w:eastAsia="en-US"/>
              </w:rPr>
              <w:lastRenderedPageBreak/>
              <w:t>Total Revenue (M€)</w:t>
            </w:r>
          </w:p>
        </w:tc>
        <w:tc>
          <w:tcPr>
            <w:tcW w:w="0" w:type="auto"/>
            <w:gridSpan w:val="3"/>
            <w:tcBorders>
              <w:top w:val="double" w:sz="4" w:space="0" w:color="auto"/>
              <w:bottom w:val="single" w:sz="4" w:space="0" w:color="auto"/>
            </w:tcBorders>
          </w:tcPr>
          <w:p w14:paraId="694B4070" w14:textId="5F975568" w:rsidR="00D41151" w:rsidRPr="004560F5"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4560F5">
              <w:rPr>
                <w:rFonts w:ascii="Times New Roman" w:eastAsia="Times New Roman" w:hAnsi="Times New Roman"/>
                <w:noProof w:val="0"/>
                <w:color w:val="auto"/>
                <w:kern w:val="2"/>
                <w:sz w:val="22"/>
                <w:szCs w:val="22"/>
                <w:lang w:val="en-GB" w:eastAsia="en-US"/>
              </w:rPr>
              <w:t>Scenario</w:t>
            </w:r>
          </w:p>
        </w:tc>
      </w:tr>
      <w:tr w:rsidR="00D41151" w:rsidRPr="00D41151" w14:paraId="34D31B47" w14:textId="77777777" w:rsidTr="004560F5">
        <w:trPr>
          <w:jc w:val="center"/>
        </w:trPr>
        <w:tc>
          <w:tcPr>
            <w:tcW w:w="0" w:type="auto"/>
            <w:vMerge/>
            <w:tcBorders>
              <w:top w:val="nil"/>
              <w:bottom w:val="single" w:sz="4" w:space="0" w:color="auto"/>
            </w:tcBorders>
          </w:tcPr>
          <w:p w14:paraId="5AE3FA62" w14:textId="77777777" w:rsidR="00D41151" w:rsidRPr="004560F5" w:rsidRDefault="00D41151" w:rsidP="00D41151">
            <w:pPr>
              <w:spacing w:line="240" w:lineRule="auto"/>
              <w:jc w:val="center"/>
              <w:rPr>
                <w:rFonts w:ascii="Times New Roman" w:eastAsia="Times New Roman" w:hAnsi="Times New Roman"/>
                <w:noProof w:val="0"/>
                <w:color w:val="auto"/>
                <w:kern w:val="2"/>
                <w:sz w:val="22"/>
                <w:szCs w:val="22"/>
                <w:lang w:val="en-GB" w:eastAsia="en-US"/>
              </w:rPr>
            </w:pPr>
          </w:p>
        </w:tc>
        <w:tc>
          <w:tcPr>
            <w:tcW w:w="0" w:type="auto"/>
            <w:tcBorders>
              <w:top w:val="single" w:sz="4" w:space="0" w:color="auto"/>
              <w:bottom w:val="single" w:sz="4" w:space="0" w:color="auto"/>
            </w:tcBorders>
          </w:tcPr>
          <w:p w14:paraId="77096674" w14:textId="77777777" w:rsidR="00D41151" w:rsidRPr="004560F5"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4560F5">
              <w:rPr>
                <w:rFonts w:ascii="Times New Roman" w:eastAsia="Times New Roman" w:hAnsi="Times New Roman"/>
                <w:noProof w:val="0"/>
                <w:color w:val="auto"/>
                <w:kern w:val="2"/>
                <w:sz w:val="22"/>
                <w:szCs w:val="22"/>
                <w:lang w:val="en-GB" w:eastAsia="en-US"/>
              </w:rPr>
              <w:t>S1</w:t>
            </w:r>
          </w:p>
        </w:tc>
        <w:tc>
          <w:tcPr>
            <w:tcW w:w="0" w:type="auto"/>
            <w:tcBorders>
              <w:top w:val="single" w:sz="4" w:space="0" w:color="auto"/>
              <w:bottom w:val="single" w:sz="4" w:space="0" w:color="auto"/>
            </w:tcBorders>
          </w:tcPr>
          <w:p w14:paraId="3EAC5CB6" w14:textId="77777777" w:rsidR="00D41151" w:rsidRPr="004560F5"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4560F5">
              <w:rPr>
                <w:rFonts w:ascii="Times New Roman" w:eastAsia="Times New Roman" w:hAnsi="Times New Roman"/>
                <w:noProof w:val="0"/>
                <w:color w:val="auto"/>
                <w:kern w:val="2"/>
                <w:sz w:val="22"/>
                <w:szCs w:val="22"/>
                <w:lang w:val="en-GB" w:eastAsia="en-US"/>
              </w:rPr>
              <w:t>S2</w:t>
            </w:r>
          </w:p>
        </w:tc>
        <w:tc>
          <w:tcPr>
            <w:tcW w:w="0" w:type="auto"/>
            <w:tcBorders>
              <w:top w:val="single" w:sz="4" w:space="0" w:color="auto"/>
              <w:bottom w:val="single" w:sz="4" w:space="0" w:color="auto"/>
            </w:tcBorders>
          </w:tcPr>
          <w:p w14:paraId="756D9399" w14:textId="77777777" w:rsidR="00D41151" w:rsidRPr="004560F5"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4560F5">
              <w:rPr>
                <w:rFonts w:ascii="Times New Roman" w:eastAsia="Times New Roman" w:hAnsi="Times New Roman"/>
                <w:noProof w:val="0"/>
                <w:color w:val="auto"/>
                <w:kern w:val="2"/>
                <w:sz w:val="22"/>
                <w:szCs w:val="22"/>
                <w:lang w:val="en-GB" w:eastAsia="en-US"/>
              </w:rPr>
              <w:t>S3</w:t>
            </w:r>
          </w:p>
        </w:tc>
      </w:tr>
      <w:tr w:rsidR="00D41151" w:rsidRPr="00D41151" w14:paraId="1FBB0D54" w14:textId="77777777" w:rsidTr="004560F5">
        <w:trPr>
          <w:jc w:val="center"/>
        </w:trPr>
        <w:tc>
          <w:tcPr>
            <w:tcW w:w="0" w:type="auto"/>
            <w:tcBorders>
              <w:top w:val="single" w:sz="4" w:space="0" w:color="auto"/>
            </w:tcBorders>
          </w:tcPr>
          <w:p w14:paraId="21CA52EE" w14:textId="77777777" w:rsidR="00D41151" w:rsidRPr="004560F5"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4560F5">
              <w:rPr>
                <w:rFonts w:ascii="Times New Roman" w:eastAsia="Times New Roman" w:hAnsi="Times New Roman"/>
                <w:noProof w:val="0"/>
                <w:color w:val="auto"/>
                <w:kern w:val="2"/>
                <w:sz w:val="22"/>
                <w:szCs w:val="22"/>
                <w:lang w:val="en-GB" w:eastAsia="en-US"/>
              </w:rPr>
              <w:t>DAM</w:t>
            </w:r>
          </w:p>
        </w:tc>
        <w:tc>
          <w:tcPr>
            <w:tcW w:w="0" w:type="auto"/>
            <w:tcBorders>
              <w:top w:val="single" w:sz="4" w:space="0" w:color="auto"/>
            </w:tcBorders>
          </w:tcPr>
          <w:p w14:paraId="69DC29A8" w14:textId="0B6C26F0" w:rsidR="00D41151" w:rsidRPr="0068192A"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62.</w:t>
            </w:r>
            <w:r w:rsidR="0068192A" w:rsidRPr="0068192A">
              <w:rPr>
                <w:rFonts w:ascii="Times New Roman" w:eastAsia="Times New Roman" w:hAnsi="Times New Roman"/>
                <w:noProof w:val="0"/>
                <w:color w:val="auto"/>
                <w:kern w:val="2"/>
                <w:sz w:val="22"/>
                <w:szCs w:val="22"/>
                <w:lang w:val="en-GB" w:eastAsia="en-US"/>
              </w:rPr>
              <w:t>15</w:t>
            </w:r>
          </w:p>
        </w:tc>
        <w:tc>
          <w:tcPr>
            <w:tcW w:w="0" w:type="auto"/>
            <w:tcBorders>
              <w:top w:val="single" w:sz="4" w:space="0" w:color="auto"/>
            </w:tcBorders>
          </w:tcPr>
          <w:p w14:paraId="3E3710E3" w14:textId="0708924F" w:rsidR="00D41151" w:rsidRPr="0068192A"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62.</w:t>
            </w:r>
            <w:r w:rsidR="004560F5" w:rsidRPr="0068192A">
              <w:rPr>
                <w:rFonts w:ascii="Times New Roman" w:eastAsia="Times New Roman" w:hAnsi="Times New Roman"/>
                <w:noProof w:val="0"/>
                <w:color w:val="auto"/>
                <w:kern w:val="2"/>
                <w:sz w:val="22"/>
                <w:szCs w:val="22"/>
                <w:lang w:val="en-GB" w:eastAsia="en-US"/>
              </w:rPr>
              <w:t>1</w:t>
            </w:r>
            <w:r w:rsidR="0068192A" w:rsidRPr="0068192A">
              <w:rPr>
                <w:rFonts w:ascii="Times New Roman" w:eastAsia="Times New Roman" w:hAnsi="Times New Roman"/>
                <w:noProof w:val="0"/>
                <w:color w:val="auto"/>
                <w:kern w:val="2"/>
                <w:sz w:val="22"/>
                <w:szCs w:val="22"/>
                <w:lang w:val="en-GB" w:eastAsia="en-US"/>
              </w:rPr>
              <w:t>1</w:t>
            </w:r>
          </w:p>
        </w:tc>
        <w:tc>
          <w:tcPr>
            <w:tcW w:w="0" w:type="auto"/>
            <w:tcBorders>
              <w:top w:val="single" w:sz="4" w:space="0" w:color="auto"/>
            </w:tcBorders>
          </w:tcPr>
          <w:p w14:paraId="618F9BCB" w14:textId="7C906A83" w:rsidR="00D41151" w:rsidRPr="0068192A"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62.</w:t>
            </w:r>
            <w:r w:rsidR="0011750B" w:rsidRPr="0068192A">
              <w:rPr>
                <w:rFonts w:ascii="Times New Roman" w:eastAsia="Times New Roman" w:hAnsi="Times New Roman"/>
                <w:noProof w:val="0"/>
                <w:color w:val="auto"/>
                <w:kern w:val="2"/>
                <w:sz w:val="22"/>
                <w:szCs w:val="22"/>
                <w:lang w:val="en-GB" w:eastAsia="en-US"/>
              </w:rPr>
              <w:t>1</w:t>
            </w:r>
            <w:r w:rsidR="0068192A" w:rsidRPr="0068192A">
              <w:rPr>
                <w:rFonts w:ascii="Times New Roman" w:eastAsia="Times New Roman" w:hAnsi="Times New Roman"/>
                <w:noProof w:val="0"/>
                <w:color w:val="auto"/>
                <w:kern w:val="2"/>
                <w:sz w:val="22"/>
                <w:szCs w:val="22"/>
                <w:lang w:val="en-GB" w:eastAsia="en-US"/>
              </w:rPr>
              <w:t>1</w:t>
            </w:r>
          </w:p>
        </w:tc>
      </w:tr>
      <w:tr w:rsidR="00D41151" w:rsidRPr="00D41151" w14:paraId="3EF5693A" w14:textId="77777777" w:rsidTr="004560F5">
        <w:trPr>
          <w:jc w:val="center"/>
        </w:trPr>
        <w:tc>
          <w:tcPr>
            <w:tcW w:w="0" w:type="auto"/>
          </w:tcPr>
          <w:p w14:paraId="65FB07C9" w14:textId="77777777" w:rsidR="00D41151" w:rsidRPr="004560F5"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4560F5">
              <w:rPr>
                <w:rFonts w:ascii="Times New Roman" w:eastAsia="Times New Roman" w:hAnsi="Times New Roman"/>
                <w:noProof w:val="0"/>
                <w:color w:val="auto"/>
                <w:kern w:val="2"/>
                <w:sz w:val="22"/>
                <w:szCs w:val="22"/>
                <w:lang w:val="en-GB" w:eastAsia="en-US"/>
              </w:rPr>
              <w:t>IDA</w:t>
            </w:r>
          </w:p>
        </w:tc>
        <w:tc>
          <w:tcPr>
            <w:tcW w:w="0" w:type="auto"/>
          </w:tcPr>
          <w:p w14:paraId="6A6693AB" w14:textId="57F61C35" w:rsidR="00D41151" w:rsidRPr="0068192A"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-2</w:t>
            </w:r>
            <w:r w:rsidR="0068192A" w:rsidRPr="0068192A">
              <w:rPr>
                <w:rFonts w:ascii="Times New Roman" w:eastAsia="Times New Roman" w:hAnsi="Times New Roman"/>
                <w:noProof w:val="0"/>
                <w:color w:val="auto"/>
                <w:kern w:val="2"/>
                <w:sz w:val="22"/>
                <w:szCs w:val="22"/>
                <w:lang w:val="en-GB" w:eastAsia="en-US"/>
              </w:rPr>
              <w:t>1.98</w:t>
            </w:r>
          </w:p>
        </w:tc>
        <w:tc>
          <w:tcPr>
            <w:tcW w:w="0" w:type="auto"/>
          </w:tcPr>
          <w:p w14:paraId="7C3BE54D" w14:textId="17C411F5" w:rsidR="00D41151" w:rsidRPr="0068192A"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w:t>
            </w:r>
            <w:r w:rsidR="004560F5" w:rsidRPr="0068192A">
              <w:rPr>
                <w:rFonts w:ascii="Times New Roman" w:eastAsia="Times New Roman" w:hAnsi="Times New Roman"/>
                <w:noProof w:val="0"/>
                <w:color w:val="auto"/>
                <w:kern w:val="2"/>
                <w:sz w:val="22"/>
                <w:szCs w:val="22"/>
                <w:lang w:val="en-GB" w:eastAsia="en-US"/>
              </w:rPr>
              <w:t>12.6</w:t>
            </w:r>
            <w:r w:rsidR="0068192A" w:rsidRPr="0068192A">
              <w:rPr>
                <w:rFonts w:ascii="Times New Roman" w:eastAsia="Times New Roman" w:hAnsi="Times New Roman"/>
                <w:noProof w:val="0"/>
                <w:color w:val="auto"/>
                <w:kern w:val="2"/>
                <w:sz w:val="22"/>
                <w:szCs w:val="22"/>
                <w:lang w:val="en-GB" w:eastAsia="en-US"/>
              </w:rPr>
              <w:t>3</w:t>
            </w:r>
          </w:p>
        </w:tc>
        <w:tc>
          <w:tcPr>
            <w:tcW w:w="0" w:type="auto"/>
          </w:tcPr>
          <w:p w14:paraId="20D8C78A" w14:textId="243D2789" w:rsidR="00D41151" w:rsidRPr="0068192A"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-12.</w:t>
            </w:r>
            <w:r w:rsidR="0011750B" w:rsidRPr="0068192A">
              <w:rPr>
                <w:rFonts w:ascii="Times New Roman" w:eastAsia="Times New Roman" w:hAnsi="Times New Roman"/>
                <w:noProof w:val="0"/>
                <w:color w:val="auto"/>
                <w:kern w:val="2"/>
                <w:sz w:val="22"/>
                <w:szCs w:val="22"/>
                <w:lang w:val="en-GB" w:eastAsia="en-US"/>
              </w:rPr>
              <w:t>8</w:t>
            </w:r>
            <w:r w:rsidR="0068192A" w:rsidRPr="0068192A">
              <w:rPr>
                <w:rFonts w:ascii="Times New Roman" w:eastAsia="Times New Roman" w:hAnsi="Times New Roman"/>
                <w:noProof w:val="0"/>
                <w:color w:val="auto"/>
                <w:kern w:val="2"/>
                <w:sz w:val="22"/>
                <w:szCs w:val="22"/>
                <w:lang w:val="en-GB" w:eastAsia="en-US"/>
              </w:rPr>
              <w:t>0</w:t>
            </w:r>
          </w:p>
        </w:tc>
      </w:tr>
      <w:tr w:rsidR="00D41151" w:rsidRPr="00D41151" w14:paraId="18340780" w14:textId="77777777" w:rsidTr="004560F5">
        <w:trPr>
          <w:jc w:val="center"/>
        </w:trPr>
        <w:tc>
          <w:tcPr>
            <w:tcW w:w="0" w:type="auto"/>
          </w:tcPr>
          <w:p w14:paraId="67D2B920" w14:textId="77777777" w:rsidR="00D41151" w:rsidRPr="004560F5"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4560F5">
              <w:rPr>
                <w:rFonts w:ascii="Times New Roman" w:eastAsia="Times New Roman" w:hAnsi="Times New Roman"/>
                <w:noProof w:val="0"/>
                <w:color w:val="auto"/>
                <w:kern w:val="2"/>
                <w:sz w:val="22"/>
                <w:szCs w:val="22"/>
                <w:lang w:val="en-GB" w:eastAsia="en-US"/>
              </w:rPr>
              <w:t>IDC</w:t>
            </w:r>
          </w:p>
        </w:tc>
        <w:tc>
          <w:tcPr>
            <w:tcW w:w="0" w:type="auto"/>
          </w:tcPr>
          <w:p w14:paraId="1A14DF69" w14:textId="77777777" w:rsidR="00D41151" w:rsidRPr="0068192A"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w:t>
            </w:r>
          </w:p>
        </w:tc>
        <w:tc>
          <w:tcPr>
            <w:tcW w:w="0" w:type="auto"/>
          </w:tcPr>
          <w:p w14:paraId="2DCB905E" w14:textId="3FA7E6CC" w:rsidR="00D41151" w:rsidRPr="0068192A" w:rsidRDefault="004560F5"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w:t>
            </w:r>
            <w:r w:rsidR="0011750B" w:rsidRPr="0068192A">
              <w:rPr>
                <w:rFonts w:ascii="Times New Roman" w:eastAsia="Times New Roman" w:hAnsi="Times New Roman"/>
                <w:noProof w:val="0"/>
                <w:color w:val="auto"/>
                <w:kern w:val="2"/>
                <w:sz w:val="22"/>
                <w:szCs w:val="22"/>
                <w:lang w:val="en-GB" w:eastAsia="en-US"/>
              </w:rPr>
              <w:t>6.</w:t>
            </w:r>
            <w:r w:rsidR="0068192A" w:rsidRPr="0068192A">
              <w:rPr>
                <w:rFonts w:ascii="Times New Roman" w:eastAsia="Times New Roman" w:hAnsi="Times New Roman"/>
                <w:noProof w:val="0"/>
                <w:color w:val="auto"/>
                <w:kern w:val="2"/>
                <w:sz w:val="22"/>
                <w:szCs w:val="22"/>
                <w:lang w:val="en-GB" w:eastAsia="en-US"/>
              </w:rPr>
              <w:t>28</w:t>
            </w:r>
          </w:p>
        </w:tc>
        <w:tc>
          <w:tcPr>
            <w:tcW w:w="0" w:type="auto"/>
          </w:tcPr>
          <w:p w14:paraId="756E3C17" w14:textId="2CB0C999" w:rsidR="00D41151" w:rsidRPr="0068192A"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-9.</w:t>
            </w:r>
            <w:r w:rsidR="0011750B" w:rsidRPr="0068192A">
              <w:rPr>
                <w:rFonts w:ascii="Times New Roman" w:eastAsia="Times New Roman" w:hAnsi="Times New Roman"/>
                <w:noProof w:val="0"/>
                <w:color w:val="auto"/>
                <w:kern w:val="2"/>
                <w:sz w:val="22"/>
                <w:szCs w:val="22"/>
                <w:lang w:val="en-GB" w:eastAsia="en-US"/>
              </w:rPr>
              <w:t>5</w:t>
            </w:r>
            <w:r w:rsidR="0068192A" w:rsidRPr="0068192A">
              <w:rPr>
                <w:rFonts w:ascii="Times New Roman" w:eastAsia="Times New Roman" w:hAnsi="Times New Roman"/>
                <w:noProof w:val="0"/>
                <w:color w:val="auto"/>
                <w:kern w:val="2"/>
                <w:sz w:val="22"/>
                <w:szCs w:val="22"/>
                <w:lang w:val="en-GB" w:eastAsia="en-US"/>
              </w:rPr>
              <w:t>4</w:t>
            </w:r>
          </w:p>
        </w:tc>
      </w:tr>
      <w:tr w:rsidR="00D41151" w:rsidRPr="00D41151" w14:paraId="71E2F5CE" w14:textId="77777777" w:rsidTr="004560F5">
        <w:trPr>
          <w:jc w:val="center"/>
        </w:trPr>
        <w:tc>
          <w:tcPr>
            <w:tcW w:w="0" w:type="auto"/>
          </w:tcPr>
          <w:p w14:paraId="1F107EA9" w14:textId="77777777" w:rsidR="00D41151" w:rsidRPr="004560F5"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4560F5">
              <w:rPr>
                <w:rFonts w:ascii="Times New Roman" w:eastAsia="Times New Roman" w:hAnsi="Times New Roman"/>
                <w:noProof w:val="0"/>
                <w:color w:val="auto"/>
                <w:kern w:val="2"/>
                <w:sz w:val="22"/>
                <w:szCs w:val="22"/>
                <w:lang w:val="en-GB" w:eastAsia="en-US"/>
              </w:rPr>
              <w:t>Upward Capacity</w:t>
            </w:r>
          </w:p>
        </w:tc>
        <w:tc>
          <w:tcPr>
            <w:tcW w:w="0" w:type="auto"/>
          </w:tcPr>
          <w:p w14:paraId="56D7E5F8" w14:textId="7F524F1A" w:rsidR="00D41151" w:rsidRPr="0068192A"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3.9</w:t>
            </w:r>
            <w:r w:rsidR="0068192A" w:rsidRPr="0068192A">
              <w:rPr>
                <w:rFonts w:ascii="Times New Roman" w:eastAsia="Times New Roman" w:hAnsi="Times New Roman"/>
                <w:noProof w:val="0"/>
                <w:color w:val="auto"/>
                <w:kern w:val="2"/>
                <w:sz w:val="22"/>
                <w:szCs w:val="22"/>
                <w:lang w:val="en-GB" w:eastAsia="en-US"/>
              </w:rPr>
              <w:t>3</w:t>
            </w:r>
          </w:p>
        </w:tc>
        <w:tc>
          <w:tcPr>
            <w:tcW w:w="0" w:type="auto"/>
          </w:tcPr>
          <w:p w14:paraId="339E4D5C" w14:textId="505E942B" w:rsidR="00D41151" w:rsidRPr="0068192A"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3.9</w:t>
            </w:r>
            <w:r w:rsidR="0068192A" w:rsidRPr="0068192A">
              <w:rPr>
                <w:rFonts w:ascii="Times New Roman" w:eastAsia="Times New Roman" w:hAnsi="Times New Roman"/>
                <w:noProof w:val="0"/>
                <w:color w:val="auto"/>
                <w:kern w:val="2"/>
                <w:sz w:val="22"/>
                <w:szCs w:val="22"/>
                <w:lang w:val="en-GB" w:eastAsia="en-US"/>
              </w:rPr>
              <w:t>4</w:t>
            </w:r>
          </w:p>
        </w:tc>
        <w:tc>
          <w:tcPr>
            <w:tcW w:w="0" w:type="auto"/>
          </w:tcPr>
          <w:p w14:paraId="5B0A9C56" w14:textId="568617AD" w:rsidR="00D41151" w:rsidRPr="0068192A"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6.3</w:t>
            </w:r>
            <w:r w:rsidR="0068192A" w:rsidRPr="0068192A">
              <w:rPr>
                <w:rFonts w:ascii="Times New Roman" w:eastAsia="Times New Roman" w:hAnsi="Times New Roman"/>
                <w:noProof w:val="0"/>
                <w:color w:val="auto"/>
                <w:kern w:val="2"/>
                <w:sz w:val="22"/>
                <w:szCs w:val="22"/>
                <w:lang w:val="en-GB" w:eastAsia="en-US"/>
              </w:rPr>
              <w:t>8</w:t>
            </w:r>
          </w:p>
        </w:tc>
      </w:tr>
      <w:tr w:rsidR="00D41151" w:rsidRPr="00D41151" w14:paraId="4FDF3AB2" w14:textId="77777777" w:rsidTr="004560F5">
        <w:trPr>
          <w:jc w:val="center"/>
        </w:trPr>
        <w:tc>
          <w:tcPr>
            <w:tcW w:w="0" w:type="auto"/>
          </w:tcPr>
          <w:p w14:paraId="2AFCE4D6" w14:textId="77777777" w:rsidR="00D41151" w:rsidRPr="004560F5"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4560F5">
              <w:rPr>
                <w:rFonts w:ascii="Times New Roman" w:eastAsia="Times New Roman" w:hAnsi="Times New Roman"/>
                <w:noProof w:val="0"/>
                <w:color w:val="auto"/>
                <w:kern w:val="2"/>
                <w:sz w:val="22"/>
                <w:szCs w:val="22"/>
                <w:lang w:val="en-GB" w:eastAsia="en-US"/>
              </w:rPr>
              <w:t>Downward Capacity</w:t>
            </w:r>
          </w:p>
        </w:tc>
        <w:tc>
          <w:tcPr>
            <w:tcW w:w="0" w:type="auto"/>
          </w:tcPr>
          <w:p w14:paraId="42E3A91A" w14:textId="77777777" w:rsidR="00D41151" w:rsidRPr="0068192A"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1.96</w:t>
            </w:r>
          </w:p>
        </w:tc>
        <w:tc>
          <w:tcPr>
            <w:tcW w:w="0" w:type="auto"/>
          </w:tcPr>
          <w:p w14:paraId="32DB2F9A" w14:textId="27085C35" w:rsidR="00D41151" w:rsidRPr="0068192A"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1.9</w:t>
            </w:r>
            <w:r w:rsidR="0068192A" w:rsidRPr="0068192A">
              <w:rPr>
                <w:rFonts w:ascii="Times New Roman" w:eastAsia="Times New Roman" w:hAnsi="Times New Roman"/>
                <w:noProof w:val="0"/>
                <w:color w:val="auto"/>
                <w:kern w:val="2"/>
                <w:sz w:val="22"/>
                <w:szCs w:val="22"/>
                <w:lang w:val="en-GB" w:eastAsia="en-US"/>
              </w:rPr>
              <w:t>7</w:t>
            </w:r>
          </w:p>
        </w:tc>
        <w:tc>
          <w:tcPr>
            <w:tcW w:w="0" w:type="auto"/>
          </w:tcPr>
          <w:p w14:paraId="1DBDE2AA" w14:textId="50436ED5" w:rsidR="00D41151" w:rsidRPr="0068192A"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3.1</w:t>
            </w:r>
            <w:r w:rsidR="0011750B" w:rsidRPr="0068192A">
              <w:rPr>
                <w:rFonts w:ascii="Times New Roman" w:eastAsia="Times New Roman" w:hAnsi="Times New Roman"/>
                <w:noProof w:val="0"/>
                <w:color w:val="auto"/>
                <w:kern w:val="2"/>
                <w:sz w:val="22"/>
                <w:szCs w:val="22"/>
                <w:lang w:val="en-GB" w:eastAsia="en-US"/>
              </w:rPr>
              <w:t>9</w:t>
            </w:r>
          </w:p>
        </w:tc>
      </w:tr>
      <w:tr w:rsidR="00D41151" w:rsidRPr="00D41151" w14:paraId="502CEC6F" w14:textId="77777777" w:rsidTr="004560F5">
        <w:trPr>
          <w:jc w:val="center"/>
        </w:trPr>
        <w:tc>
          <w:tcPr>
            <w:tcW w:w="0" w:type="auto"/>
          </w:tcPr>
          <w:p w14:paraId="41DBADC8" w14:textId="4E3C5CA0" w:rsidR="00D41151" w:rsidRPr="004560F5" w:rsidRDefault="00A95EC3" w:rsidP="00D41151">
            <w:pPr>
              <w:spacing w:line="240" w:lineRule="auto"/>
              <w:jc w:val="center"/>
              <w:rPr>
                <w:rFonts w:ascii="Times New Roman" w:eastAsia="Times New Roman" w:hAnsi="Times New Roman"/>
                <w:noProof w:val="0"/>
                <w:color w:val="auto"/>
                <w:kern w:val="2"/>
                <w:sz w:val="22"/>
                <w:szCs w:val="22"/>
                <w:lang w:val="en-GB" w:eastAsia="en-US"/>
              </w:rPr>
            </w:pPr>
            <w:r>
              <w:rPr>
                <w:rFonts w:ascii="Times New Roman" w:eastAsia="Times New Roman" w:hAnsi="Times New Roman"/>
                <w:noProof w:val="0"/>
                <w:color w:val="auto"/>
                <w:kern w:val="2"/>
                <w:sz w:val="22"/>
                <w:szCs w:val="22"/>
                <w:lang w:val="en-GB" w:eastAsia="en-US"/>
              </w:rPr>
              <w:t>Upward</w:t>
            </w:r>
            <w:r w:rsidR="004560F5">
              <w:rPr>
                <w:rFonts w:ascii="Times New Roman" w:eastAsia="Times New Roman" w:hAnsi="Times New Roman"/>
                <w:noProof w:val="0"/>
                <w:color w:val="auto"/>
                <w:kern w:val="2"/>
                <w:sz w:val="22"/>
                <w:szCs w:val="22"/>
                <w:lang w:val="en-GB" w:eastAsia="en-US"/>
              </w:rPr>
              <w:t xml:space="preserve"> </w:t>
            </w:r>
            <w:r w:rsidR="00D41151" w:rsidRPr="004560F5">
              <w:rPr>
                <w:rFonts w:ascii="Times New Roman" w:eastAsia="Times New Roman" w:hAnsi="Times New Roman"/>
                <w:noProof w:val="0"/>
                <w:color w:val="auto"/>
                <w:kern w:val="2"/>
                <w:sz w:val="22"/>
                <w:szCs w:val="22"/>
                <w:lang w:val="en-GB" w:eastAsia="en-US"/>
              </w:rPr>
              <w:t>Balancing Energy</w:t>
            </w:r>
          </w:p>
        </w:tc>
        <w:tc>
          <w:tcPr>
            <w:tcW w:w="0" w:type="auto"/>
          </w:tcPr>
          <w:p w14:paraId="23A6B9CF" w14:textId="58ABFE1D" w:rsidR="00D41151" w:rsidRPr="0068192A"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1.</w:t>
            </w:r>
            <w:r w:rsidR="0068192A" w:rsidRPr="0068192A">
              <w:rPr>
                <w:rFonts w:ascii="Times New Roman" w:eastAsia="Times New Roman" w:hAnsi="Times New Roman"/>
                <w:noProof w:val="0"/>
                <w:color w:val="auto"/>
                <w:kern w:val="2"/>
                <w:sz w:val="22"/>
                <w:szCs w:val="22"/>
                <w:lang w:val="en-GB" w:eastAsia="en-US"/>
              </w:rPr>
              <w:t>90</w:t>
            </w:r>
          </w:p>
        </w:tc>
        <w:tc>
          <w:tcPr>
            <w:tcW w:w="0" w:type="auto"/>
          </w:tcPr>
          <w:p w14:paraId="4E33001B" w14:textId="788DBB51" w:rsidR="00D41151" w:rsidRPr="0068192A" w:rsidRDefault="0011750B"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2.5</w:t>
            </w:r>
            <w:r w:rsidR="0068192A" w:rsidRPr="0068192A">
              <w:rPr>
                <w:rFonts w:ascii="Times New Roman" w:eastAsia="Times New Roman" w:hAnsi="Times New Roman"/>
                <w:noProof w:val="0"/>
                <w:color w:val="auto"/>
                <w:kern w:val="2"/>
                <w:sz w:val="22"/>
                <w:szCs w:val="22"/>
                <w:lang w:val="en-GB" w:eastAsia="en-US"/>
              </w:rPr>
              <w:t>1</w:t>
            </w:r>
          </w:p>
        </w:tc>
        <w:tc>
          <w:tcPr>
            <w:tcW w:w="0" w:type="auto"/>
          </w:tcPr>
          <w:p w14:paraId="1597F7B5" w14:textId="522EBFBC" w:rsidR="00D41151" w:rsidRPr="0068192A" w:rsidRDefault="0011750B"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4.6</w:t>
            </w:r>
            <w:r w:rsidR="0068192A" w:rsidRPr="0068192A">
              <w:rPr>
                <w:rFonts w:ascii="Times New Roman" w:eastAsia="Times New Roman" w:hAnsi="Times New Roman"/>
                <w:noProof w:val="0"/>
                <w:color w:val="auto"/>
                <w:kern w:val="2"/>
                <w:sz w:val="22"/>
                <w:szCs w:val="22"/>
                <w:lang w:val="en-GB" w:eastAsia="en-US"/>
              </w:rPr>
              <w:t>5</w:t>
            </w:r>
          </w:p>
        </w:tc>
      </w:tr>
      <w:tr w:rsidR="004560F5" w:rsidRPr="00D41151" w14:paraId="684A9895" w14:textId="77777777" w:rsidTr="004560F5">
        <w:trPr>
          <w:jc w:val="center"/>
        </w:trPr>
        <w:tc>
          <w:tcPr>
            <w:tcW w:w="0" w:type="auto"/>
          </w:tcPr>
          <w:p w14:paraId="67C09132" w14:textId="3B75DD68" w:rsidR="004560F5" w:rsidRPr="004560F5" w:rsidRDefault="00A95EC3" w:rsidP="00D41151">
            <w:pPr>
              <w:spacing w:line="240" w:lineRule="auto"/>
              <w:jc w:val="center"/>
              <w:rPr>
                <w:rFonts w:ascii="Times New Roman" w:eastAsia="Times New Roman" w:hAnsi="Times New Roman"/>
                <w:noProof w:val="0"/>
                <w:color w:val="auto"/>
                <w:kern w:val="2"/>
                <w:sz w:val="22"/>
                <w:szCs w:val="22"/>
                <w:lang w:val="en-GB" w:eastAsia="en-US"/>
              </w:rPr>
            </w:pPr>
            <w:r>
              <w:rPr>
                <w:rFonts w:ascii="Times New Roman" w:eastAsia="Times New Roman" w:hAnsi="Times New Roman"/>
                <w:noProof w:val="0"/>
                <w:color w:val="auto"/>
                <w:kern w:val="2"/>
                <w:sz w:val="22"/>
                <w:szCs w:val="22"/>
                <w:lang w:val="en-GB" w:eastAsia="en-US"/>
              </w:rPr>
              <w:t>Downward</w:t>
            </w:r>
            <w:r w:rsidR="004560F5">
              <w:rPr>
                <w:rFonts w:ascii="Times New Roman" w:eastAsia="Times New Roman" w:hAnsi="Times New Roman"/>
                <w:noProof w:val="0"/>
                <w:color w:val="auto"/>
                <w:kern w:val="2"/>
                <w:sz w:val="22"/>
                <w:szCs w:val="22"/>
                <w:lang w:val="en-GB" w:eastAsia="en-US"/>
              </w:rPr>
              <w:t xml:space="preserve"> Balancing Energy</w:t>
            </w:r>
          </w:p>
        </w:tc>
        <w:tc>
          <w:tcPr>
            <w:tcW w:w="0" w:type="auto"/>
          </w:tcPr>
          <w:p w14:paraId="618F096C" w14:textId="1CB525C0" w:rsidR="004560F5" w:rsidRPr="0068192A" w:rsidRDefault="004560F5"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-0.0</w:t>
            </w:r>
            <w:r w:rsidR="0068192A" w:rsidRPr="0068192A">
              <w:rPr>
                <w:rFonts w:ascii="Times New Roman" w:eastAsia="Times New Roman" w:hAnsi="Times New Roman"/>
                <w:noProof w:val="0"/>
                <w:color w:val="auto"/>
                <w:kern w:val="2"/>
                <w:sz w:val="22"/>
                <w:szCs w:val="22"/>
                <w:lang w:val="en-GB" w:eastAsia="en-US"/>
              </w:rPr>
              <w:t>4</w:t>
            </w:r>
          </w:p>
        </w:tc>
        <w:tc>
          <w:tcPr>
            <w:tcW w:w="0" w:type="auto"/>
          </w:tcPr>
          <w:p w14:paraId="47696168" w14:textId="61864B31" w:rsidR="004560F5" w:rsidRPr="0068192A" w:rsidRDefault="0011750B"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-0.04</w:t>
            </w:r>
          </w:p>
        </w:tc>
        <w:tc>
          <w:tcPr>
            <w:tcW w:w="0" w:type="auto"/>
          </w:tcPr>
          <w:p w14:paraId="30CA9F36" w14:textId="1E3D4B3B" w:rsidR="004560F5" w:rsidRPr="0068192A" w:rsidRDefault="0011750B"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-0.5</w:t>
            </w:r>
            <w:r w:rsidR="0068192A" w:rsidRPr="0068192A">
              <w:rPr>
                <w:rFonts w:ascii="Times New Roman" w:eastAsia="Times New Roman" w:hAnsi="Times New Roman"/>
                <w:noProof w:val="0"/>
                <w:color w:val="auto"/>
                <w:kern w:val="2"/>
                <w:sz w:val="22"/>
                <w:szCs w:val="22"/>
                <w:lang w:val="en-GB" w:eastAsia="en-US"/>
              </w:rPr>
              <w:t>8</w:t>
            </w:r>
          </w:p>
        </w:tc>
      </w:tr>
      <w:tr w:rsidR="00D41151" w:rsidRPr="00D41151" w14:paraId="27BC7831" w14:textId="77777777" w:rsidTr="004560F5">
        <w:trPr>
          <w:jc w:val="center"/>
        </w:trPr>
        <w:tc>
          <w:tcPr>
            <w:tcW w:w="0" w:type="auto"/>
          </w:tcPr>
          <w:p w14:paraId="6677371D" w14:textId="77777777" w:rsidR="00D41151" w:rsidRPr="004560F5"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4560F5">
              <w:rPr>
                <w:rFonts w:ascii="Times New Roman" w:eastAsia="Times New Roman" w:hAnsi="Times New Roman"/>
                <w:noProof w:val="0"/>
                <w:color w:val="auto"/>
                <w:kern w:val="2"/>
                <w:sz w:val="22"/>
                <w:szCs w:val="22"/>
                <w:lang w:val="en-GB" w:eastAsia="en-US"/>
              </w:rPr>
              <w:t>Positive Imbalances Cost</w:t>
            </w:r>
          </w:p>
        </w:tc>
        <w:tc>
          <w:tcPr>
            <w:tcW w:w="0" w:type="auto"/>
          </w:tcPr>
          <w:p w14:paraId="068A36BE" w14:textId="24C387A9" w:rsidR="00D41151" w:rsidRPr="0068192A"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3.</w:t>
            </w:r>
            <w:r w:rsidR="004560F5" w:rsidRPr="0068192A">
              <w:rPr>
                <w:rFonts w:ascii="Times New Roman" w:eastAsia="Times New Roman" w:hAnsi="Times New Roman"/>
                <w:noProof w:val="0"/>
                <w:color w:val="auto"/>
                <w:kern w:val="2"/>
                <w:sz w:val="22"/>
                <w:szCs w:val="22"/>
                <w:lang w:val="en-GB" w:eastAsia="en-US"/>
              </w:rPr>
              <w:t>17</w:t>
            </w:r>
          </w:p>
        </w:tc>
        <w:tc>
          <w:tcPr>
            <w:tcW w:w="0" w:type="auto"/>
          </w:tcPr>
          <w:p w14:paraId="7F62DD61" w14:textId="7061959D" w:rsidR="00D41151" w:rsidRPr="0068192A" w:rsidRDefault="0011750B"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0.44</w:t>
            </w:r>
          </w:p>
        </w:tc>
        <w:tc>
          <w:tcPr>
            <w:tcW w:w="0" w:type="auto"/>
          </w:tcPr>
          <w:p w14:paraId="0ED3C196" w14:textId="2A3112F0" w:rsidR="00D41151" w:rsidRPr="0068192A" w:rsidRDefault="0011750B"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0.83</w:t>
            </w:r>
          </w:p>
        </w:tc>
      </w:tr>
      <w:tr w:rsidR="00D41151" w:rsidRPr="00D41151" w14:paraId="4C9CE351" w14:textId="77777777" w:rsidTr="004560F5">
        <w:trPr>
          <w:jc w:val="center"/>
        </w:trPr>
        <w:tc>
          <w:tcPr>
            <w:tcW w:w="0" w:type="auto"/>
            <w:tcBorders>
              <w:bottom w:val="double" w:sz="4" w:space="0" w:color="auto"/>
            </w:tcBorders>
          </w:tcPr>
          <w:p w14:paraId="045BA8C0" w14:textId="77777777" w:rsidR="00D41151" w:rsidRPr="004560F5"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4560F5">
              <w:rPr>
                <w:rFonts w:ascii="Times New Roman" w:eastAsia="Times New Roman" w:hAnsi="Times New Roman"/>
                <w:noProof w:val="0"/>
                <w:color w:val="auto"/>
                <w:kern w:val="2"/>
                <w:sz w:val="22"/>
                <w:szCs w:val="22"/>
                <w:lang w:val="en-GB" w:eastAsia="en-US"/>
              </w:rPr>
              <w:t>Negative Imbalances Cost</w:t>
            </w:r>
          </w:p>
        </w:tc>
        <w:tc>
          <w:tcPr>
            <w:tcW w:w="0" w:type="auto"/>
            <w:tcBorders>
              <w:bottom w:val="double" w:sz="4" w:space="0" w:color="auto"/>
            </w:tcBorders>
          </w:tcPr>
          <w:p w14:paraId="4B658306" w14:textId="37F60826" w:rsidR="00D41151" w:rsidRPr="0068192A"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w:t>
            </w:r>
            <w:r w:rsidR="004560F5" w:rsidRPr="0068192A">
              <w:rPr>
                <w:rFonts w:ascii="Times New Roman" w:eastAsia="Times New Roman" w:hAnsi="Times New Roman"/>
                <w:noProof w:val="0"/>
                <w:color w:val="auto"/>
                <w:kern w:val="2"/>
                <w:sz w:val="22"/>
                <w:szCs w:val="22"/>
                <w:lang w:val="en-GB" w:eastAsia="en-US"/>
              </w:rPr>
              <w:t>5.96</w:t>
            </w:r>
          </w:p>
        </w:tc>
        <w:tc>
          <w:tcPr>
            <w:tcW w:w="0" w:type="auto"/>
            <w:tcBorders>
              <w:bottom w:val="double" w:sz="4" w:space="0" w:color="auto"/>
            </w:tcBorders>
          </w:tcPr>
          <w:p w14:paraId="10605CA4" w14:textId="626BFEB2" w:rsidR="00D41151" w:rsidRPr="0068192A"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-0.</w:t>
            </w:r>
            <w:r w:rsidR="0011750B" w:rsidRPr="0068192A">
              <w:rPr>
                <w:rFonts w:ascii="Times New Roman" w:eastAsia="Times New Roman" w:hAnsi="Times New Roman"/>
                <w:noProof w:val="0"/>
                <w:color w:val="auto"/>
                <w:kern w:val="2"/>
                <w:sz w:val="22"/>
                <w:szCs w:val="22"/>
                <w:lang w:val="en-GB" w:eastAsia="en-US"/>
              </w:rPr>
              <w:t>88</w:t>
            </w:r>
          </w:p>
        </w:tc>
        <w:tc>
          <w:tcPr>
            <w:tcW w:w="0" w:type="auto"/>
            <w:tcBorders>
              <w:bottom w:val="double" w:sz="4" w:space="0" w:color="auto"/>
            </w:tcBorders>
          </w:tcPr>
          <w:p w14:paraId="5BCEC2CA" w14:textId="3BCAF311" w:rsidR="00D41151" w:rsidRPr="0068192A" w:rsidRDefault="00D41151" w:rsidP="00D41151">
            <w:pPr>
              <w:spacing w:line="240" w:lineRule="auto"/>
              <w:jc w:val="center"/>
              <w:rPr>
                <w:rFonts w:ascii="Times New Roman" w:eastAsia="Times New Roman" w:hAnsi="Times New Roman"/>
                <w:noProof w:val="0"/>
                <w:color w:val="auto"/>
                <w:kern w:val="2"/>
                <w:sz w:val="22"/>
                <w:szCs w:val="22"/>
                <w:lang w:val="en-GB" w:eastAsia="en-US"/>
              </w:rPr>
            </w:pPr>
            <w:r w:rsidRPr="0068192A">
              <w:rPr>
                <w:rFonts w:ascii="Times New Roman" w:eastAsia="Times New Roman" w:hAnsi="Times New Roman"/>
                <w:noProof w:val="0"/>
                <w:color w:val="auto"/>
                <w:kern w:val="2"/>
                <w:sz w:val="22"/>
                <w:szCs w:val="22"/>
                <w:lang w:val="en-GB" w:eastAsia="en-US"/>
              </w:rPr>
              <w:t>-0.</w:t>
            </w:r>
            <w:r w:rsidR="0011750B" w:rsidRPr="0068192A">
              <w:rPr>
                <w:rFonts w:ascii="Times New Roman" w:eastAsia="Times New Roman" w:hAnsi="Times New Roman"/>
                <w:noProof w:val="0"/>
                <w:color w:val="auto"/>
                <w:kern w:val="2"/>
                <w:sz w:val="22"/>
                <w:szCs w:val="22"/>
                <w:lang w:val="en-GB" w:eastAsia="en-US"/>
              </w:rPr>
              <w:t>89</w:t>
            </w:r>
          </w:p>
        </w:tc>
      </w:tr>
    </w:tbl>
    <w:p w14:paraId="05952091" w14:textId="2A2F4E55" w:rsidR="006166BB" w:rsidRDefault="006166BB" w:rsidP="00AD3D0F">
      <w:pPr>
        <w:pStyle w:val="MDPI31text"/>
        <w:rPr>
          <w:color w:val="auto"/>
          <w:lang w:val="en-GB"/>
        </w:rPr>
      </w:pPr>
    </w:p>
    <w:p w14:paraId="73DCC9A6" w14:textId="2B343FEF" w:rsidR="00B320ED" w:rsidRPr="00F0172F" w:rsidRDefault="005D51A1" w:rsidP="00AD3D0F">
      <w:pPr>
        <w:pStyle w:val="MDPI31text"/>
        <w:rPr>
          <w:color w:val="auto"/>
          <w:lang w:val="en-GB"/>
        </w:rPr>
      </w:pPr>
      <w:r>
        <w:rPr>
          <w:lang w:val="en-GB"/>
        </w:rPr>
        <w:fldChar w:fldCharType="begin"/>
      </w:r>
      <w:r>
        <w:rPr>
          <w:lang w:val="en-GB"/>
        </w:rPr>
        <w:instrText xml:space="preserve"> REF _Ref191376785 \h </w:instrText>
      </w:r>
      <w:r>
        <w:rPr>
          <w:lang w:val="en-GB"/>
        </w:rPr>
      </w:r>
      <w:r>
        <w:rPr>
          <w:lang w:val="en-GB"/>
        </w:rPr>
        <w:fldChar w:fldCharType="separate"/>
      </w:r>
      <w:r>
        <w:t xml:space="preserve">Table </w:t>
      </w:r>
      <w:r>
        <w:rPr>
          <w:noProof/>
        </w:rPr>
        <w:t>7</w:t>
      </w:r>
      <w:r>
        <w:rPr>
          <w:lang w:val="en-GB"/>
        </w:rPr>
        <w:fldChar w:fldCharType="end"/>
      </w:r>
      <w:r w:rsidR="00B320ED">
        <w:rPr>
          <w:color w:val="auto"/>
          <w:lang w:val="en-GB"/>
        </w:rPr>
        <w:t xml:space="preserve"> support previous conclusions. While strategy S3 increases the WPP revenues because of a more significant participation in the SR capacity market, the S2 has lower imbalance costs. </w:t>
      </w:r>
      <w:r w:rsidR="00B320ED" w:rsidRPr="00692C2C">
        <w:rPr>
          <w:color w:val="auto"/>
          <w:highlight w:val="yellow"/>
          <w:lang w:val="en-GB"/>
        </w:rPr>
        <w:t xml:space="preserve">In S2 the WPP pays more negative imbalance costs, </w:t>
      </w:r>
      <w:r w:rsidR="00B320ED" w:rsidRPr="00B2682A">
        <w:rPr>
          <w:color w:val="auto"/>
          <w:lang w:val="en-GB"/>
        </w:rPr>
        <w:t>while in S3 it has more downward balancing energy</w:t>
      </w:r>
      <w:r w:rsidR="00B320ED">
        <w:rPr>
          <w:color w:val="auto"/>
          <w:lang w:val="en-GB"/>
        </w:rPr>
        <w:t>. So, S3 has more positive imbalances because its reserved capacity is more used for downward regulation.</w:t>
      </w:r>
    </w:p>
    <w:p w14:paraId="222698C6" w14:textId="744FA4F9" w:rsidR="00C9290D" w:rsidRDefault="00C9290D" w:rsidP="00862F10">
      <w:pPr>
        <w:pStyle w:val="MDPI21heading1"/>
        <w:numPr>
          <w:ilvl w:val="0"/>
          <w:numId w:val="7"/>
        </w:numPr>
        <w:ind w:left="2835" w:hanging="283"/>
        <w:rPr>
          <w:color w:val="auto"/>
        </w:rPr>
      </w:pPr>
      <w:r w:rsidRPr="00647E1F">
        <w:rPr>
          <w:color w:val="auto"/>
        </w:rPr>
        <w:t>Conclusions</w:t>
      </w:r>
    </w:p>
    <w:p w14:paraId="15A30E3D" w14:textId="1C64718B" w:rsidR="00B320ED" w:rsidRDefault="00B320ED" w:rsidP="00B320ED">
      <w:pPr>
        <w:pStyle w:val="MDPI31text"/>
      </w:pPr>
      <w:r>
        <w:t xml:space="preserve">Considering the European targets of increasing penetrations of variable renewables and decommission of fossil-fuel power plants is important to adapt market designs to the behavior of most of their participants (variable renewables). Indeed, security of supply and resilient power systems depend on the balance between demand and supply. Variable renewables shall be incentivized to participate in balancing markets, increasing their market value, decreasing their forced curtailments and the need of de-risking support schemes that contribute to price “cannibalization”, negative prices and market distortions. </w:t>
      </w:r>
    </w:p>
    <w:p w14:paraId="7A7DFE02" w14:textId="36E75528" w:rsidR="00B320ED" w:rsidRDefault="00B320ED" w:rsidP="00B320ED">
      <w:pPr>
        <w:pStyle w:val="MDPI31text"/>
      </w:pPr>
      <w:r>
        <w:t xml:space="preserve">This study presents three strategies based on strategic bidding to increase the market value of variable renewables, enabling their market uptake without support schemes. </w:t>
      </w:r>
      <w:r w:rsidRPr="00A95EC3">
        <w:t xml:space="preserve">Results from the study proved that by allowing the participation of a WPP in the Portuguese secondary balancing market, it can increase its market value by </w:t>
      </w:r>
      <w:r w:rsidR="0011750B" w:rsidRPr="00A95EC3">
        <w:t>10</w:t>
      </w:r>
      <w:r w:rsidRPr="00A95EC3">
        <w:t>% when compared with the optimal situation without participating in balancing markets.</w:t>
      </w:r>
      <w:r>
        <w:t xml:space="preserve"> Furthermore, if markets were designed to variable renewables, the WPP has the potential to increase its market value by </w:t>
      </w:r>
      <w:r w:rsidRPr="00692C2C">
        <w:rPr>
          <w:highlight w:val="yellow"/>
        </w:rPr>
        <w:t>84%</w:t>
      </w:r>
      <w:r>
        <w:t xml:space="preserve"> in the case of perfect foresight and participating in the SR. The outputs of this study highlight the need of adapting electricity market designs to the behavior of variable renewables, incentivizing new investments on them and their active participation in electricity markets without support schemes.</w:t>
      </w:r>
    </w:p>
    <w:p w14:paraId="2E78D6CD" w14:textId="00055049" w:rsidR="00B320ED" w:rsidRDefault="00B320ED" w:rsidP="00B320ED">
      <w:pPr>
        <w:pStyle w:val="MDPI31text"/>
      </w:pPr>
      <w:r>
        <w:t>Future work has the goal of testing the market outcomes of variable renewables considering new market designs and their strategic behavior on electricity markets.</w:t>
      </w:r>
    </w:p>
    <w:p w14:paraId="6F33C23B" w14:textId="2921F74A" w:rsidR="00D27B5E" w:rsidRPr="00F80C2B" w:rsidRDefault="00C9290D" w:rsidP="00A73E8E">
      <w:pPr>
        <w:pStyle w:val="MDPI62BackMatter"/>
        <w:spacing w:before="240"/>
        <w:rPr>
          <w:color w:val="auto"/>
          <w:highlight w:val="yellow"/>
        </w:rPr>
      </w:pPr>
      <w:r w:rsidRPr="00F80C2B">
        <w:rPr>
          <w:b/>
          <w:color w:val="auto"/>
          <w:highlight w:val="yellow"/>
        </w:rPr>
        <w:t>Supplementary Materials:</w:t>
      </w:r>
      <w:r w:rsidR="00490D16" w:rsidRPr="00F80C2B">
        <w:rPr>
          <w:b/>
          <w:color w:val="auto"/>
          <w:highlight w:val="yellow"/>
        </w:rPr>
        <w:t xml:space="preserve"> </w:t>
      </w:r>
      <w:r w:rsidR="005C0F64" w:rsidRPr="005C0F64">
        <w:rPr>
          <w:color w:val="auto"/>
          <w:highlight w:val="yellow"/>
        </w:rPr>
        <w:t>Python Software</w:t>
      </w:r>
    </w:p>
    <w:p w14:paraId="725C28B2" w14:textId="1034AD77" w:rsidR="00DB56C5" w:rsidRPr="005C0F64" w:rsidRDefault="00DB56C5" w:rsidP="00A73E8E">
      <w:pPr>
        <w:pStyle w:val="MDPI62BackMatter"/>
        <w:spacing w:before="240"/>
        <w:rPr>
          <w:color w:val="auto"/>
        </w:rPr>
      </w:pPr>
      <w:r w:rsidRPr="005C0F64">
        <w:rPr>
          <w:b/>
          <w:color w:val="auto"/>
        </w:rPr>
        <w:t>Author Contributions:</w:t>
      </w:r>
      <w:r w:rsidRPr="005C0F64">
        <w:rPr>
          <w:color w:val="auto"/>
        </w:rPr>
        <w:t xml:space="preserve"> Conceptualization, </w:t>
      </w:r>
      <w:r w:rsidR="00F80C2B" w:rsidRPr="005C0F64">
        <w:rPr>
          <w:color w:val="auto"/>
        </w:rPr>
        <w:t xml:space="preserve">V.S. and </w:t>
      </w:r>
      <w:r w:rsidR="003A3371" w:rsidRPr="005C0F64">
        <w:rPr>
          <w:color w:val="auto"/>
        </w:rPr>
        <w:t>H</w:t>
      </w:r>
      <w:r w:rsidRPr="005C0F64">
        <w:rPr>
          <w:color w:val="auto"/>
        </w:rPr>
        <w:t>.</w:t>
      </w:r>
      <w:r w:rsidR="003A3371" w:rsidRPr="005C0F64">
        <w:rPr>
          <w:color w:val="auto"/>
        </w:rPr>
        <w:t>A</w:t>
      </w:r>
      <w:r w:rsidRPr="005C0F64">
        <w:rPr>
          <w:color w:val="auto"/>
        </w:rPr>
        <w:t xml:space="preserve">.; methodology, </w:t>
      </w:r>
      <w:r w:rsidR="00F80C2B" w:rsidRPr="005C0F64">
        <w:rPr>
          <w:color w:val="auto"/>
        </w:rPr>
        <w:t>V.S. and H.A.</w:t>
      </w:r>
      <w:r w:rsidRPr="005C0F64">
        <w:rPr>
          <w:color w:val="auto"/>
        </w:rPr>
        <w:t xml:space="preserve">; software, </w:t>
      </w:r>
      <w:r w:rsidR="00F80C2B" w:rsidRPr="005C0F64">
        <w:rPr>
          <w:color w:val="auto"/>
        </w:rPr>
        <w:t>V.S.</w:t>
      </w:r>
      <w:r w:rsidRPr="005C0F64">
        <w:rPr>
          <w:color w:val="auto"/>
        </w:rPr>
        <w:t xml:space="preserve">; validation, </w:t>
      </w:r>
      <w:r w:rsidR="00F80C2B" w:rsidRPr="005C0F64">
        <w:rPr>
          <w:color w:val="auto"/>
        </w:rPr>
        <w:t>V.S. and H.A.</w:t>
      </w:r>
      <w:r w:rsidRPr="005C0F64">
        <w:rPr>
          <w:color w:val="auto"/>
        </w:rPr>
        <w:t>; formal analysis,</w:t>
      </w:r>
      <w:r w:rsidR="003A3371" w:rsidRPr="005C0F64">
        <w:rPr>
          <w:color w:val="auto"/>
        </w:rPr>
        <w:t xml:space="preserve"> </w:t>
      </w:r>
      <w:r w:rsidR="00F80C2B" w:rsidRPr="005C0F64">
        <w:rPr>
          <w:color w:val="auto"/>
        </w:rPr>
        <w:t>V.S. and H.A.</w:t>
      </w:r>
      <w:r w:rsidRPr="005C0F64">
        <w:rPr>
          <w:color w:val="auto"/>
        </w:rPr>
        <w:t xml:space="preserve">; investigation, </w:t>
      </w:r>
      <w:r w:rsidR="00F80C2B" w:rsidRPr="005C0F64">
        <w:rPr>
          <w:color w:val="auto"/>
        </w:rPr>
        <w:t>V.S. and H.A.</w:t>
      </w:r>
      <w:r w:rsidRPr="005C0F64">
        <w:rPr>
          <w:color w:val="auto"/>
        </w:rPr>
        <w:t xml:space="preserve">; resources, </w:t>
      </w:r>
      <w:r w:rsidR="00F80C2B" w:rsidRPr="005C0F64">
        <w:rPr>
          <w:color w:val="auto"/>
        </w:rPr>
        <w:t>V.S. and H.A.</w:t>
      </w:r>
      <w:r w:rsidRPr="005C0F64">
        <w:rPr>
          <w:color w:val="auto"/>
        </w:rPr>
        <w:t xml:space="preserve">; data curation, </w:t>
      </w:r>
      <w:r w:rsidR="00F80C2B" w:rsidRPr="005C0F64">
        <w:rPr>
          <w:color w:val="auto"/>
        </w:rPr>
        <w:t>V.S. and H.A.</w:t>
      </w:r>
      <w:r w:rsidRPr="005C0F64">
        <w:rPr>
          <w:color w:val="auto"/>
        </w:rPr>
        <w:t xml:space="preserve">; writing—original draft preparation, </w:t>
      </w:r>
      <w:r w:rsidR="00F80C2B" w:rsidRPr="005C0F64">
        <w:rPr>
          <w:color w:val="auto"/>
        </w:rPr>
        <w:t>V.S. and H.A.</w:t>
      </w:r>
      <w:r w:rsidRPr="005C0F64">
        <w:rPr>
          <w:color w:val="auto"/>
        </w:rPr>
        <w:t xml:space="preserve">; writing—review and editing, </w:t>
      </w:r>
      <w:r w:rsidR="00F80C2B" w:rsidRPr="005C0F64">
        <w:rPr>
          <w:color w:val="auto"/>
        </w:rPr>
        <w:t>V.S. and H.A.</w:t>
      </w:r>
      <w:r w:rsidRPr="005C0F64">
        <w:rPr>
          <w:color w:val="auto"/>
        </w:rPr>
        <w:t xml:space="preserve">; visualization, </w:t>
      </w:r>
      <w:r w:rsidR="00F80C2B" w:rsidRPr="005C0F64">
        <w:rPr>
          <w:color w:val="auto"/>
        </w:rPr>
        <w:t>V.S.</w:t>
      </w:r>
      <w:r w:rsidRPr="005C0F64">
        <w:rPr>
          <w:color w:val="auto"/>
        </w:rPr>
        <w:t xml:space="preserve">; supervision, </w:t>
      </w:r>
      <w:r w:rsidR="00F80C2B" w:rsidRPr="005C0F64">
        <w:rPr>
          <w:color w:val="auto"/>
        </w:rPr>
        <w:t>H.A.</w:t>
      </w:r>
      <w:r w:rsidRPr="005C0F64">
        <w:rPr>
          <w:color w:val="auto"/>
        </w:rPr>
        <w:t xml:space="preserve">; project administration, </w:t>
      </w:r>
      <w:r w:rsidR="00F80C2B" w:rsidRPr="005C0F64">
        <w:rPr>
          <w:color w:val="auto"/>
        </w:rPr>
        <w:t>H.A.</w:t>
      </w:r>
      <w:r w:rsidRPr="005C0F64">
        <w:rPr>
          <w:color w:val="auto"/>
        </w:rPr>
        <w:t xml:space="preserve">; funding acquisition, </w:t>
      </w:r>
      <w:r w:rsidR="00F80C2B" w:rsidRPr="005C0F64">
        <w:rPr>
          <w:color w:val="auto"/>
        </w:rPr>
        <w:t>H.A.</w:t>
      </w:r>
      <w:r w:rsidR="005C0F64" w:rsidRPr="005C0F64">
        <w:rPr>
          <w:color w:val="auto"/>
        </w:rPr>
        <w:t xml:space="preserve"> </w:t>
      </w:r>
      <w:r w:rsidRPr="005C0F64">
        <w:rPr>
          <w:color w:val="auto"/>
        </w:rPr>
        <w:t>All authors have read and agreed to the published version of the manuscript</w:t>
      </w:r>
      <w:r w:rsidR="00447E10" w:rsidRPr="005C0F64">
        <w:rPr>
          <w:color w:val="auto"/>
        </w:rPr>
        <w:t>.</w:t>
      </w:r>
    </w:p>
    <w:p w14:paraId="7E0AF9C0" w14:textId="77777777" w:rsidR="00FD153E" w:rsidRPr="005C0F64" w:rsidRDefault="00FD153E" w:rsidP="00CB79B7">
      <w:pPr>
        <w:pStyle w:val="MDPI62BackMatter"/>
        <w:rPr>
          <w:color w:val="auto"/>
          <w:lang w:val="en-GB"/>
        </w:rPr>
      </w:pPr>
      <w:r w:rsidRPr="005C0F64">
        <w:rPr>
          <w:b/>
          <w:bCs/>
          <w:color w:val="auto"/>
          <w:lang w:val="en-GB"/>
        </w:rPr>
        <w:t>Funding:</w:t>
      </w:r>
      <w:r w:rsidRPr="005C0F64">
        <w:rPr>
          <w:color w:val="auto"/>
          <w:lang w:val="en-GB"/>
        </w:rPr>
        <w:t xml:space="preserve"> This work has received funding from the EU Horizon 2020 research and innovation program under project TradeRES (grant agreement No 864276).</w:t>
      </w:r>
    </w:p>
    <w:p w14:paraId="061C2647" w14:textId="603D05C5" w:rsidR="00FD153E" w:rsidRPr="00F80C2B" w:rsidRDefault="00FD153E" w:rsidP="00CB79B7">
      <w:pPr>
        <w:pStyle w:val="MDPI62BackMatter"/>
        <w:rPr>
          <w:color w:val="auto"/>
          <w:highlight w:val="yellow"/>
          <w:lang w:val="en-GB"/>
        </w:rPr>
      </w:pPr>
      <w:bookmarkStart w:id="16" w:name="_Hlk60054323"/>
      <w:r w:rsidRPr="00F80C2B">
        <w:rPr>
          <w:b/>
          <w:bCs/>
          <w:color w:val="auto"/>
          <w:highlight w:val="yellow"/>
          <w:lang w:val="en-GB"/>
        </w:rPr>
        <w:t>Data Availability Statement:</w:t>
      </w:r>
      <w:r w:rsidRPr="00F80C2B">
        <w:rPr>
          <w:color w:val="auto"/>
          <w:highlight w:val="yellow"/>
          <w:lang w:val="en-GB"/>
        </w:rPr>
        <w:t xml:space="preserve"> </w:t>
      </w:r>
      <w:r w:rsidR="005C0F64">
        <w:rPr>
          <w:color w:val="auto"/>
          <w:highlight w:val="yellow"/>
          <w:lang w:val="en-GB"/>
        </w:rPr>
        <w:t>REN DATA</w:t>
      </w:r>
    </w:p>
    <w:bookmarkEnd w:id="16"/>
    <w:p w14:paraId="00F51816" w14:textId="13E67E8F" w:rsidR="00FD153E" w:rsidRPr="005C0F64" w:rsidRDefault="00FD153E" w:rsidP="00CB79B7">
      <w:pPr>
        <w:pStyle w:val="MDPI62BackMatter"/>
        <w:rPr>
          <w:color w:val="auto"/>
          <w:lang w:val="en-GB"/>
        </w:rPr>
      </w:pPr>
      <w:r w:rsidRPr="005C0F64">
        <w:rPr>
          <w:b/>
          <w:bCs/>
          <w:color w:val="auto"/>
          <w:lang w:val="en-GB"/>
        </w:rPr>
        <w:lastRenderedPageBreak/>
        <w:t>Conflicts of Interest:</w:t>
      </w:r>
      <w:r w:rsidRPr="005C0F64">
        <w:rPr>
          <w:color w:val="auto"/>
          <w:lang w:val="en-GB"/>
        </w:rPr>
        <w:t xml:space="preserve"> The author</w:t>
      </w:r>
      <w:r w:rsidR="008E3ACB" w:rsidRPr="005C0F64">
        <w:rPr>
          <w:color w:val="auto"/>
          <w:lang w:val="en-GB"/>
        </w:rPr>
        <w:t>s</w:t>
      </w:r>
      <w:r w:rsidRPr="005C0F64">
        <w:rPr>
          <w:color w:val="auto"/>
          <w:lang w:val="en-GB"/>
        </w:rPr>
        <w:t xml:space="preserve"> declare no conflict of interest.</w:t>
      </w:r>
    </w:p>
    <w:p w14:paraId="55A9B080" w14:textId="77777777" w:rsidR="00FD153E" w:rsidRPr="005C0F64" w:rsidRDefault="00FD153E" w:rsidP="00CB79B7">
      <w:pPr>
        <w:pStyle w:val="MDPI62BackMatter"/>
        <w:rPr>
          <w:b/>
          <w:bCs/>
          <w:color w:val="auto"/>
          <w:sz w:val="20"/>
          <w:lang w:val="en-GB"/>
        </w:rPr>
      </w:pPr>
      <w:r w:rsidRPr="005C0F64">
        <w:rPr>
          <w:b/>
          <w:bCs/>
          <w:color w:val="auto"/>
          <w:sz w:val="20"/>
          <w:lang w:val="en-GB"/>
        </w:rPr>
        <w:t>Abbreviations</w:t>
      </w:r>
    </w:p>
    <w:tbl>
      <w:tblPr>
        <w:tblStyle w:val="TableGrid"/>
        <w:tblW w:w="7943" w:type="dxa"/>
        <w:tblInd w:w="2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4"/>
        <w:gridCol w:w="6379"/>
      </w:tblGrid>
      <w:tr w:rsidR="00647E1F" w:rsidRPr="00F80C2B" w14:paraId="46414275" w14:textId="77777777" w:rsidTr="00D51F82">
        <w:tc>
          <w:tcPr>
            <w:tcW w:w="1564" w:type="dxa"/>
          </w:tcPr>
          <w:p w14:paraId="5EF63F03" w14:textId="35A7A4EF" w:rsidR="004072F1" w:rsidRPr="00EC78BB" w:rsidRDefault="004072F1" w:rsidP="00A75A1A">
            <w:pPr>
              <w:pStyle w:val="MDPI21heading1"/>
              <w:spacing w:before="0" w:after="0"/>
              <w:ind w:left="2593" w:hanging="2608"/>
              <w:rPr>
                <w:b w:val="0"/>
                <w:color w:val="auto"/>
                <w:sz w:val="18"/>
                <w:szCs w:val="18"/>
                <w:lang w:val="en-GB" w:eastAsia="en-US"/>
              </w:rPr>
            </w:pPr>
            <w:r w:rsidRPr="00EC78BB">
              <w:rPr>
                <w:b w:val="0"/>
                <w:color w:val="auto"/>
                <w:sz w:val="18"/>
                <w:szCs w:val="18"/>
                <w:lang w:val="en-GB" w:eastAsia="en-US"/>
              </w:rPr>
              <w:t>aFRR</w:t>
            </w:r>
          </w:p>
        </w:tc>
        <w:tc>
          <w:tcPr>
            <w:tcW w:w="6379" w:type="dxa"/>
          </w:tcPr>
          <w:p w14:paraId="27DC3746" w14:textId="20BC2CC4" w:rsidR="004072F1" w:rsidRPr="00EC78BB" w:rsidRDefault="004072F1" w:rsidP="00A75A1A">
            <w:pPr>
              <w:pStyle w:val="MDPI21heading1"/>
              <w:spacing w:before="0" w:after="0"/>
              <w:ind w:left="2960" w:hanging="3073"/>
              <w:rPr>
                <w:b w:val="0"/>
                <w:color w:val="auto"/>
                <w:sz w:val="18"/>
                <w:szCs w:val="18"/>
                <w:lang w:val="en-GB" w:eastAsia="en-US"/>
              </w:rPr>
            </w:pPr>
            <w:r w:rsidRPr="00EC78BB">
              <w:rPr>
                <w:b w:val="0"/>
                <w:color w:val="auto"/>
                <w:sz w:val="18"/>
                <w:szCs w:val="18"/>
                <w:lang w:eastAsia="en-US"/>
              </w:rPr>
              <w:t>automatic-activated frequency restoration reserve</w:t>
            </w:r>
          </w:p>
        </w:tc>
      </w:tr>
      <w:tr w:rsidR="00647E1F" w:rsidRPr="00F80C2B" w14:paraId="587B4CB7" w14:textId="77777777" w:rsidTr="00D51F82">
        <w:tc>
          <w:tcPr>
            <w:tcW w:w="1564" w:type="dxa"/>
          </w:tcPr>
          <w:p w14:paraId="310E492C" w14:textId="6168583D" w:rsidR="00470179" w:rsidRPr="00EC78BB" w:rsidRDefault="00470179" w:rsidP="00A75A1A">
            <w:pPr>
              <w:pStyle w:val="MDPI21heading1"/>
              <w:spacing w:before="0" w:after="0"/>
              <w:ind w:left="2593" w:hanging="2608"/>
              <w:rPr>
                <w:b w:val="0"/>
                <w:color w:val="auto"/>
                <w:sz w:val="18"/>
                <w:szCs w:val="18"/>
                <w:lang w:val="en-GB" w:eastAsia="en-US"/>
              </w:rPr>
            </w:pPr>
            <w:r w:rsidRPr="00EC78BB">
              <w:rPr>
                <w:b w:val="0"/>
                <w:color w:val="auto"/>
                <w:sz w:val="18"/>
                <w:szCs w:val="18"/>
                <w:lang w:val="en-GB" w:eastAsia="en-US"/>
              </w:rPr>
              <w:t>BM</w:t>
            </w:r>
          </w:p>
        </w:tc>
        <w:tc>
          <w:tcPr>
            <w:tcW w:w="6379" w:type="dxa"/>
          </w:tcPr>
          <w:p w14:paraId="0C19E538" w14:textId="6C04BB6F" w:rsidR="00470179" w:rsidRPr="00EC78BB" w:rsidRDefault="00470179" w:rsidP="00A75A1A">
            <w:pPr>
              <w:pStyle w:val="MDPI21heading1"/>
              <w:spacing w:before="0" w:after="0"/>
              <w:ind w:left="2960" w:hanging="3073"/>
              <w:rPr>
                <w:b w:val="0"/>
                <w:color w:val="auto"/>
                <w:sz w:val="18"/>
                <w:szCs w:val="18"/>
                <w:lang w:val="en-GB" w:eastAsia="en-US"/>
              </w:rPr>
            </w:pPr>
            <w:r w:rsidRPr="00EC78BB">
              <w:rPr>
                <w:b w:val="0"/>
                <w:color w:val="auto"/>
                <w:sz w:val="18"/>
                <w:szCs w:val="18"/>
                <w:lang w:val="en-GB" w:eastAsia="en-US"/>
              </w:rPr>
              <w:t>Balancing market</w:t>
            </w:r>
          </w:p>
        </w:tc>
      </w:tr>
      <w:tr w:rsidR="00647E1F" w:rsidRPr="00F80C2B" w14:paraId="3E04E365" w14:textId="77777777" w:rsidTr="00D51F82">
        <w:tc>
          <w:tcPr>
            <w:tcW w:w="1564" w:type="dxa"/>
          </w:tcPr>
          <w:p w14:paraId="38D61AAA" w14:textId="4E9C4CFE" w:rsidR="008E3ACB" w:rsidRPr="00EC78BB" w:rsidRDefault="008E3ACB" w:rsidP="00A75A1A">
            <w:pPr>
              <w:pStyle w:val="MDPI21heading1"/>
              <w:spacing w:before="0" w:after="0"/>
              <w:ind w:hanging="2608"/>
              <w:jc w:val="left"/>
              <w:rPr>
                <w:b w:val="0"/>
                <w:color w:val="auto"/>
                <w:sz w:val="18"/>
                <w:szCs w:val="18"/>
                <w:lang w:val="en-GB" w:eastAsia="en-US"/>
              </w:rPr>
            </w:pPr>
            <w:r w:rsidRPr="00EC78BB">
              <w:rPr>
                <w:b w:val="0"/>
                <w:color w:val="auto"/>
                <w:sz w:val="18"/>
                <w:szCs w:val="18"/>
                <w:lang w:val="en-GB" w:eastAsia="en-US"/>
              </w:rPr>
              <w:t>B</w:t>
            </w:r>
            <w:r w:rsidR="00BA01D2" w:rsidRPr="00EC78BB">
              <w:rPr>
                <w:b w:val="0"/>
                <w:color w:val="auto"/>
                <w:sz w:val="18"/>
                <w:szCs w:val="18"/>
                <w:lang w:val="en-GB" w:eastAsia="en-US"/>
              </w:rPr>
              <w:t>RP</w:t>
            </w:r>
          </w:p>
        </w:tc>
        <w:tc>
          <w:tcPr>
            <w:tcW w:w="6379" w:type="dxa"/>
          </w:tcPr>
          <w:p w14:paraId="08C9BA83" w14:textId="55E85907" w:rsidR="008E3ACB" w:rsidRPr="00EC78BB" w:rsidRDefault="00BA01D2" w:rsidP="00A75A1A">
            <w:pPr>
              <w:pStyle w:val="MDPI21heading1"/>
              <w:spacing w:before="0" w:after="0"/>
              <w:ind w:left="2960" w:hanging="3073"/>
              <w:jc w:val="left"/>
              <w:rPr>
                <w:b w:val="0"/>
                <w:color w:val="auto"/>
                <w:sz w:val="18"/>
                <w:szCs w:val="18"/>
                <w:lang w:val="en-GB" w:eastAsia="en-US"/>
              </w:rPr>
            </w:pPr>
            <w:r w:rsidRPr="00EC78BB">
              <w:rPr>
                <w:b w:val="0"/>
                <w:color w:val="auto"/>
                <w:sz w:val="18"/>
                <w:szCs w:val="18"/>
                <w:lang w:val="en-GB" w:eastAsia="en-US"/>
              </w:rPr>
              <w:t>Balance Responsible Part</w:t>
            </w:r>
            <w:r w:rsidR="00E35290" w:rsidRPr="00EC78BB">
              <w:rPr>
                <w:b w:val="0"/>
                <w:color w:val="auto"/>
                <w:sz w:val="18"/>
                <w:szCs w:val="18"/>
                <w:lang w:val="en-GB" w:eastAsia="en-US"/>
              </w:rPr>
              <w:t>y</w:t>
            </w:r>
          </w:p>
        </w:tc>
      </w:tr>
      <w:tr w:rsidR="005C0F64" w:rsidRPr="00F80C2B" w14:paraId="0917F772" w14:textId="77777777" w:rsidTr="00D51F82">
        <w:tc>
          <w:tcPr>
            <w:tcW w:w="1564" w:type="dxa"/>
          </w:tcPr>
          <w:p w14:paraId="40C69719" w14:textId="70991323" w:rsidR="005C0F64" w:rsidRPr="005C0F64" w:rsidRDefault="005C0F64" w:rsidP="00A75A1A">
            <w:pPr>
              <w:pStyle w:val="MDPI21heading1"/>
              <w:spacing w:before="0" w:after="0"/>
              <w:ind w:hanging="2608"/>
              <w:rPr>
                <w:b w:val="0"/>
                <w:color w:val="auto"/>
                <w:sz w:val="18"/>
                <w:szCs w:val="18"/>
                <w:lang w:val="en-GB" w:eastAsia="en-US"/>
              </w:rPr>
            </w:pPr>
            <w:r w:rsidRPr="005C0F64">
              <w:rPr>
                <w:b w:val="0"/>
                <w:bCs/>
                <w:sz w:val="18"/>
                <w:szCs w:val="24"/>
              </w:rPr>
              <w:t>CCGT</w:t>
            </w:r>
          </w:p>
        </w:tc>
        <w:tc>
          <w:tcPr>
            <w:tcW w:w="6379" w:type="dxa"/>
          </w:tcPr>
          <w:p w14:paraId="1D9F7353" w14:textId="495B7CDB" w:rsidR="005C0F64" w:rsidRPr="005C0F64" w:rsidRDefault="005C0F64" w:rsidP="005C0F64">
            <w:pPr>
              <w:pStyle w:val="MDPI21heading1"/>
              <w:spacing w:before="0" w:after="0"/>
              <w:ind w:left="2960" w:hanging="3073"/>
              <w:rPr>
                <w:b w:val="0"/>
                <w:color w:val="auto"/>
                <w:sz w:val="18"/>
                <w:szCs w:val="18"/>
                <w:lang w:val="en-GB" w:eastAsia="en-US"/>
              </w:rPr>
            </w:pPr>
            <w:r>
              <w:rPr>
                <w:b w:val="0"/>
                <w:bCs/>
                <w:sz w:val="18"/>
                <w:szCs w:val="24"/>
              </w:rPr>
              <w:t>C</w:t>
            </w:r>
            <w:r w:rsidRPr="005C0F64">
              <w:rPr>
                <w:b w:val="0"/>
                <w:bCs/>
                <w:sz w:val="18"/>
                <w:szCs w:val="24"/>
              </w:rPr>
              <w:t>ombined cycle gas turbines</w:t>
            </w:r>
          </w:p>
        </w:tc>
      </w:tr>
      <w:tr w:rsidR="00647E1F" w:rsidRPr="00F80C2B" w14:paraId="7E32ACFE" w14:textId="77777777" w:rsidTr="00D51F82">
        <w:tc>
          <w:tcPr>
            <w:tcW w:w="1564" w:type="dxa"/>
          </w:tcPr>
          <w:p w14:paraId="5C946F2F" w14:textId="058ADB13" w:rsidR="008E3ACB" w:rsidRPr="00EC78BB" w:rsidRDefault="008E3ACB" w:rsidP="00A75A1A">
            <w:pPr>
              <w:pStyle w:val="MDPI21heading1"/>
              <w:spacing w:before="0" w:after="0"/>
              <w:ind w:hanging="2608"/>
              <w:rPr>
                <w:b w:val="0"/>
                <w:color w:val="auto"/>
                <w:sz w:val="18"/>
                <w:szCs w:val="18"/>
                <w:lang w:val="en-GB" w:eastAsia="en-US"/>
              </w:rPr>
            </w:pPr>
            <w:r w:rsidRPr="00EC78BB">
              <w:rPr>
                <w:b w:val="0"/>
                <w:color w:val="auto"/>
                <w:sz w:val="18"/>
                <w:szCs w:val="18"/>
                <w:lang w:val="en-GB" w:eastAsia="en-US"/>
              </w:rPr>
              <w:t>CE</w:t>
            </w:r>
            <w:r w:rsidR="008776CB" w:rsidRPr="00EC78BB">
              <w:rPr>
                <w:b w:val="0"/>
                <w:color w:val="auto"/>
                <w:sz w:val="18"/>
                <w:szCs w:val="18"/>
                <w:lang w:val="en-GB" w:eastAsia="en-US"/>
              </w:rPr>
              <w:t>T</w:t>
            </w:r>
          </w:p>
        </w:tc>
        <w:tc>
          <w:tcPr>
            <w:tcW w:w="6379" w:type="dxa"/>
          </w:tcPr>
          <w:p w14:paraId="457A4194" w14:textId="0F7D4B24" w:rsidR="008E3ACB" w:rsidRPr="00EC78BB" w:rsidRDefault="008776CB" w:rsidP="00A75A1A">
            <w:pPr>
              <w:pStyle w:val="MDPI21heading1"/>
              <w:spacing w:before="0" w:after="0"/>
              <w:ind w:left="2960" w:hanging="3073"/>
              <w:rPr>
                <w:b w:val="0"/>
                <w:color w:val="auto"/>
                <w:sz w:val="18"/>
                <w:szCs w:val="18"/>
                <w:lang w:val="en-GB" w:eastAsia="en-US"/>
              </w:rPr>
            </w:pPr>
            <w:r w:rsidRPr="00EC78BB">
              <w:rPr>
                <w:b w:val="0"/>
                <w:color w:val="auto"/>
                <w:sz w:val="18"/>
                <w:szCs w:val="18"/>
                <w:lang w:val="en-GB" w:eastAsia="en-US"/>
              </w:rPr>
              <w:t>Central European Time</w:t>
            </w:r>
          </w:p>
        </w:tc>
      </w:tr>
      <w:tr w:rsidR="00EC78BB" w:rsidRPr="00F80C2B" w14:paraId="75108C41" w14:textId="77777777" w:rsidTr="00D51F82">
        <w:tc>
          <w:tcPr>
            <w:tcW w:w="1564" w:type="dxa"/>
          </w:tcPr>
          <w:p w14:paraId="4E303747" w14:textId="11C3EA97" w:rsidR="00EC78BB" w:rsidRPr="00EC78BB" w:rsidRDefault="00EC78BB" w:rsidP="00A75A1A">
            <w:pPr>
              <w:pStyle w:val="MDPI21heading1"/>
              <w:spacing w:before="0" w:after="0"/>
              <w:ind w:hanging="2608"/>
              <w:rPr>
                <w:b w:val="0"/>
                <w:color w:val="auto"/>
                <w:sz w:val="18"/>
                <w:szCs w:val="18"/>
                <w:lang w:val="en-GB" w:eastAsia="en-US"/>
              </w:rPr>
            </w:pPr>
            <w:r w:rsidRPr="00EC78BB">
              <w:rPr>
                <w:b w:val="0"/>
                <w:color w:val="auto"/>
                <w:sz w:val="18"/>
                <w:szCs w:val="18"/>
                <w:lang w:val="en-GB" w:eastAsia="en-US"/>
              </w:rPr>
              <w:t>CfD</w:t>
            </w:r>
          </w:p>
        </w:tc>
        <w:tc>
          <w:tcPr>
            <w:tcW w:w="6379" w:type="dxa"/>
          </w:tcPr>
          <w:p w14:paraId="2AC57B1B" w14:textId="1DC66A98" w:rsidR="00EC78BB" w:rsidRPr="00EC78BB" w:rsidRDefault="00EC78BB" w:rsidP="00EC78BB">
            <w:pPr>
              <w:pStyle w:val="MDPI21heading1"/>
              <w:spacing w:before="0" w:after="0"/>
              <w:ind w:left="2960" w:hanging="3073"/>
              <w:rPr>
                <w:b w:val="0"/>
                <w:color w:val="auto"/>
                <w:sz w:val="18"/>
                <w:szCs w:val="18"/>
                <w:lang w:val="en-GB" w:eastAsia="en-US"/>
              </w:rPr>
            </w:pPr>
            <w:r w:rsidRPr="00EC78BB">
              <w:rPr>
                <w:rFonts w:cs="Segoe UI"/>
                <w:b w:val="0"/>
                <w:color w:val="auto"/>
              </w:rPr>
              <w:t xml:space="preserve">contracts for difference </w:t>
            </w:r>
          </w:p>
        </w:tc>
      </w:tr>
      <w:tr w:rsidR="00647E1F" w:rsidRPr="00F80C2B" w14:paraId="3EED6127" w14:textId="77777777" w:rsidTr="00D51F82">
        <w:tc>
          <w:tcPr>
            <w:tcW w:w="1564" w:type="dxa"/>
          </w:tcPr>
          <w:p w14:paraId="7923917E" w14:textId="6176165D" w:rsidR="008E3ACB" w:rsidRPr="00EC78BB" w:rsidRDefault="008E3ACB" w:rsidP="00A75A1A">
            <w:pPr>
              <w:pStyle w:val="MDPI21heading1"/>
              <w:spacing w:before="0" w:after="0"/>
              <w:ind w:hanging="2608"/>
              <w:rPr>
                <w:b w:val="0"/>
                <w:color w:val="auto"/>
                <w:sz w:val="18"/>
                <w:szCs w:val="18"/>
                <w:lang w:val="en-GB" w:eastAsia="en-US"/>
              </w:rPr>
            </w:pPr>
            <w:r w:rsidRPr="00EC78BB">
              <w:rPr>
                <w:b w:val="0"/>
                <w:color w:val="auto"/>
                <w:sz w:val="18"/>
                <w:szCs w:val="18"/>
                <w:lang w:val="en-GB" w:eastAsia="en-US"/>
              </w:rPr>
              <w:t>D</w:t>
            </w:r>
            <w:r w:rsidR="00EC0686" w:rsidRPr="00EC78BB">
              <w:rPr>
                <w:b w:val="0"/>
                <w:color w:val="auto"/>
                <w:sz w:val="18"/>
                <w:szCs w:val="18"/>
                <w:lang w:val="en-GB" w:eastAsia="en-US"/>
              </w:rPr>
              <w:t>AM</w:t>
            </w:r>
          </w:p>
        </w:tc>
        <w:tc>
          <w:tcPr>
            <w:tcW w:w="6379" w:type="dxa"/>
          </w:tcPr>
          <w:p w14:paraId="64918D7A" w14:textId="1835BAB3" w:rsidR="008E3ACB" w:rsidRPr="00EC78BB" w:rsidRDefault="00EC0686" w:rsidP="00A75A1A">
            <w:pPr>
              <w:pStyle w:val="MDPI21heading1"/>
              <w:spacing w:before="0" w:after="0"/>
              <w:ind w:left="2960" w:hanging="3073"/>
              <w:rPr>
                <w:b w:val="0"/>
                <w:color w:val="auto"/>
                <w:sz w:val="18"/>
                <w:szCs w:val="18"/>
                <w:lang w:val="en-GB" w:eastAsia="en-US"/>
              </w:rPr>
            </w:pPr>
            <w:r w:rsidRPr="00EC78BB">
              <w:rPr>
                <w:b w:val="0"/>
                <w:color w:val="auto"/>
                <w:sz w:val="18"/>
                <w:szCs w:val="18"/>
                <w:lang w:val="en-GB" w:eastAsia="en-US"/>
              </w:rPr>
              <w:t>Day-ahead market</w:t>
            </w:r>
          </w:p>
        </w:tc>
      </w:tr>
      <w:tr w:rsidR="00EC78BB" w:rsidRPr="00F80C2B" w14:paraId="6D7B7517" w14:textId="77777777" w:rsidTr="00D51F82">
        <w:tc>
          <w:tcPr>
            <w:tcW w:w="1564" w:type="dxa"/>
          </w:tcPr>
          <w:p w14:paraId="1B610E00" w14:textId="170B80A5" w:rsidR="00EC78BB" w:rsidRPr="00EC78BB" w:rsidRDefault="00EC78BB" w:rsidP="00EC78BB">
            <w:pPr>
              <w:pStyle w:val="MDPI21heading1"/>
              <w:spacing w:before="0" w:after="0"/>
              <w:ind w:hanging="2608"/>
              <w:rPr>
                <w:b w:val="0"/>
                <w:color w:val="auto"/>
                <w:sz w:val="18"/>
                <w:szCs w:val="18"/>
                <w:lang w:val="en-GB" w:eastAsia="en-US"/>
              </w:rPr>
            </w:pPr>
            <w:r w:rsidRPr="00EC78BB">
              <w:rPr>
                <w:b w:val="0"/>
                <w:color w:val="auto"/>
                <w:sz w:val="18"/>
                <w:szCs w:val="18"/>
                <w:lang w:val="en-GB" w:eastAsia="en-US"/>
              </w:rPr>
              <w:t>EM</w:t>
            </w:r>
          </w:p>
        </w:tc>
        <w:tc>
          <w:tcPr>
            <w:tcW w:w="6379" w:type="dxa"/>
          </w:tcPr>
          <w:p w14:paraId="7562E1C0" w14:textId="2F52E613" w:rsidR="00EC78BB" w:rsidRPr="00EC78BB" w:rsidRDefault="00EC78BB" w:rsidP="00EC78BB">
            <w:pPr>
              <w:pStyle w:val="MDPI21heading1"/>
              <w:spacing w:before="0" w:after="0"/>
              <w:ind w:left="2960" w:hanging="3073"/>
              <w:rPr>
                <w:b w:val="0"/>
                <w:color w:val="auto"/>
                <w:sz w:val="18"/>
                <w:szCs w:val="18"/>
                <w:lang w:val="en-GB" w:eastAsia="en-US"/>
              </w:rPr>
            </w:pPr>
            <w:r w:rsidRPr="00EC78BB">
              <w:rPr>
                <w:b w:val="0"/>
                <w:color w:val="auto"/>
                <w:sz w:val="18"/>
                <w:szCs w:val="18"/>
                <w:lang w:val="en-GB" w:eastAsia="en-US"/>
              </w:rPr>
              <w:t>Electricity market</w:t>
            </w:r>
          </w:p>
        </w:tc>
      </w:tr>
      <w:tr w:rsidR="00EC78BB" w:rsidRPr="00F80C2B" w14:paraId="29DB4B9C" w14:textId="77777777" w:rsidTr="00D51F82">
        <w:tc>
          <w:tcPr>
            <w:tcW w:w="1564" w:type="dxa"/>
          </w:tcPr>
          <w:p w14:paraId="63AC87B0" w14:textId="654ED704" w:rsidR="00EC78BB" w:rsidRPr="00EC78BB" w:rsidRDefault="00EC78BB" w:rsidP="00EC78BB">
            <w:pPr>
              <w:pStyle w:val="MDPI21heading1"/>
              <w:spacing w:before="0" w:after="0"/>
              <w:ind w:hanging="2608"/>
              <w:rPr>
                <w:b w:val="0"/>
                <w:color w:val="auto"/>
                <w:sz w:val="18"/>
                <w:szCs w:val="18"/>
                <w:lang w:val="en-GB" w:eastAsia="en-US"/>
              </w:rPr>
            </w:pPr>
            <w:r w:rsidRPr="00EC78BB">
              <w:rPr>
                <w:b w:val="0"/>
                <w:color w:val="auto"/>
                <w:sz w:val="18"/>
                <w:szCs w:val="18"/>
                <w:lang w:val="en-GB" w:eastAsia="en-US"/>
              </w:rPr>
              <w:t>FCR</w:t>
            </w:r>
          </w:p>
        </w:tc>
        <w:tc>
          <w:tcPr>
            <w:tcW w:w="6379" w:type="dxa"/>
          </w:tcPr>
          <w:p w14:paraId="6CDE5E79" w14:textId="3DBE82A2" w:rsidR="00EC78BB" w:rsidRPr="00EC78BB" w:rsidRDefault="00EC78BB" w:rsidP="00EC78BB">
            <w:pPr>
              <w:pStyle w:val="MDPI21heading1"/>
              <w:spacing w:before="0" w:after="0"/>
              <w:ind w:left="2960" w:hanging="3073"/>
              <w:rPr>
                <w:b w:val="0"/>
                <w:color w:val="auto"/>
                <w:sz w:val="18"/>
                <w:szCs w:val="18"/>
                <w:lang w:val="en-GB" w:eastAsia="en-US"/>
              </w:rPr>
            </w:pPr>
            <w:r w:rsidRPr="00EC78BB">
              <w:rPr>
                <w:b w:val="0"/>
                <w:color w:val="auto"/>
                <w:sz w:val="18"/>
                <w:szCs w:val="18"/>
                <w:lang w:eastAsia="en-US"/>
              </w:rPr>
              <w:t>Frequency</w:t>
            </w:r>
            <w:r w:rsidRPr="00EC78BB">
              <w:rPr>
                <w:rFonts w:ascii="Times New Roman" w:hAnsi="Times New Roman"/>
                <w:b w:val="0"/>
                <w:color w:val="auto"/>
                <w:sz w:val="18"/>
                <w:szCs w:val="18"/>
                <w:lang w:eastAsia="en-US"/>
              </w:rPr>
              <w:t> </w:t>
            </w:r>
            <w:r w:rsidRPr="00EC78BB">
              <w:rPr>
                <w:b w:val="0"/>
                <w:color w:val="auto"/>
                <w:sz w:val="18"/>
                <w:szCs w:val="18"/>
                <w:lang w:eastAsia="en-US"/>
              </w:rPr>
              <w:t>controlled</w:t>
            </w:r>
            <w:r w:rsidRPr="00EC78BB">
              <w:rPr>
                <w:rFonts w:ascii="Times New Roman" w:hAnsi="Times New Roman"/>
                <w:b w:val="0"/>
                <w:color w:val="auto"/>
                <w:sz w:val="18"/>
                <w:szCs w:val="18"/>
                <w:lang w:eastAsia="en-US"/>
              </w:rPr>
              <w:t> </w:t>
            </w:r>
            <w:r w:rsidRPr="00EC78BB">
              <w:rPr>
                <w:b w:val="0"/>
                <w:color w:val="auto"/>
                <w:sz w:val="18"/>
                <w:szCs w:val="18"/>
                <w:lang w:eastAsia="en-US"/>
              </w:rPr>
              <w:t>reserve</w:t>
            </w:r>
          </w:p>
        </w:tc>
      </w:tr>
      <w:tr w:rsidR="00EC78BB" w:rsidRPr="00F80C2B" w14:paraId="6BCDC79D" w14:textId="77777777" w:rsidTr="00D51F82">
        <w:tc>
          <w:tcPr>
            <w:tcW w:w="1564" w:type="dxa"/>
          </w:tcPr>
          <w:p w14:paraId="61BF7778" w14:textId="33CC9654" w:rsidR="00EC78BB" w:rsidRPr="00EC78BB" w:rsidRDefault="00EC78BB" w:rsidP="00EC78BB">
            <w:pPr>
              <w:pStyle w:val="MDPI21heading1"/>
              <w:spacing w:before="0" w:after="0"/>
              <w:ind w:hanging="2608"/>
              <w:rPr>
                <w:b w:val="0"/>
                <w:color w:val="auto"/>
                <w:sz w:val="18"/>
                <w:szCs w:val="18"/>
                <w:lang w:val="en-GB" w:eastAsia="en-US"/>
              </w:rPr>
            </w:pPr>
            <w:r w:rsidRPr="00EC78BB">
              <w:rPr>
                <w:b w:val="0"/>
                <w:color w:val="auto"/>
                <w:sz w:val="18"/>
                <w:szCs w:val="18"/>
                <w:lang w:val="en-GB" w:eastAsia="en-US"/>
              </w:rPr>
              <w:t>FiT</w:t>
            </w:r>
          </w:p>
        </w:tc>
        <w:tc>
          <w:tcPr>
            <w:tcW w:w="6379" w:type="dxa"/>
          </w:tcPr>
          <w:p w14:paraId="09570E57" w14:textId="080A7345" w:rsidR="00EC78BB" w:rsidRPr="00EC78BB" w:rsidRDefault="00EC78BB" w:rsidP="00EC78BB">
            <w:pPr>
              <w:pStyle w:val="MDPI21heading1"/>
              <w:spacing w:before="0" w:after="0"/>
              <w:ind w:left="2960" w:hanging="3073"/>
              <w:rPr>
                <w:b w:val="0"/>
                <w:color w:val="auto"/>
                <w:sz w:val="18"/>
                <w:szCs w:val="18"/>
                <w:lang w:val="en-GB" w:eastAsia="en-US"/>
              </w:rPr>
            </w:pPr>
            <w:r w:rsidRPr="00EC78BB">
              <w:rPr>
                <w:b w:val="0"/>
                <w:color w:val="auto"/>
                <w:sz w:val="18"/>
                <w:szCs w:val="18"/>
                <w:lang w:val="en-GB" w:eastAsia="en-US"/>
              </w:rPr>
              <w:t>Feed-in tarifs</w:t>
            </w:r>
          </w:p>
        </w:tc>
      </w:tr>
      <w:tr w:rsidR="00EC78BB" w:rsidRPr="00F80C2B" w14:paraId="6ED5F69E" w14:textId="77777777" w:rsidTr="00D51F82">
        <w:tc>
          <w:tcPr>
            <w:tcW w:w="1564" w:type="dxa"/>
          </w:tcPr>
          <w:p w14:paraId="71C70373" w14:textId="77777777" w:rsidR="00EC78BB" w:rsidRPr="00EC78BB" w:rsidRDefault="00EC78BB" w:rsidP="00EC78BB">
            <w:pPr>
              <w:pStyle w:val="MDPI21heading1"/>
              <w:spacing w:before="0" w:after="0"/>
              <w:ind w:hanging="2608"/>
              <w:jc w:val="left"/>
              <w:rPr>
                <w:b w:val="0"/>
                <w:color w:val="auto"/>
                <w:sz w:val="18"/>
                <w:szCs w:val="18"/>
                <w:lang w:val="en-GB" w:eastAsia="en-US"/>
              </w:rPr>
            </w:pPr>
            <w:r w:rsidRPr="00EC78BB">
              <w:rPr>
                <w:b w:val="0"/>
                <w:color w:val="auto"/>
                <w:sz w:val="18"/>
                <w:szCs w:val="18"/>
                <w:lang w:val="en-GB" w:eastAsia="en-US"/>
              </w:rPr>
              <w:t>EU</w:t>
            </w:r>
          </w:p>
        </w:tc>
        <w:tc>
          <w:tcPr>
            <w:tcW w:w="6379" w:type="dxa"/>
          </w:tcPr>
          <w:p w14:paraId="7ADC41D1" w14:textId="77777777" w:rsidR="00EC78BB" w:rsidRPr="00EC78BB" w:rsidRDefault="00EC78BB" w:rsidP="00EC78BB">
            <w:pPr>
              <w:pStyle w:val="MDPI21heading1"/>
              <w:spacing w:before="0" w:after="0"/>
              <w:ind w:left="2960" w:hanging="3073"/>
              <w:jc w:val="left"/>
              <w:rPr>
                <w:b w:val="0"/>
                <w:color w:val="auto"/>
                <w:sz w:val="18"/>
                <w:szCs w:val="18"/>
                <w:lang w:val="en-GB" w:eastAsia="en-US"/>
              </w:rPr>
            </w:pPr>
            <w:r w:rsidRPr="00EC78BB">
              <w:rPr>
                <w:b w:val="0"/>
                <w:color w:val="auto"/>
                <w:sz w:val="18"/>
                <w:szCs w:val="18"/>
                <w:lang w:val="en-GB" w:eastAsia="en-US"/>
              </w:rPr>
              <w:t>European Union</w:t>
            </w:r>
          </w:p>
        </w:tc>
      </w:tr>
      <w:tr w:rsidR="00EC78BB" w:rsidRPr="00F80C2B" w14:paraId="7C9ADA46" w14:textId="77777777" w:rsidTr="00D51F82">
        <w:tc>
          <w:tcPr>
            <w:tcW w:w="1564" w:type="dxa"/>
          </w:tcPr>
          <w:p w14:paraId="2FD25955" w14:textId="552105DD" w:rsidR="00EC78BB" w:rsidRPr="00EC78BB" w:rsidRDefault="00EC78BB" w:rsidP="00EC78BB">
            <w:pPr>
              <w:pStyle w:val="MDPI21heading1"/>
              <w:spacing w:before="0" w:after="0"/>
              <w:ind w:hanging="2608"/>
              <w:rPr>
                <w:b w:val="0"/>
                <w:color w:val="auto"/>
                <w:sz w:val="18"/>
                <w:szCs w:val="18"/>
                <w:highlight w:val="yellow"/>
                <w:lang w:val="en-GB" w:eastAsia="en-US"/>
              </w:rPr>
            </w:pPr>
            <w:r w:rsidRPr="00EC78BB">
              <w:rPr>
                <w:b w:val="0"/>
                <w:sz w:val="18"/>
              </w:rPr>
              <w:t>EUPHEMIA</w:t>
            </w:r>
          </w:p>
        </w:tc>
        <w:tc>
          <w:tcPr>
            <w:tcW w:w="6379" w:type="dxa"/>
          </w:tcPr>
          <w:p w14:paraId="33B9DE88" w14:textId="33FB0044" w:rsidR="00EC78BB" w:rsidRPr="00EC78BB" w:rsidRDefault="00EC78BB" w:rsidP="00EC78BB">
            <w:pPr>
              <w:pStyle w:val="MDPI21heading1"/>
              <w:spacing w:before="0" w:after="0"/>
              <w:ind w:left="2960" w:hanging="3073"/>
              <w:rPr>
                <w:b w:val="0"/>
                <w:color w:val="auto"/>
                <w:sz w:val="18"/>
                <w:szCs w:val="18"/>
                <w:highlight w:val="yellow"/>
                <w:lang w:val="en-GB" w:eastAsia="en-US"/>
              </w:rPr>
            </w:pPr>
            <w:r w:rsidRPr="00EC78BB">
              <w:rPr>
                <w:b w:val="0"/>
                <w:sz w:val="18"/>
              </w:rPr>
              <w:t>EU Pan-european Hybrid Electricity Market</w:t>
            </w:r>
          </w:p>
        </w:tc>
      </w:tr>
      <w:tr w:rsidR="00EC78BB" w:rsidRPr="00F80C2B" w14:paraId="18D90FD8" w14:textId="77777777" w:rsidTr="00D51F82">
        <w:tc>
          <w:tcPr>
            <w:tcW w:w="1564" w:type="dxa"/>
          </w:tcPr>
          <w:p w14:paraId="4539AAC8" w14:textId="59259814" w:rsidR="00EC78BB" w:rsidRPr="00EC78BB" w:rsidRDefault="00EC78BB" w:rsidP="00EC78BB">
            <w:pPr>
              <w:pStyle w:val="MDPI21heading1"/>
              <w:spacing w:before="0" w:after="0"/>
              <w:ind w:hanging="2608"/>
              <w:jc w:val="left"/>
              <w:rPr>
                <w:b w:val="0"/>
                <w:color w:val="auto"/>
                <w:sz w:val="18"/>
                <w:szCs w:val="18"/>
                <w:lang w:val="en-GB" w:eastAsia="en-US"/>
              </w:rPr>
            </w:pPr>
            <w:r w:rsidRPr="00EC78BB">
              <w:rPr>
                <w:b w:val="0"/>
                <w:color w:val="auto"/>
                <w:sz w:val="18"/>
                <w:szCs w:val="18"/>
                <w:lang w:val="en-GB" w:eastAsia="en-US"/>
              </w:rPr>
              <w:t>IDA</w:t>
            </w:r>
          </w:p>
        </w:tc>
        <w:tc>
          <w:tcPr>
            <w:tcW w:w="6379" w:type="dxa"/>
          </w:tcPr>
          <w:p w14:paraId="50599C96" w14:textId="7A08A898" w:rsidR="00EC78BB" w:rsidRPr="00EC78BB" w:rsidRDefault="00EC78BB" w:rsidP="00EC78BB">
            <w:pPr>
              <w:pStyle w:val="MDPI21heading1"/>
              <w:spacing w:before="0" w:after="0"/>
              <w:ind w:left="2960" w:hanging="3073"/>
              <w:jc w:val="left"/>
              <w:rPr>
                <w:b w:val="0"/>
                <w:color w:val="auto"/>
                <w:sz w:val="18"/>
                <w:szCs w:val="18"/>
                <w:lang w:val="en-GB" w:eastAsia="en-US"/>
              </w:rPr>
            </w:pPr>
            <w:r w:rsidRPr="00EC78BB">
              <w:rPr>
                <w:b w:val="0"/>
                <w:color w:val="auto"/>
                <w:sz w:val="18"/>
                <w:szCs w:val="18"/>
                <w:lang w:val="en-GB" w:eastAsia="en-US"/>
              </w:rPr>
              <w:t>Auction-based IDM</w:t>
            </w:r>
          </w:p>
        </w:tc>
      </w:tr>
      <w:tr w:rsidR="00EC78BB" w:rsidRPr="00F80C2B" w14:paraId="05653E10" w14:textId="77777777" w:rsidTr="00D51F82">
        <w:tc>
          <w:tcPr>
            <w:tcW w:w="1564" w:type="dxa"/>
          </w:tcPr>
          <w:p w14:paraId="50F1CBA3" w14:textId="11204C3E" w:rsidR="00EC78BB" w:rsidRPr="00EC78BB" w:rsidRDefault="00EC78BB" w:rsidP="00EC78BB">
            <w:pPr>
              <w:pStyle w:val="MDPI21heading1"/>
              <w:spacing w:before="0" w:after="0"/>
              <w:ind w:hanging="2608"/>
              <w:rPr>
                <w:b w:val="0"/>
                <w:color w:val="auto"/>
                <w:sz w:val="18"/>
                <w:szCs w:val="18"/>
                <w:lang w:val="en-GB" w:eastAsia="en-US"/>
              </w:rPr>
            </w:pPr>
            <w:r w:rsidRPr="00EC78BB">
              <w:rPr>
                <w:b w:val="0"/>
                <w:color w:val="auto"/>
                <w:sz w:val="18"/>
                <w:szCs w:val="18"/>
                <w:lang w:val="en-GB" w:eastAsia="en-US"/>
              </w:rPr>
              <w:t>IDC</w:t>
            </w:r>
          </w:p>
        </w:tc>
        <w:tc>
          <w:tcPr>
            <w:tcW w:w="6379" w:type="dxa"/>
          </w:tcPr>
          <w:p w14:paraId="671E02FB" w14:textId="5C0A452A" w:rsidR="00EC78BB" w:rsidRPr="00EC78BB" w:rsidRDefault="00EC78BB" w:rsidP="00EC78BB">
            <w:pPr>
              <w:pStyle w:val="MDPI21heading1"/>
              <w:spacing w:before="0" w:after="0"/>
              <w:ind w:left="2960" w:hanging="3073"/>
              <w:rPr>
                <w:b w:val="0"/>
                <w:color w:val="auto"/>
                <w:sz w:val="18"/>
                <w:szCs w:val="18"/>
                <w:lang w:val="en-GB" w:eastAsia="en-US"/>
              </w:rPr>
            </w:pPr>
            <w:r w:rsidRPr="00EC78BB">
              <w:rPr>
                <w:b w:val="0"/>
                <w:color w:val="auto"/>
                <w:sz w:val="18"/>
                <w:szCs w:val="18"/>
                <w:lang w:val="en-GB" w:eastAsia="en-US"/>
              </w:rPr>
              <w:t>Continuous IDM</w:t>
            </w:r>
          </w:p>
        </w:tc>
      </w:tr>
      <w:tr w:rsidR="00EC78BB" w:rsidRPr="00F80C2B" w14:paraId="47707F3C" w14:textId="77777777" w:rsidTr="00D51F82">
        <w:tc>
          <w:tcPr>
            <w:tcW w:w="1564" w:type="dxa"/>
          </w:tcPr>
          <w:p w14:paraId="5A4193C7" w14:textId="4B65D8AF" w:rsidR="00EC78BB" w:rsidRPr="00EC78BB" w:rsidRDefault="00EC78BB" w:rsidP="00EC78BB">
            <w:pPr>
              <w:pStyle w:val="MDPI21heading1"/>
              <w:spacing w:before="0" w:after="0"/>
              <w:ind w:hanging="2608"/>
              <w:jc w:val="left"/>
              <w:rPr>
                <w:b w:val="0"/>
                <w:color w:val="auto"/>
                <w:sz w:val="18"/>
                <w:szCs w:val="18"/>
                <w:lang w:val="en-GB" w:eastAsia="en-US"/>
              </w:rPr>
            </w:pPr>
            <w:r w:rsidRPr="00EC78BB">
              <w:rPr>
                <w:b w:val="0"/>
                <w:color w:val="auto"/>
                <w:sz w:val="18"/>
                <w:szCs w:val="18"/>
                <w:lang w:val="en-GB" w:eastAsia="en-US"/>
              </w:rPr>
              <w:t>IDM</w:t>
            </w:r>
          </w:p>
        </w:tc>
        <w:tc>
          <w:tcPr>
            <w:tcW w:w="6379" w:type="dxa"/>
          </w:tcPr>
          <w:p w14:paraId="20CF2FFB" w14:textId="540AA0B4" w:rsidR="00EC78BB" w:rsidRPr="00EC78BB" w:rsidRDefault="00EC78BB" w:rsidP="00EC78BB">
            <w:pPr>
              <w:pStyle w:val="MDPI21heading1"/>
              <w:spacing w:before="0" w:after="0"/>
              <w:ind w:left="2960" w:hanging="3073"/>
              <w:jc w:val="left"/>
              <w:rPr>
                <w:b w:val="0"/>
                <w:color w:val="auto"/>
                <w:sz w:val="18"/>
                <w:szCs w:val="18"/>
                <w:lang w:val="en-GB" w:eastAsia="en-US"/>
              </w:rPr>
            </w:pPr>
            <w:r w:rsidRPr="00EC78BB">
              <w:rPr>
                <w:b w:val="0"/>
                <w:color w:val="auto"/>
                <w:sz w:val="18"/>
                <w:szCs w:val="18"/>
                <w:lang w:val="en-GB" w:eastAsia="en-US"/>
              </w:rPr>
              <w:t>Intraday market</w:t>
            </w:r>
          </w:p>
        </w:tc>
      </w:tr>
      <w:tr w:rsidR="00EC78BB" w:rsidRPr="00F80C2B" w14:paraId="7D888DBC" w14:textId="77777777" w:rsidTr="00D51F82">
        <w:tc>
          <w:tcPr>
            <w:tcW w:w="1564" w:type="dxa"/>
          </w:tcPr>
          <w:p w14:paraId="5AC365BE" w14:textId="066AAA08" w:rsidR="00EC78BB" w:rsidRPr="005C0F64" w:rsidRDefault="00EC78BB" w:rsidP="00EC78BB">
            <w:pPr>
              <w:pStyle w:val="MDPI21heading1"/>
              <w:spacing w:before="0" w:after="0"/>
              <w:ind w:hanging="2608"/>
              <w:rPr>
                <w:b w:val="0"/>
                <w:color w:val="auto"/>
                <w:sz w:val="18"/>
                <w:szCs w:val="18"/>
                <w:lang w:val="en-GB" w:eastAsia="en-US"/>
              </w:rPr>
            </w:pPr>
            <w:r w:rsidRPr="005C0F64">
              <w:rPr>
                <w:b w:val="0"/>
                <w:color w:val="auto"/>
                <w:sz w:val="18"/>
                <w:szCs w:val="18"/>
                <w:lang w:val="en-GB" w:eastAsia="en-US"/>
              </w:rPr>
              <w:t>IS</w:t>
            </w:r>
          </w:p>
        </w:tc>
        <w:tc>
          <w:tcPr>
            <w:tcW w:w="6379" w:type="dxa"/>
          </w:tcPr>
          <w:p w14:paraId="1523127A" w14:textId="57E3A44D" w:rsidR="00EC78BB" w:rsidRPr="005C0F64" w:rsidRDefault="00EC78BB" w:rsidP="00EC78BB">
            <w:pPr>
              <w:pStyle w:val="MDPI21heading1"/>
              <w:spacing w:before="0" w:after="0"/>
              <w:ind w:left="2960" w:hanging="3073"/>
              <w:rPr>
                <w:b w:val="0"/>
                <w:color w:val="auto"/>
                <w:sz w:val="18"/>
                <w:szCs w:val="18"/>
                <w:lang w:val="en-GB" w:eastAsia="en-US"/>
              </w:rPr>
            </w:pPr>
            <w:r w:rsidRPr="005C0F64">
              <w:rPr>
                <w:b w:val="0"/>
                <w:color w:val="auto"/>
                <w:sz w:val="18"/>
                <w:szCs w:val="18"/>
                <w:lang w:val="en-GB" w:eastAsia="en-US"/>
              </w:rPr>
              <w:t>Imbalance settlement</w:t>
            </w:r>
          </w:p>
        </w:tc>
      </w:tr>
      <w:tr w:rsidR="00EC78BB" w:rsidRPr="00F80C2B" w14:paraId="783D60E9" w14:textId="77777777" w:rsidTr="00D51F82">
        <w:tc>
          <w:tcPr>
            <w:tcW w:w="1564" w:type="dxa"/>
          </w:tcPr>
          <w:p w14:paraId="1E7AE8C3" w14:textId="481ADBE0" w:rsidR="00EC78BB" w:rsidRPr="00EC78BB" w:rsidRDefault="00EC78BB" w:rsidP="00EC78BB">
            <w:pPr>
              <w:pStyle w:val="MDPI21heading1"/>
              <w:spacing w:before="0" w:after="0"/>
              <w:ind w:hanging="2608"/>
              <w:rPr>
                <w:b w:val="0"/>
                <w:color w:val="auto"/>
                <w:sz w:val="18"/>
                <w:szCs w:val="18"/>
                <w:lang w:val="en-GB" w:eastAsia="en-US"/>
              </w:rPr>
            </w:pPr>
            <w:r w:rsidRPr="00EC78BB">
              <w:rPr>
                <w:b w:val="0"/>
                <w:color w:val="auto"/>
                <w:sz w:val="18"/>
                <w:szCs w:val="18"/>
                <w:lang w:val="en-GB" w:eastAsia="en-US"/>
              </w:rPr>
              <w:t>LCOE</w:t>
            </w:r>
          </w:p>
        </w:tc>
        <w:tc>
          <w:tcPr>
            <w:tcW w:w="6379" w:type="dxa"/>
          </w:tcPr>
          <w:p w14:paraId="6C404253" w14:textId="3FFC8C78" w:rsidR="00EC78BB" w:rsidRPr="00EC78BB" w:rsidRDefault="00EC78BB" w:rsidP="00EC78BB">
            <w:pPr>
              <w:pStyle w:val="MDPI21heading1"/>
              <w:spacing w:before="0" w:after="0"/>
              <w:ind w:left="2960" w:hanging="3073"/>
              <w:rPr>
                <w:b w:val="0"/>
                <w:color w:val="auto"/>
                <w:sz w:val="18"/>
                <w:szCs w:val="18"/>
                <w:lang w:eastAsia="en-US"/>
              </w:rPr>
            </w:pPr>
            <w:r>
              <w:rPr>
                <w:rFonts w:cs="Segoe UI"/>
                <w:b w:val="0"/>
                <w:color w:val="auto"/>
                <w:sz w:val="18"/>
                <w:szCs w:val="18"/>
              </w:rPr>
              <w:t>L</w:t>
            </w:r>
            <w:r w:rsidRPr="00EC78BB">
              <w:rPr>
                <w:rFonts w:cs="Segoe UI"/>
                <w:b w:val="0"/>
                <w:color w:val="auto"/>
                <w:sz w:val="18"/>
                <w:szCs w:val="18"/>
              </w:rPr>
              <w:t xml:space="preserve">evelized costs of energy </w:t>
            </w:r>
          </w:p>
        </w:tc>
      </w:tr>
      <w:tr w:rsidR="00EC78BB" w:rsidRPr="00F80C2B" w14:paraId="1215B42B" w14:textId="77777777" w:rsidTr="00D51F82">
        <w:tc>
          <w:tcPr>
            <w:tcW w:w="1564" w:type="dxa"/>
          </w:tcPr>
          <w:p w14:paraId="28159255" w14:textId="35AECA26" w:rsidR="00EC78BB" w:rsidRPr="00EC78BB" w:rsidRDefault="00EC78BB" w:rsidP="00EC78BB">
            <w:pPr>
              <w:pStyle w:val="MDPI21heading1"/>
              <w:spacing w:before="0" w:after="0"/>
              <w:ind w:hanging="2608"/>
              <w:rPr>
                <w:b w:val="0"/>
                <w:color w:val="auto"/>
                <w:sz w:val="18"/>
                <w:szCs w:val="18"/>
                <w:lang w:val="en-GB" w:eastAsia="en-US"/>
              </w:rPr>
            </w:pPr>
            <w:r w:rsidRPr="00EC78BB">
              <w:rPr>
                <w:b w:val="0"/>
                <w:color w:val="auto"/>
                <w:sz w:val="18"/>
                <w:szCs w:val="18"/>
                <w:lang w:val="en-GB" w:eastAsia="en-US"/>
              </w:rPr>
              <w:t>mFRR</w:t>
            </w:r>
          </w:p>
        </w:tc>
        <w:tc>
          <w:tcPr>
            <w:tcW w:w="6379" w:type="dxa"/>
          </w:tcPr>
          <w:p w14:paraId="5E9B97A6" w14:textId="41FCFD46" w:rsidR="00EC78BB" w:rsidRPr="00EC78BB" w:rsidRDefault="00EC78BB" w:rsidP="00EC78BB">
            <w:pPr>
              <w:pStyle w:val="MDPI21heading1"/>
              <w:spacing w:before="0" w:after="0"/>
              <w:ind w:left="2960" w:hanging="3073"/>
              <w:rPr>
                <w:b w:val="0"/>
                <w:color w:val="auto"/>
                <w:sz w:val="18"/>
                <w:szCs w:val="18"/>
                <w:lang w:val="en-GB" w:eastAsia="en-US"/>
              </w:rPr>
            </w:pPr>
            <w:r w:rsidRPr="00EC78BB">
              <w:rPr>
                <w:b w:val="0"/>
                <w:color w:val="auto"/>
                <w:sz w:val="18"/>
                <w:szCs w:val="18"/>
                <w:lang w:eastAsia="en-US"/>
              </w:rPr>
              <w:t>manually-activated frequency restoration reserve</w:t>
            </w:r>
          </w:p>
        </w:tc>
      </w:tr>
      <w:tr w:rsidR="00EC78BB" w:rsidRPr="00F80C2B" w14:paraId="0CC9E600" w14:textId="77777777" w:rsidTr="00D51F82">
        <w:tc>
          <w:tcPr>
            <w:tcW w:w="1564" w:type="dxa"/>
          </w:tcPr>
          <w:p w14:paraId="6E382E69" w14:textId="78881296" w:rsidR="00EC78BB" w:rsidRPr="00EC78BB" w:rsidRDefault="00EC78BB" w:rsidP="00EC78BB">
            <w:pPr>
              <w:pStyle w:val="MDPI21heading1"/>
              <w:spacing w:before="0" w:after="0"/>
              <w:ind w:hanging="2608"/>
              <w:rPr>
                <w:b w:val="0"/>
                <w:color w:val="auto"/>
                <w:sz w:val="18"/>
                <w:szCs w:val="18"/>
                <w:lang w:val="en-GB" w:eastAsia="en-US"/>
              </w:rPr>
            </w:pPr>
            <w:r w:rsidRPr="00EC78BB">
              <w:rPr>
                <w:b w:val="0"/>
                <w:color w:val="auto"/>
                <w:sz w:val="18"/>
                <w:szCs w:val="18"/>
                <w:lang w:val="en-GB" w:eastAsia="en-US"/>
              </w:rPr>
              <w:t>MIBEL</w:t>
            </w:r>
          </w:p>
        </w:tc>
        <w:tc>
          <w:tcPr>
            <w:tcW w:w="6379" w:type="dxa"/>
          </w:tcPr>
          <w:p w14:paraId="7C5966CE" w14:textId="52BA5024" w:rsidR="00EC78BB" w:rsidRPr="00EC78BB" w:rsidRDefault="00EC78BB" w:rsidP="00EC78BB">
            <w:pPr>
              <w:pStyle w:val="MDPI21heading1"/>
              <w:spacing w:before="0" w:after="0"/>
              <w:ind w:left="2960" w:hanging="3073"/>
              <w:rPr>
                <w:b w:val="0"/>
                <w:color w:val="auto"/>
                <w:sz w:val="18"/>
                <w:szCs w:val="18"/>
                <w:lang w:val="en-GB" w:eastAsia="en-US"/>
              </w:rPr>
            </w:pPr>
            <w:r w:rsidRPr="00EC78BB">
              <w:rPr>
                <w:b w:val="0"/>
                <w:color w:val="auto"/>
                <w:sz w:val="18"/>
                <w:szCs w:val="18"/>
                <w:lang w:val="en-GB" w:eastAsia="en-US"/>
              </w:rPr>
              <w:t>Iberian market of electricity</w:t>
            </w:r>
          </w:p>
        </w:tc>
      </w:tr>
      <w:tr w:rsidR="00EC78BB" w:rsidRPr="00F80C2B" w14:paraId="0FA7CFB5" w14:textId="77777777" w:rsidTr="00EC78BB">
        <w:tc>
          <w:tcPr>
            <w:tcW w:w="1564" w:type="dxa"/>
            <w:shd w:val="clear" w:color="auto" w:fill="auto"/>
          </w:tcPr>
          <w:p w14:paraId="0299FD91" w14:textId="77777777" w:rsidR="00EC78BB" w:rsidRPr="00EC78BB" w:rsidRDefault="00EC78BB" w:rsidP="00EC78BB">
            <w:pPr>
              <w:pStyle w:val="MDPI21heading1"/>
              <w:spacing w:before="0" w:after="0"/>
              <w:ind w:hanging="2608"/>
              <w:jc w:val="left"/>
              <w:rPr>
                <w:b w:val="0"/>
                <w:color w:val="auto"/>
                <w:sz w:val="18"/>
                <w:szCs w:val="18"/>
                <w:lang w:val="en-GB" w:eastAsia="en-US"/>
              </w:rPr>
            </w:pPr>
            <w:r w:rsidRPr="00EC78BB">
              <w:rPr>
                <w:b w:val="0"/>
                <w:color w:val="auto"/>
                <w:sz w:val="18"/>
                <w:szCs w:val="18"/>
                <w:lang w:val="en-GB" w:eastAsia="en-US"/>
              </w:rPr>
              <w:t>PV</w:t>
            </w:r>
          </w:p>
        </w:tc>
        <w:tc>
          <w:tcPr>
            <w:tcW w:w="6379" w:type="dxa"/>
            <w:shd w:val="clear" w:color="auto" w:fill="auto"/>
          </w:tcPr>
          <w:p w14:paraId="68A150DB" w14:textId="77777777" w:rsidR="00EC78BB" w:rsidRPr="00EC78BB" w:rsidRDefault="00EC78BB" w:rsidP="00EC78BB">
            <w:pPr>
              <w:pStyle w:val="MDPI21heading1"/>
              <w:spacing w:before="0" w:after="0"/>
              <w:ind w:left="2960" w:hanging="3073"/>
              <w:jc w:val="left"/>
              <w:rPr>
                <w:b w:val="0"/>
                <w:color w:val="auto"/>
                <w:sz w:val="18"/>
                <w:szCs w:val="18"/>
                <w:lang w:val="en-GB" w:eastAsia="en-US"/>
              </w:rPr>
            </w:pPr>
            <w:r w:rsidRPr="00EC78BB">
              <w:rPr>
                <w:b w:val="0"/>
                <w:color w:val="auto"/>
                <w:sz w:val="18"/>
                <w:szCs w:val="18"/>
                <w:lang w:val="en-GB" w:eastAsia="en-US"/>
              </w:rPr>
              <w:t>Photovoltaic</w:t>
            </w:r>
          </w:p>
        </w:tc>
      </w:tr>
      <w:tr w:rsidR="00EC78BB" w:rsidRPr="00F80C2B" w14:paraId="43A32BB1" w14:textId="77777777" w:rsidTr="00EC78BB">
        <w:tc>
          <w:tcPr>
            <w:tcW w:w="1564" w:type="dxa"/>
            <w:shd w:val="clear" w:color="auto" w:fill="auto"/>
          </w:tcPr>
          <w:p w14:paraId="35DA1BB1" w14:textId="79EE5E10" w:rsidR="00EC78BB" w:rsidRPr="00EC78BB" w:rsidRDefault="00EC78BB" w:rsidP="00EC78BB">
            <w:pPr>
              <w:pStyle w:val="MDPI21heading1"/>
              <w:spacing w:before="0" w:after="0"/>
              <w:ind w:hanging="2608"/>
              <w:rPr>
                <w:b w:val="0"/>
                <w:color w:val="auto"/>
                <w:sz w:val="18"/>
                <w:szCs w:val="18"/>
                <w:lang w:val="en-GB" w:eastAsia="en-US"/>
              </w:rPr>
            </w:pPr>
            <w:r>
              <w:rPr>
                <w:b w:val="0"/>
                <w:color w:val="auto"/>
                <w:sz w:val="18"/>
                <w:szCs w:val="18"/>
                <w:lang w:val="en-GB" w:eastAsia="en-US"/>
              </w:rPr>
              <w:t>RR</w:t>
            </w:r>
          </w:p>
        </w:tc>
        <w:tc>
          <w:tcPr>
            <w:tcW w:w="6379" w:type="dxa"/>
            <w:shd w:val="clear" w:color="auto" w:fill="auto"/>
          </w:tcPr>
          <w:p w14:paraId="0B652E05" w14:textId="15373606" w:rsidR="00EC78BB" w:rsidRPr="00EC78BB" w:rsidRDefault="00EC78BB" w:rsidP="00EC78BB">
            <w:pPr>
              <w:pStyle w:val="MDPI21heading1"/>
              <w:spacing w:before="0" w:after="0"/>
              <w:ind w:left="2960" w:hanging="3073"/>
              <w:rPr>
                <w:b w:val="0"/>
                <w:color w:val="auto"/>
                <w:sz w:val="18"/>
                <w:szCs w:val="18"/>
                <w:lang w:val="en-GB" w:eastAsia="en-US"/>
              </w:rPr>
            </w:pPr>
            <w:r>
              <w:rPr>
                <w:b w:val="0"/>
                <w:color w:val="auto"/>
                <w:sz w:val="18"/>
                <w:szCs w:val="18"/>
                <w:lang w:val="en-GB" w:eastAsia="en-US"/>
              </w:rPr>
              <w:t>Replacement reserves</w:t>
            </w:r>
          </w:p>
        </w:tc>
      </w:tr>
      <w:tr w:rsidR="00EC78BB" w:rsidRPr="00F80C2B" w14:paraId="36F817D4" w14:textId="77777777" w:rsidTr="00EC78BB">
        <w:tc>
          <w:tcPr>
            <w:tcW w:w="1564" w:type="dxa"/>
            <w:shd w:val="clear" w:color="auto" w:fill="auto"/>
          </w:tcPr>
          <w:p w14:paraId="632E11A9" w14:textId="721853A5" w:rsidR="00EC78BB" w:rsidRPr="00EC78BB" w:rsidRDefault="00EC78BB" w:rsidP="00EC78BB">
            <w:pPr>
              <w:pStyle w:val="MDPI21heading1"/>
              <w:spacing w:before="0" w:after="0"/>
              <w:ind w:hanging="2608"/>
              <w:jc w:val="left"/>
              <w:rPr>
                <w:b w:val="0"/>
                <w:color w:val="auto"/>
                <w:sz w:val="18"/>
                <w:szCs w:val="18"/>
                <w:lang w:val="en-GB" w:eastAsia="en-US"/>
              </w:rPr>
            </w:pPr>
            <w:r w:rsidRPr="00EC78BB">
              <w:rPr>
                <w:b w:val="0"/>
                <w:color w:val="auto"/>
                <w:sz w:val="18"/>
                <w:szCs w:val="18"/>
                <w:lang w:val="en-GB" w:eastAsia="en-US"/>
              </w:rPr>
              <w:t>SR</w:t>
            </w:r>
          </w:p>
        </w:tc>
        <w:tc>
          <w:tcPr>
            <w:tcW w:w="6379" w:type="dxa"/>
            <w:shd w:val="clear" w:color="auto" w:fill="auto"/>
          </w:tcPr>
          <w:p w14:paraId="7968725B" w14:textId="6E98B967" w:rsidR="00EC78BB" w:rsidRPr="00EC78BB" w:rsidRDefault="00EC78BB" w:rsidP="00EC78BB">
            <w:pPr>
              <w:pStyle w:val="MDPI21heading1"/>
              <w:spacing w:before="0" w:after="0"/>
              <w:ind w:left="2960" w:hanging="3073"/>
              <w:jc w:val="left"/>
              <w:rPr>
                <w:b w:val="0"/>
                <w:color w:val="auto"/>
                <w:sz w:val="18"/>
                <w:szCs w:val="18"/>
                <w:lang w:val="en-GB" w:eastAsia="en-US"/>
              </w:rPr>
            </w:pPr>
            <w:r w:rsidRPr="00EC78BB">
              <w:rPr>
                <w:b w:val="0"/>
                <w:color w:val="auto"/>
                <w:sz w:val="18"/>
                <w:szCs w:val="18"/>
                <w:lang w:val="en-GB" w:eastAsia="en-US"/>
              </w:rPr>
              <w:t>Secondary reserve</w:t>
            </w:r>
          </w:p>
        </w:tc>
      </w:tr>
      <w:tr w:rsidR="00EC78BB" w:rsidRPr="00F80C2B" w14:paraId="16A30280" w14:textId="77777777" w:rsidTr="00EC78BB">
        <w:tc>
          <w:tcPr>
            <w:tcW w:w="1564" w:type="dxa"/>
            <w:shd w:val="clear" w:color="auto" w:fill="auto"/>
          </w:tcPr>
          <w:p w14:paraId="66B6E2C6" w14:textId="47597CB3" w:rsidR="00EC78BB" w:rsidRPr="00EC78BB" w:rsidRDefault="00EC78BB" w:rsidP="00EC78BB">
            <w:pPr>
              <w:pStyle w:val="MDPI21heading1"/>
              <w:spacing w:before="0" w:after="0"/>
              <w:ind w:hanging="2608"/>
              <w:jc w:val="left"/>
              <w:rPr>
                <w:b w:val="0"/>
                <w:color w:val="auto"/>
                <w:sz w:val="18"/>
                <w:szCs w:val="18"/>
                <w:lang w:val="en-GB" w:eastAsia="en-US"/>
              </w:rPr>
            </w:pPr>
            <w:r w:rsidRPr="00EC78BB">
              <w:rPr>
                <w:b w:val="0"/>
                <w:color w:val="auto"/>
                <w:sz w:val="18"/>
                <w:szCs w:val="18"/>
                <w:lang w:val="en-GB" w:eastAsia="en-US"/>
              </w:rPr>
              <w:t>TR</w:t>
            </w:r>
          </w:p>
        </w:tc>
        <w:tc>
          <w:tcPr>
            <w:tcW w:w="6379" w:type="dxa"/>
            <w:shd w:val="clear" w:color="auto" w:fill="auto"/>
          </w:tcPr>
          <w:p w14:paraId="1126C011" w14:textId="2928F871" w:rsidR="00EC78BB" w:rsidRPr="00EC78BB" w:rsidRDefault="00EC78BB" w:rsidP="00EC78BB">
            <w:pPr>
              <w:pStyle w:val="MDPI21heading1"/>
              <w:spacing w:before="0" w:after="0"/>
              <w:ind w:left="2960" w:hanging="3073"/>
              <w:jc w:val="left"/>
              <w:rPr>
                <w:b w:val="0"/>
                <w:color w:val="auto"/>
                <w:sz w:val="18"/>
                <w:szCs w:val="18"/>
                <w:lang w:val="en-GB" w:eastAsia="en-US"/>
              </w:rPr>
            </w:pPr>
            <w:r w:rsidRPr="00EC78BB">
              <w:rPr>
                <w:b w:val="0"/>
                <w:color w:val="auto"/>
                <w:sz w:val="18"/>
                <w:szCs w:val="18"/>
                <w:lang w:val="en-GB" w:eastAsia="en-US"/>
              </w:rPr>
              <w:t>Tertiary reserve</w:t>
            </w:r>
          </w:p>
        </w:tc>
      </w:tr>
      <w:tr w:rsidR="00EC78BB" w:rsidRPr="00F80C2B" w14:paraId="1002CBAB" w14:textId="77777777" w:rsidTr="00EC78BB">
        <w:tc>
          <w:tcPr>
            <w:tcW w:w="1564" w:type="dxa"/>
            <w:shd w:val="clear" w:color="auto" w:fill="auto"/>
          </w:tcPr>
          <w:p w14:paraId="05DCF42B" w14:textId="02C13EF2" w:rsidR="00EC78BB" w:rsidRPr="00EC78BB" w:rsidRDefault="00EC78BB" w:rsidP="00EC78BB">
            <w:pPr>
              <w:pStyle w:val="MDPI21heading1"/>
              <w:spacing w:before="0" w:after="0"/>
              <w:ind w:hanging="2608"/>
              <w:rPr>
                <w:b w:val="0"/>
                <w:color w:val="auto"/>
                <w:sz w:val="18"/>
                <w:szCs w:val="18"/>
                <w:lang w:val="en-GB" w:eastAsia="en-US"/>
              </w:rPr>
            </w:pPr>
            <w:r w:rsidRPr="00EC78BB">
              <w:rPr>
                <w:b w:val="0"/>
                <w:color w:val="auto"/>
                <w:sz w:val="18"/>
                <w:szCs w:val="18"/>
                <w:lang w:val="en-GB" w:eastAsia="en-US"/>
              </w:rPr>
              <w:t>TSO</w:t>
            </w:r>
          </w:p>
        </w:tc>
        <w:tc>
          <w:tcPr>
            <w:tcW w:w="6379" w:type="dxa"/>
            <w:shd w:val="clear" w:color="auto" w:fill="auto"/>
          </w:tcPr>
          <w:p w14:paraId="088FCEF2" w14:textId="1C35A96A" w:rsidR="00EC78BB" w:rsidRPr="00EC78BB" w:rsidRDefault="00EC78BB" w:rsidP="00EC78BB">
            <w:pPr>
              <w:pStyle w:val="MDPI21heading1"/>
              <w:spacing w:before="0" w:after="0"/>
              <w:ind w:left="2960" w:hanging="3073"/>
              <w:rPr>
                <w:b w:val="0"/>
                <w:color w:val="auto"/>
                <w:sz w:val="18"/>
                <w:szCs w:val="18"/>
                <w:lang w:val="en-GB" w:eastAsia="en-US"/>
              </w:rPr>
            </w:pPr>
            <w:r w:rsidRPr="00EC78BB">
              <w:rPr>
                <w:b w:val="0"/>
                <w:color w:val="auto"/>
                <w:sz w:val="18"/>
                <w:szCs w:val="18"/>
                <w:lang w:val="en-GB" w:eastAsia="en-US"/>
              </w:rPr>
              <w:t>Transmission System Operator</w:t>
            </w:r>
          </w:p>
        </w:tc>
      </w:tr>
      <w:tr w:rsidR="00EC78BB" w:rsidRPr="00F80C2B" w14:paraId="592CF3B4" w14:textId="77777777" w:rsidTr="00EC78BB">
        <w:tc>
          <w:tcPr>
            <w:tcW w:w="1564" w:type="dxa"/>
            <w:shd w:val="clear" w:color="auto" w:fill="auto"/>
          </w:tcPr>
          <w:p w14:paraId="6B80185E" w14:textId="482AB4F9" w:rsidR="00EC78BB" w:rsidRPr="00EC78BB" w:rsidRDefault="00EC78BB" w:rsidP="00EC78BB">
            <w:pPr>
              <w:pStyle w:val="MDPI21heading1"/>
              <w:spacing w:before="0" w:after="0"/>
              <w:ind w:hanging="2608"/>
              <w:jc w:val="left"/>
              <w:rPr>
                <w:b w:val="0"/>
                <w:color w:val="auto"/>
                <w:sz w:val="18"/>
                <w:szCs w:val="18"/>
                <w:lang w:val="en-GB" w:eastAsia="en-US"/>
              </w:rPr>
            </w:pPr>
            <w:r w:rsidRPr="00EC78BB">
              <w:rPr>
                <w:b w:val="0"/>
                <w:color w:val="auto"/>
                <w:sz w:val="18"/>
                <w:szCs w:val="18"/>
                <w:lang w:val="en-GB" w:eastAsia="en-US"/>
              </w:rPr>
              <w:t>vRES</w:t>
            </w:r>
          </w:p>
        </w:tc>
        <w:tc>
          <w:tcPr>
            <w:tcW w:w="6379" w:type="dxa"/>
            <w:shd w:val="clear" w:color="auto" w:fill="auto"/>
          </w:tcPr>
          <w:p w14:paraId="2C33C583" w14:textId="77777777" w:rsidR="00EC78BB" w:rsidRPr="00EC78BB" w:rsidRDefault="00EC78BB" w:rsidP="00EC78BB">
            <w:pPr>
              <w:pStyle w:val="MDPI21heading1"/>
              <w:spacing w:before="0" w:after="0"/>
              <w:ind w:left="2960" w:hanging="3073"/>
              <w:jc w:val="left"/>
              <w:rPr>
                <w:b w:val="0"/>
                <w:color w:val="auto"/>
                <w:sz w:val="18"/>
                <w:szCs w:val="18"/>
                <w:lang w:val="en-GB" w:eastAsia="en-US"/>
              </w:rPr>
            </w:pPr>
            <w:r w:rsidRPr="00EC78BB">
              <w:rPr>
                <w:b w:val="0"/>
                <w:color w:val="auto"/>
                <w:sz w:val="18"/>
                <w:szCs w:val="18"/>
                <w:lang w:val="en-GB" w:eastAsia="en-US"/>
              </w:rPr>
              <w:t>Variable renewable energy sources</w:t>
            </w:r>
          </w:p>
        </w:tc>
      </w:tr>
      <w:tr w:rsidR="00EC78BB" w:rsidRPr="00647E1F" w14:paraId="6C0F06D5" w14:textId="77777777" w:rsidTr="00D51F82">
        <w:tc>
          <w:tcPr>
            <w:tcW w:w="1564" w:type="dxa"/>
          </w:tcPr>
          <w:p w14:paraId="2C8E1450" w14:textId="77777777" w:rsidR="00EC78BB" w:rsidRPr="00EC78BB" w:rsidRDefault="00EC78BB" w:rsidP="00EC78BB">
            <w:pPr>
              <w:pStyle w:val="MDPI21heading1"/>
              <w:spacing w:before="0" w:after="0"/>
              <w:ind w:hanging="2608"/>
              <w:jc w:val="left"/>
              <w:rPr>
                <w:b w:val="0"/>
                <w:color w:val="auto"/>
                <w:sz w:val="18"/>
                <w:szCs w:val="18"/>
                <w:lang w:val="en-GB" w:eastAsia="en-US"/>
              </w:rPr>
            </w:pPr>
            <w:r w:rsidRPr="00EC78BB">
              <w:rPr>
                <w:b w:val="0"/>
                <w:color w:val="auto"/>
                <w:sz w:val="18"/>
                <w:szCs w:val="18"/>
                <w:lang w:val="en-GB" w:eastAsia="en-US"/>
              </w:rPr>
              <w:t>WPP</w:t>
            </w:r>
          </w:p>
        </w:tc>
        <w:tc>
          <w:tcPr>
            <w:tcW w:w="6379" w:type="dxa"/>
          </w:tcPr>
          <w:p w14:paraId="61AE0552" w14:textId="77777777" w:rsidR="00EC78BB" w:rsidRPr="00EC78BB" w:rsidRDefault="00EC78BB" w:rsidP="00EC78BB">
            <w:pPr>
              <w:pStyle w:val="MDPI21heading1"/>
              <w:spacing w:before="0" w:after="0"/>
              <w:ind w:left="2960" w:hanging="3073"/>
              <w:jc w:val="left"/>
              <w:rPr>
                <w:b w:val="0"/>
                <w:color w:val="auto"/>
                <w:sz w:val="18"/>
                <w:szCs w:val="18"/>
                <w:lang w:val="en-GB" w:eastAsia="en-US"/>
              </w:rPr>
            </w:pPr>
            <w:r w:rsidRPr="00EC78BB">
              <w:rPr>
                <w:b w:val="0"/>
                <w:color w:val="auto"/>
                <w:sz w:val="18"/>
                <w:szCs w:val="18"/>
                <w:lang w:val="en-GB" w:eastAsia="en-US"/>
              </w:rPr>
              <w:t>Wind power producer</w:t>
            </w:r>
          </w:p>
        </w:tc>
      </w:tr>
      <w:tr w:rsidR="00EC78BB" w:rsidRPr="00647E1F" w14:paraId="096DA5FC" w14:textId="77777777" w:rsidTr="00D51F82">
        <w:tc>
          <w:tcPr>
            <w:tcW w:w="1564" w:type="dxa"/>
          </w:tcPr>
          <w:p w14:paraId="2469B839" w14:textId="04E7730F" w:rsidR="00EC78BB" w:rsidRPr="005D51A1" w:rsidRDefault="00EC78BB" w:rsidP="00EC78BB">
            <w:pPr>
              <w:pStyle w:val="MDPI21heading1"/>
              <w:spacing w:before="0" w:after="0"/>
              <w:ind w:hanging="2608"/>
              <w:rPr>
                <w:b w:val="0"/>
                <w:color w:val="auto"/>
                <w:sz w:val="18"/>
                <w:szCs w:val="18"/>
                <w:highlight w:val="yellow"/>
                <w:lang w:val="en-GB" w:eastAsia="en-US"/>
              </w:rPr>
            </w:pPr>
            <w:r w:rsidRPr="005D51A1">
              <w:rPr>
                <w:bCs/>
                <w:color w:val="auto"/>
                <w:szCs w:val="18"/>
                <w:lang w:val="en-GB" w:eastAsia="en-US"/>
              </w:rPr>
              <w:t>Indices</w:t>
            </w:r>
          </w:p>
        </w:tc>
        <w:tc>
          <w:tcPr>
            <w:tcW w:w="6379" w:type="dxa"/>
          </w:tcPr>
          <w:p w14:paraId="06CD34C2" w14:textId="77777777" w:rsidR="00EC78BB" w:rsidRPr="005D51A1" w:rsidRDefault="00EC78BB" w:rsidP="00EC78BB">
            <w:pPr>
              <w:pStyle w:val="MDPI21heading1"/>
              <w:spacing w:before="0" w:after="0"/>
              <w:ind w:left="2960" w:hanging="3073"/>
              <w:rPr>
                <w:b w:val="0"/>
                <w:color w:val="auto"/>
                <w:sz w:val="18"/>
                <w:szCs w:val="18"/>
                <w:highlight w:val="yellow"/>
                <w:lang w:val="en-GB" w:eastAsia="en-US"/>
              </w:rPr>
            </w:pPr>
          </w:p>
        </w:tc>
      </w:tr>
      <w:tr w:rsidR="00EC78BB" w:rsidRPr="00647E1F" w14:paraId="0767929F" w14:textId="77777777" w:rsidTr="00D51F82">
        <w:tc>
          <w:tcPr>
            <w:tcW w:w="1564" w:type="dxa"/>
          </w:tcPr>
          <w:p w14:paraId="4E856E2B" w14:textId="48DC43AF" w:rsidR="00EC78BB" w:rsidRPr="005D51A1" w:rsidRDefault="00EC78BB" w:rsidP="00EC78BB">
            <w:pPr>
              <w:pStyle w:val="MDPI21heading1"/>
              <w:spacing w:before="0" w:after="0"/>
              <w:ind w:hanging="2608"/>
              <w:rPr>
                <w:b w:val="0"/>
                <w:color w:val="auto"/>
                <w:sz w:val="18"/>
                <w:szCs w:val="18"/>
                <w:highlight w:val="yellow"/>
                <w:lang w:val="en-GB" w:eastAsia="en-US"/>
              </w:rPr>
            </w:pPr>
            <w:r w:rsidRPr="005D51A1">
              <w:rPr>
                <w:b w:val="0"/>
                <w:color w:val="auto"/>
                <w:sz w:val="18"/>
                <w:szCs w:val="18"/>
                <w:lang w:val="en-GB" w:eastAsia="en-US"/>
              </w:rPr>
              <w:t>j</w:t>
            </w:r>
          </w:p>
        </w:tc>
        <w:tc>
          <w:tcPr>
            <w:tcW w:w="6379" w:type="dxa"/>
          </w:tcPr>
          <w:p w14:paraId="6FE0353F" w14:textId="5C547EB8" w:rsidR="00EC78BB" w:rsidRPr="005D51A1" w:rsidRDefault="00EC78BB" w:rsidP="00EC78BB">
            <w:pPr>
              <w:pStyle w:val="MDPI21heading1"/>
              <w:spacing w:before="0" w:after="0"/>
              <w:ind w:left="2960" w:hanging="3073"/>
              <w:rPr>
                <w:b w:val="0"/>
                <w:color w:val="auto"/>
                <w:sz w:val="18"/>
                <w:szCs w:val="18"/>
                <w:highlight w:val="yellow"/>
                <w:lang w:val="en-GB" w:eastAsia="en-US"/>
              </w:rPr>
            </w:pPr>
            <w:r w:rsidRPr="005D51A1">
              <w:rPr>
                <w:b w:val="0"/>
                <w:color w:val="auto"/>
                <w:sz w:val="18"/>
                <w:szCs w:val="18"/>
                <w:lang w:val="en-GB" w:eastAsia="en-US"/>
              </w:rPr>
              <w:t>Probabilistic forecasts quantiles for each hour</w:t>
            </w:r>
          </w:p>
        </w:tc>
      </w:tr>
      <w:tr w:rsidR="00EC78BB" w:rsidRPr="00647E1F" w14:paraId="605D82C7" w14:textId="77777777" w:rsidTr="00D51F82">
        <w:tc>
          <w:tcPr>
            <w:tcW w:w="1564" w:type="dxa"/>
          </w:tcPr>
          <w:p w14:paraId="2B70A46C" w14:textId="0AAC539D" w:rsidR="00EC78BB" w:rsidRPr="005D51A1" w:rsidRDefault="00EC78BB" w:rsidP="00EC78BB">
            <w:pPr>
              <w:pStyle w:val="MDPI21heading1"/>
              <w:spacing w:before="0" w:after="0"/>
              <w:ind w:hanging="2608"/>
              <w:rPr>
                <w:b w:val="0"/>
                <w:color w:val="auto"/>
                <w:sz w:val="18"/>
                <w:szCs w:val="18"/>
                <w:highlight w:val="yellow"/>
                <w:lang w:val="en-GB" w:eastAsia="en-US"/>
              </w:rPr>
            </w:pPr>
            <m:oMathPara>
              <m:oMathParaPr>
                <m:jc m:val="left"/>
              </m:oMathParaPr>
              <m:oMath>
                <m:r>
                  <m:rPr>
                    <m:sty m:val="bi"/>
                  </m:rPr>
                  <w:rPr>
                    <w:rFonts w:ascii="Cambria Math" w:hAnsi="Cambria Math"/>
                    <w:sz w:val="18"/>
                    <w:szCs w:val="18"/>
                  </w:rPr>
                  <m:t>k</m:t>
                </m:r>
              </m:oMath>
            </m:oMathPara>
          </w:p>
        </w:tc>
        <w:tc>
          <w:tcPr>
            <w:tcW w:w="6379" w:type="dxa"/>
          </w:tcPr>
          <w:p w14:paraId="1B6081BA" w14:textId="05EA8441" w:rsidR="00EC78BB" w:rsidRPr="005D51A1" w:rsidRDefault="00EC78BB" w:rsidP="00EC78BB">
            <w:pPr>
              <w:pStyle w:val="MDPI21heading1"/>
              <w:spacing w:before="0" w:after="0"/>
              <w:ind w:left="2960" w:hanging="3073"/>
              <w:rPr>
                <w:b w:val="0"/>
                <w:color w:val="auto"/>
                <w:sz w:val="18"/>
                <w:szCs w:val="18"/>
                <w:highlight w:val="yellow"/>
                <w:lang w:val="en-GB" w:eastAsia="en-US"/>
              </w:rPr>
            </w:pPr>
            <w:r>
              <w:rPr>
                <w:b w:val="0"/>
                <w:color w:val="auto"/>
                <w:sz w:val="18"/>
                <w:szCs w:val="18"/>
                <w:lang w:val="en-GB" w:eastAsia="en-US"/>
              </w:rPr>
              <w:t>Quantile</w:t>
            </w:r>
          </w:p>
        </w:tc>
      </w:tr>
      <w:tr w:rsidR="00EC78BB" w:rsidRPr="00647E1F" w14:paraId="0BEE86C1" w14:textId="77777777" w:rsidTr="00D51F82">
        <w:tc>
          <w:tcPr>
            <w:tcW w:w="1564" w:type="dxa"/>
          </w:tcPr>
          <w:p w14:paraId="7C4682B5" w14:textId="2B3A5A5A" w:rsidR="00EC78BB" w:rsidRDefault="00EC78BB" w:rsidP="00EC78BB">
            <w:pPr>
              <w:pStyle w:val="MDPI21heading1"/>
              <w:spacing w:before="0" w:after="0"/>
              <w:ind w:hanging="2608"/>
              <w:rPr>
                <w:rFonts w:eastAsia="SimSun"/>
                <w:b w:val="0"/>
                <w:sz w:val="18"/>
                <w:szCs w:val="18"/>
              </w:rPr>
            </w:pPr>
            <w:r>
              <w:rPr>
                <w:rFonts w:eastAsia="SimSun"/>
                <w:b w:val="0"/>
                <w:sz w:val="18"/>
                <w:szCs w:val="18"/>
              </w:rPr>
              <w:t>K</w:t>
            </w:r>
          </w:p>
        </w:tc>
        <w:tc>
          <w:tcPr>
            <w:tcW w:w="6379" w:type="dxa"/>
          </w:tcPr>
          <w:p w14:paraId="381154C9" w14:textId="47BADD4E" w:rsidR="00EC78BB" w:rsidRDefault="00EC78BB" w:rsidP="00EC78BB">
            <w:pPr>
              <w:pStyle w:val="MDPI21heading1"/>
              <w:spacing w:before="0" w:after="0"/>
              <w:ind w:left="2960" w:hanging="3073"/>
              <w:rPr>
                <w:b w:val="0"/>
                <w:color w:val="auto"/>
                <w:sz w:val="18"/>
                <w:szCs w:val="18"/>
                <w:lang w:val="en-GB" w:eastAsia="en-US"/>
              </w:rPr>
            </w:pPr>
            <w:r>
              <w:rPr>
                <w:b w:val="0"/>
                <w:color w:val="auto"/>
                <w:sz w:val="18"/>
                <w:szCs w:val="18"/>
                <w:lang w:val="en-GB" w:eastAsia="en-US"/>
              </w:rPr>
              <w:t>Number of quantiles</w:t>
            </w:r>
          </w:p>
        </w:tc>
      </w:tr>
      <w:tr w:rsidR="00EC78BB" w:rsidRPr="00647E1F" w14:paraId="59F41E9A" w14:textId="77777777" w:rsidTr="00D51F82">
        <w:tc>
          <w:tcPr>
            <w:tcW w:w="1564" w:type="dxa"/>
          </w:tcPr>
          <w:p w14:paraId="7E6EEDB2" w14:textId="5D0287F2" w:rsidR="00EC78BB" w:rsidRPr="005D51A1" w:rsidRDefault="00EC78BB" w:rsidP="00EC78BB">
            <w:pPr>
              <w:pStyle w:val="MDPI21heading1"/>
              <w:spacing w:before="0" w:after="0"/>
              <w:ind w:hanging="2608"/>
              <w:rPr>
                <w:b w:val="0"/>
                <w:color w:val="auto"/>
                <w:sz w:val="18"/>
                <w:szCs w:val="18"/>
                <w:highlight w:val="yellow"/>
                <w:lang w:val="en-GB" w:eastAsia="en-US"/>
              </w:rPr>
            </w:pPr>
            <m:oMathPara>
              <m:oMathParaPr>
                <m:jc m:val="left"/>
              </m:oMathParaPr>
              <m:oMath>
                <m:r>
                  <m:rPr>
                    <m:sty m:val="bi"/>
                  </m:rPr>
                  <w:rPr>
                    <w:rFonts w:ascii="Cambria Math" w:hAnsi="Cambria Math"/>
                    <w:sz w:val="18"/>
                    <w:szCs w:val="18"/>
                    <w:lang w:val="en-GB"/>
                  </w:rPr>
                  <m:t>t</m:t>
                </m:r>
              </m:oMath>
            </m:oMathPara>
          </w:p>
        </w:tc>
        <w:tc>
          <w:tcPr>
            <w:tcW w:w="6379" w:type="dxa"/>
          </w:tcPr>
          <w:p w14:paraId="00A1CAF7" w14:textId="643D7BB9" w:rsidR="00EC78BB" w:rsidRPr="005D51A1" w:rsidRDefault="00EC78BB" w:rsidP="00EC78BB">
            <w:pPr>
              <w:pStyle w:val="MDPI21heading1"/>
              <w:spacing w:before="0" w:after="0"/>
              <w:ind w:left="2960" w:hanging="3073"/>
              <w:rPr>
                <w:b w:val="0"/>
                <w:color w:val="auto"/>
                <w:sz w:val="18"/>
                <w:szCs w:val="18"/>
                <w:highlight w:val="yellow"/>
                <w:lang w:val="en-GB" w:eastAsia="en-US"/>
              </w:rPr>
            </w:pPr>
            <w:r w:rsidRPr="005D51A1">
              <w:rPr>
                <w:b w:val="0"/>
                <w:color w:val="auto"/>
                <w:sz w:val="18"/>
                <w:szCs w:val="18"/>
                <w:lang w:val="en-GB" w:eastAsia="en-US"/>
              </w:rPr>
              <w:t>Hours</w:t>
            </w:r>
          </w:p>
        </w:tc>
      </w:tr>
      <w:tr w:rsidR="00EC78BB" w:rsidRPr="00647E1F" w14:paraId="7D807C72" w14:textId="77777777" w:rsidTr="00D51F82">
        <w:tc>
          <w:tcPr>
            <w:tcW w:w="1564" w:type="dxa"/>
          </w:tcPr>
          <w:p w14:paraId="0546CE9F" w14:textId="4FACA496" w:rsidR="00EC78BB" w:rsidRPr="005D51A1" w:rsidRDefault="00EC78BB" w:rsidP="00EC78BB">
            <w:pPr>
              <w:pStyle w:val="MDPI21heading1"/>
              <w:spacing w:before="0" w:after="0"/>
              <w:ind w:hanging="2608"/>
              <w:rPr>
                <w:b w:val="0"/>
                <w:color w:val="auto"/>
                <w:sz w:val="18"/>
                <w:szCs w:val="18"/>
                <w:highlight w:val="yellow"/>
                <w:lang w:val="en-GB" w:eastAsia="en-US"/>
              </w:rPr>
            </w:pPr>
            <w:r w:rsidRPr="005D51A1">
              <w:rPr>
                <w:bCs/>
                <w:color w:val="auto"/>
                <w:szCs w:val="18"/>
                <w:lang w:val="en-GB" w:eastAsia="en-US"/>
              </w:rPr>
              <w:t>Parameters</w:t>
            </w:r>
          </w:p>
        </w:tc>
        <w:tc>
          <w:tcPr>
            <w:tcW w:w="6379" w:type="dxa"/>
          </w:tcPr>
          <w:p w14:paraId="08714C15" w14:textId="77777777" w:rsidR="00EC78BB" w:rsidRPr="005D51A1" w:rsidRDefault="00EC78BB" w:rsidP="00EC78BB">
            <w:pPr>
              <w:pStyle w:val="MDPI21heading1"/>
              <w:spacing w:before="0" w:after="0"/>
              <w:ind w:left="2960" w:hanging="3073"/>
              <w:rPr>
                <w:b w:val="0"/>
                <w:color w:val="auto"/>
                <w:sz w:val="18"/>
                <w:szCs w:val="18"/>
                <w:highlight w:val="yellow"/>
                <w:lang w:val="en-GB" w:eastAsia="en-US"/>
              </w:rPr>
            </w:pPr>
          </w:p>
        </w:tc>
      </w:tr>
      <w:tr w:rsidR="00EC78BB" w:rsidRPr="00647E1F" w14:paraId="31A45100" w14:textId="77777777" w:rsidTr="005D51A1">
        <w:tc>
          <w:tcPr>
            <w:tcW w:w="1564" w:type="dxa"/>
            <w:vAlign w:val="center"/>
          </w:tcPr>
          <w:p w14:paraId="453311CE" w14:textId="5E5998A9" w:rsidR="00EC78BB" w:rsidRPr="005D51A1" w:rsidRDefault="00000000" w:rsidP="00EC78BB">
            <w:pPr>
              <w:pStyle w:val="MDPI21heading1"/>
              <w:spacing w:before="0" w:after="0"/>
              <w:ind w:hanging="2608"/>
              <w:jc w:val="left"/>
              <w:rPr>
                <w:b w:val="0"/>
                <w:color w:val="auto"/>
                <w:sz w:val="18"/>
                <w:szCs w:val="18"/>
                <w:highlight w:val="yellow"/>
                <w:lang w:val="en-GB" w:eastAsia="en-US"/>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P</m:t>
                    </m:r>
                  </m:e>
                  <m:sub>
                    <m:r>
                      <m:rPr>
                        <m:sty m:val="bi"/>
                      </m:rPr>
                      <w:rPr>
                        <w:rFonts w:ascii="Cambria Math" w:hAnsi="Cambria Math"/>
                        <w:sz w:val="18"/>
                        <w:szCs w:val="18"/>
                      </w:rPr>
                      <m:t>t</m:t>
                    </m:r>
                  </m:sub>
                  <m:sup>
                    <m:r>
                      <m:rPr>
                        <m:sty m:val="bi"/>
                      </m:rPr>
                      <w:rPr>
                        <w:rFonts w:ascii="Cambria Math" w:hAnsi="Cambria Math"/>
                        <w:sz w:val="18"/>
                        <w:szCs w:val="18"/>
                      </w:rPr>
                      <m:t>obs</m:t>
                    </m:r>
                  </m:sup>
                </m:sSubSup>
              </m:oMath>
            </m:oMathPara>
          </w:p>
        </w:tc>
        <w:tc>
          <w:tcPr>
            <w:tcW w:w="6379" w:type="dxa"/>
            <w:vAlign w:val="center"/>
          </w:tcPr>
          <w:p w14:paraId="533EF75B" w14:textId="4A05A4DF" w:rsidR="00EC78BB" w:rsidRPr="005D51A1" w:rsidRDefault="00EC78BB" w:rsidP="00EC78BB">
            <w:pPr>
              <w:pStyle w:val="MDPI21heading1"/>
              <w:spacing w:before="0" w:after="0"/>
              <w:ind w:left="2960" w:hanging="3073"/>
              <w:jc w:val="left"/>
              <w:rPr>
                <w:b w:val="0"/>
                <w:color w:val="auto"/>
                <w:sz w:val="18"/>
                <w:szCs w:val="18"/>
                <w:highlight w:val="yellow"/>
                <w:lang w:val="en-GB" w:eastAsia="en-US"/>
              </w:rPr>
            </w:pPr>
            <w:r w:rsidRPr="005D51A1">
              <w:rPr>
                <w:rFonts w:eastAsiaTheme="minorEastAsia"/>
                <w:b w:val="0"/>
                <w:sz w:val="18"/>
                <w:szCs w:val="18"/>
              </w:rPr>
              <w:t>Observed power.</w:t>
            </w:r>
          </w:p>
        </w:tc>
      </w:tr>
      <w:tr w:rsidR="00EC78BB" w:rsidRPr="00647E1F" w14:paraId="457CF705" w14:textId="77777777" w:rsidTr="005D51A1">
        <w:tc>
          <w:tcPr>
            <w:tcW w:w="1564" w:type="dxa"/>
            <w:vAlign w:val="center"/>
          </w:tcPr>
          <w:p w14:paraId="07C438E8" w14:textId="6932908F" w:rsidR="00EC78BB" w:rsidRPr="005D51A1" w:rsidRDefault="00000000" w:rsidP="00EC78BB">
            <w:pPr>
              <w:pStyle w:val="MDPI21heading1"/>
              <w:spacing w:before="0" w:after="0"/>
              <w:ind w:hanging="2608"/>
              <w:jc w:val="left"/>
              <w:rPr>
                <w:b w:val="0"/>
                <w:color w:val="auto"/>
                <w:sz w:val="18"/>
                <w:szCs w:val="18"/>
                <w:highlight w:val="yellow"/>
                <w:lang w:val="en-GB" w:eastAsia="en-US"/>
              </w:rPr>
            </w:pPr>
            <m:oMathPara>
              <m:oMathParaPr>
                <m:jc m:val="left"/>
              </m:oMathParaPr>
              <m:oMath>
                <m:sSub>
                  <m:sSubPr>
                    <m:ctrlPr>
                      <w:rPr>
                        <w:rFonts w:ascii="Cambria Math" w:hAnsi="Cambria Math" w:cs="Arial"/>
                        <w:b w:val="0"/>
                        <w:i/>
                        <w:kern w:val="2"/>
                        <w:sz w:val="18"/>
                        <w:szCs w:val="18"/>
                        <w:vertAlign w:val="subscript"/>
                      </w:rPr>
                    </m:ctrlPr>
                  </m:sSubPr>
                  <m:e>
                    <m:r>
                      <m:rPr>
                        <m:sty m:val="bi"/>
                      </m:rPr>
                      <w:rPr>
                        <w:rFonts w:ascii="Cambria Math" w:hAnsi="Cambria Math"/>
                        <w:sz w:val="18"/>
                        <w:szCs w:val="18"/>
                        <w:vertAlign w:val="subscript"/>
                      </w:rPr>
                      <m:t>Q</m:t>
                    </m:r>
                  </m:e>
                  <m:sub>
                    <m:r>
                      <m:rPr>
                        <m:sty m:val="bi"/>
                      </m:rPr>
                      <w:rPr>
                        <w:rFonts w:ascii="Cambria Math" w:hAnsi="Cambria Math"/>
                        <w:sz w:val="18"/>
                        <w:szCs w:val="18"/>
                        <w:vertAlign w:val="subscript"/>
                      </w:rPr>
                      <m:t>j,t</m:t>
                    </m:r>
                  </m:sub>
                </m:sSub>
              </m:oMath>
            </m:oMathPara>
          </w:p>
        </w:tc>
        <w:tc>
          <w:tcPr>
            <w:tcW w:w="6379" w:type="dxa"/>
            <w:vAlign w:val="center"/>
          </w:tcPr>
          <w:p w14:paraId="0DC7CFD6" w14:textId="28439416" w:rsidR="00EC78BB" w:rsidRPr="005D51A1" w:rsidRDefault="00EC78BB" w:rsidP="00EC78BB">
            <w:pPr>
              <w:pStyle w:val="MDPI21heading1"/>
              <w:spacing w:before="0" w:after="0"/>
              <w:ind w:left="2960" w:hanging="3073"/>
              <w:jc w:val="left"/>
              <w:rPr>
                <w:b w:val="0"/>
                <w:color w:val="auto"/>
                <w:sz w:val="18"/>
                <w:szCs w:val="18"/>
                <w:highlight w:val="yellow"/>
                <w:lang w:val="en-GB" w:eastAsia="en-US"/>
              </w:rPr>
            </w:pPr>
            <w:r w:rsidRPr="005D51A1">
              <w:rPr>
                <w:rFonts w:eastAsiaTheme="minorEastAsia"/>
                <w:b w:val="0"/>
                <w:sz w:val="18"/>
                <w:szCs w:val="18"/>
              </w:rPr>
              <w:t>Probabilistic forecast quantiles</w:t>
            </w:r>
          </w:p>
        </w:tc>
      </w:tr>
      <w:tr w:rsidR="00EC78BB" w:rsidRPr="00647E1F" w14:paraId="54ECD173" w14:textId="77777777" w:rsidTr="005D51A1">
        <w:tc>
          <w:tcPr>
            <w:tcW w:w="1564" w:type="dxa"/>
            <w:vAlign w:val="center"/>
          </w:tcPr>
          <w:p w14:paraId="661D5015" w14:textId="32458D1E" w:rsidR="00EC78BB" w:rsidRPr="005D51A1" w:rsidRDefault="00000000" w:rsidP="00EC78BB">
            <w:pPr>
              <w:pStyle w:val="MDPI21heading1"/>
              <w:spacing w:before="0" w:after="0"/>
              <w:ind w:hanging="2608"/>
              <w:jc w:val="left"/>
              <w:rPr>
                <w:b w:val="0"/>
                <w:color w:val="auto"/>
                <w:sz w:val="18"/>
                <w:szCs w:val="18"/>
                <w:highlight w:val="yellow"/>
                <w:lang w:val="en-GB" w:eastAsia="en-US"/>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P</m:t>
                    </m:r>
                  </m:e>
                  <m:sub>
                    <m:r>
                      <m:rPr>
                        <m:sty m:val="bi"/>
                      </m:rPr>
                      <w:rPr>
                        <w:rFonts w:ascii="Cambria Math" w:hAnsi="Cambria Math"/>
                        <w:sz w:val="18"/>
                        <w:szCs w:val="18"/>
                      </w:rPr>
                      <m:t>t</m:t>
                    </m:r>
                  </m:sub>
                  <m:sup>
                    <m:r>
                      <m:rPr>
                        <m:sty m:val="bi"/>
                      </m:rPr>
                      <w:rPr>
                        <w:rFonts w:ascii="Cambria Math" w:hAnsi="Cambria Math"/>
                        <w:sz w:val="18"/>
                        <w:szCs w:val="18"/>
                      </w:rPr>
                      <m:t>h</m:t>
                    </m:r>
                  </m:sup>
                </m:sSubSup>
              </m:oMath>
            </m:oMathPara>
          </w:p>
        </w:tc>
        <w:tc>
          <w:tcPr>
            <w:tcW w:w="6379" w:type="dxa"/>
            <w:vAlign w:val="center"/>
          </w:tcPr>
          <w:p w14:paraId="0D962A98" w14:textId="3D27DE4A" w:rsidR="00EC78BB" w:rsidRPr="005D51A1" w:rsidRDefault="00EC78BB" w:rsidP="00EC78BB">
            <w:pPr>
              <w:pStyle w:val="MDPI21heading1"/>
              <w:spacing w:before="0" w:after="0"/>
              <w:ind w:left="2960" w:hanging="3073"/>
              <w:jc w:val="left"/>
              <w:rPr>
                <w:b w:val="0"/>
                <w:color w:val="auto"/>
                <w:sz w:val="18"/>
                <w:szCs w:val="18"/>
                <w:highlight w:val="yellow"/>
                <w:lang w:val="en-GB" w:eastAsia="en-US"/>
              </w:rPr>
            </w:pPr>
            <w:r w:rsidRPr="005D51A1">
              <w:rPr>
                <w:b w:val="0"/>
                <w:sz w:val="18"/>
                <w:szCs w:val="18"/>
              </w:rPr>
              <w:t>Deterministic forecast hours before delivery in hour t</w:t>
            </w:r>
          </w:p>
        </w:tc>
      </w:tr>
      <w:tr w:rsidR="00EC78BB" w:rsidRPr="00647E1F" w14:paraId="6280C33E" w14:textId="77777777" w:rsidTr="005D51A1">
        <w:tc>
          <w:tcPr>
            <w:tcW w:w="1564" w:type="dxa"/>
            <w:vAlign w:val="center"/>
          </w:tcPr>
          <w:p w14:paraId="1C2C0684" w14:textId="1A12BEF1" w:rsidR="00EC78BB" w:rsidRPr="005D51A1" w:rsidRDefault="00000000" w:rsidP="00EC78BB">
            <w:pPr>
              <w:pStyle w:val="MDPI21heading1"/>
              <w:spacing w:before="0" w:after="0"/>
              <w:ind w:hanging="2608"/>
              <w:jc w:val="left"/>
              <w:rPr>
                <w:b w:val="0"/>
                <w:color w:val="auto"/>
                <w:sz w:val="18"/>
                <w:szCs w:val="18"/>
                <w:highlight w:val="yellow"/>
                <w:lang w:val="en-GB" w:eastAsia="en-US"/>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P</m:t>
                    </m:r>
                  </m:e>
                  <m:sub>
                    <m:r>
                      <m:rPr>
                        <m:sty m:val="bi"/>
                      </m:rPr>
                      <w:rPr>
                        <w:rFonts w:ascii="Cambria Math" w:hAnsi="Cambria Math"/>
                        <w:sz w:val="18"/>
                        <w:szCs w:val="18"/>
                      </w:rPr>
                      <m:t>t</m:t>
                    </m:r>
                  </m:sub>
                  <m:sup>
                    <m:r>
                      <m:rPr>
                        <m:sty m:val="bi"/>
                      </m:rPr>
                      <w:rPr>
                        <w:rFonts w:ascii="Cambria Math" w:hAnsi="Cambria Math"/>
                        <w:sz w:val="18"/>
                        <w:szCs w:val="18"/>
                      </w:rPr>
                      <m:t>15</m:t>
                    </m:r>
                    <m:r>
                      <m:rPr>
                        <m:sty m:val="bi"/>
                      </m:rPr>
                      <w:rPr>
                        <w:rFonts w:ascii="Cambria Math" w:hAnsi="Cambria Math"/>
                        <w:sz w:val="18"/>
                        <w:szCs w:val="18"/>
                      </w:rPr>
                      <m:t>min</m:t>
                    </m:r>
                  </m:sup>
                </m:sSubSup>
              </m:oMath>
            </m:oMathPara>
          </w:p>
        </w:tc>
        <w:tc>
          <w:tcPr>
            <w:tcW w:w="6379" w:type="dxa"/>
            <w:vAlign w:val="center"/>
          </w:tcPr>
          <w:p w14:paraId="6002B258" w14:textId="7FEEB1E7" w:rsidR="00EC78BB" w:rsidRPr="005D51A1" w:rsidRDefault="00EC78BB" w:rsidP="00EC78BB">
            <w:pPr>
              <w:pStyle w:val="MDPI21heading1"/>
              <w:spacing w:before="0" w:after="0"/>
              <w:ind w:left="2960" w:hanging="3073"/>
              <w:jc w:val="left"/>
              <w:rPr>
                <w:b w:val="0"/>
                <w:color w:val="auto"/>
                <w:sz w:val="18"/>
                <w:szCs w:val="18"/>
                <w:highlight w:val="yellow"/>
                <w:lang w:val="en-GB" w:eastAsia="en-US"/>
              </w:rPr>
            </w:pPr>
            <w:r w:rsidRPr="005D51A1">
              <w:rPr>
                <w:b w:val="0"/>
                <w:sz w:val="18"/>
                <w:szCs w:val="18"/>
              </w:rPr>
              <w:t>Deterministic forecast 15 min before delivery in hour t</w:t>
            </w:r>
          </w:p>
        </w:tc>
      </w:tr>
      <w:tr w:rsidR="00EC78BB" w:rsidRPr="00647E1F" w14:paraId="5E30006A" w14:textId="77777777" w:rsidTr="005D51A1">
        <w:tc>
          <w:tcPr>
            <w:tcW w:w="1564" w:type="dxa"/>
            <w:vAlign w:val="center"/>
          </w:tcPr>
          <w:p w14:paraId="00CF033C" w14:textId="04874719" w:rsidR="00EC78BB" w:rsidRPr="005D51A1" w:rsidRDefault="00000000" w:rsidP="00EC78BB">
            <w:pPr>
              <w:pStyle w:val="MDPI21heading1"/>
              <w:spacing w:before="0" w:after="0"/>
              <w:ind w:hanging="2608"/>
              <w:jc w:val="left"/>
              <w:rPr>
                <w:b w:val="0"/>
                <w:color w:val="auto"/>
                <w:sz w:val="18"/>
                <w:szCs w:val="18"/>
                <w:highlight w:val="yellow"/>
                <w:lang w:val="en-GB" w:eastAsia="en-US"/>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P</m:t>
                    </m:r>
                  </m:e>
                  <m:sub>
                    <m:r>
                      <m:rPr>
                        <m:sty m:val="bi"/>
                      </m:rPr>
                      <w:rPr>
                        <w:rFonts w:ascii="Cambria Math" w:hAnsi="Cambria Math"/>
                        <w:sz w:val="18"/>
                        <w:szCs w:val="18"/>
                      </w:rPr>
                      <m:t>t</m:t>
                    </m:r>
                  </m:sub>
                  <m:sup>
                    <m:sSubSup>
                      <m:sSubSupPr>
                        <m:ctrlPr>
                          <w:rPr>
                            <w:rFonts w:ascii="Cambria Math" w:hAnsi="Cambria Math" w:cs="Arial"/>
                            <w:b w:val="0"/>
                            <w:i/>
                            <w:kern w:val="2"/>
                            <w:sz w:val="18"/>
                            <w:szCs w:val="18"/>
                          </w:rPr>
                        </m:ctrlPr>
                      </m:sSubSupPr>
                      <m:e>
                        <m:r>
                          <m:rPr>
                            <m:sty m:val="bi"/>
                          </m:rPr>
                          <w:rPr>
                            <w:rFonts w:ascii="Cambria Math" w:hAnsi="Cambria Math"/>
                            <w:sz w:val="18"/>
                            <w:szCs w:val="18"/>
                          </w:rPr>
                          <m:t>SR</m:t>
                        </m:r>
                      </m:e>
                      <m:sub>
                        <m:r>
                          <m:rPr>
                            <m:sty m:val="bi"/>
                          </m:rPr>
                          <w:rPr>
                            <w:rFonts w:ascii="Cambria Math" w:hAnsi="Cambria Math"/>
                            <w:sz w:val="18"/>
                            <w:szCs w:val="18"/>
                          </w:rPr>
                          <m:t>req</m:t>
                        </m:r>
                      </m:sub>
                      <m:sup>
                        <m:r>
                          <m:rPr>
                            <m:sty m:val="bi"/>
                          </m:rPr>
                          <w:rPr>
                            <w:rFonts w:ascii="Cambria Math" w:hAnsi="Cambria Math"/>
                            <w:sz w:val="18"/>
                            <w:szCs w:val="18"/>
                          </w:rPr>
                          <m:t>up</m:t>
                        </m:r>
                      </m:sup>
                    </m:sSubSup>
                  </m:sup>
                </m:sSubSup>
              </m:oMath>
            </m:oMathPara>
          </w:p>
        </w:tc>
        <w:tc>
          <w:tcPr>
            <w:tcW w:w="6379" w:type="dxa"/>
            <w:vAlign w:val="center"/>
          </w:tcPr>
          <w:p w14:paraId="20BBC2E1" w14:textId="50B2B629" w:rsidR="00EC78BB" w:rsidRPr="005D51A1" w:rsidRDefault="00EC78BB" w:rsidP="00EC78BB">
            <w:pPr>
              <w:pStyle w:val="MDPI21heading1"/>
              <w:spacing w:before="0" w:after="0"/>
              <w:ind w:left="2960" w:hanging="3073"/>
              <w:jc w:val="left"/>
              <w:rPr>
                <w:b w:val="0"/>
                <w:color w:val="auto"/>
                <w:sz w:val="18"/>
                <w:szCs w:val="18"/>
                <w:highlight w:val="yellow"/>
                <w:lang w:val="en-GB" w:eastAsia="en-US"/>
              </w:rPr>
            </w:pPr>
            <w:r w:rsidRPr="005D51A1">
              <w:rPr>
                <w:b w:val="0"/>
                <w:sz w:val="18"/>
                <w:szCs w:val="18"/>
              </w:rPr>
              <w:t>TSO needs for upward balance in the aFRR capacity market</w:t>
            </w:r>
          </w:p>
        </w:tc>
      </w:tr>
      <w:tr w:rsidR="00EC78BB" w:rsidRPr="00647E1F" w14:paraId="64F4556E" w14:textId="77777777" w:rsidTr="005D51A1">
        <w:tc>
          <w:tcPr>
            <w:tcW w:w="1564" w:type="dxa"/>
            <w:vAlign w:val="center"/>
          </w:tcPr>
          <w:p w14:paraId="728CBD35" w14:textId="5211CBB2" w:rsidR="00EC78BB" w:rsidRPr="005D51A1" w:rsidRDefault="00000000" w:rsidP="00EC78BB">
            <w:pPr>
              <w:pStyle w:val="MDPI21heading1"/>
              <w:spacing w:before="0" w:after="0"/>
              <w:ind w:hanging="2608"/>
              <w:jc w:val="left"/>
              <w:rPr>
                <w:b w:val="0"/>
                <w:color w:val="auto"/>
                <w:sz w:val="18"/>
                <w:szCs w:val="18"/>
                <w:highlight w:val="yellow"/>
                <w:lang w:val="en-GB" w:eastAsia="en-US"/>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P</m:t>
                    </m:r>
                  </m:e>
                  <m:sub>
                    <m:r>
                      <m:rPr>
                        <m:sty m:val="bi"/>
                      </m:rPr>
                      <w:rPr>
                        <w:rFonts w:ascii="Cambria Math" w:hAnsi="Cambria Math"/>
                        <w:sz w:val="18"/>
                        <w:szCs w:val="18"/>
                      </w:rPr>
                      <m:t>t</m:t>
                    </m:r>
                  </m:sub>
                  <m:sup>
                    <m:sSubSup>
                      <m:sSubSupPr>
                        <m:ctrlPr>
                          <w:rPr>
                            <w:rFonts w:ascii="Cambria Math" w:hAnsi="Cambria Math" w:cs="Arial"/>
                            <w:b w:val="0"/>
                            <w:i/>
                            <w:kern w:val="2"/>
                            <w:sz w:val="18"/>
                            <w:szCs w:val="18"/>
                          </w:rPr>
                        </m:ctrlPr>
                      </m:sSubSupPr>
                      <m:e>
                        <m:r>
                          <m:rPr>
                            <m:sty m:val="bi"/>
                          </m:rPr>
                          <w:rPr>
                            <w:rFonts w:ascii="Cambria Math" w:hAnsi="Cambria Math"/>
                            <w:sz w:val="18"/>
                            <w:szCs w:val="18"/>
                          </w:rPr>
                          <m:t>SR</m:t>
                        </m:r>
                      </m:e>
                      <m:sub>
                        <m:r>
                          <m:rPr>
                            <m:sty m:val="bi"/>
                          </m:rPr>
                          <w:rPr>
                            <w:rFonts w:ascii="Cambria Math" w:hAnsi="Cambria Math"/>
                            <w:sz w:val="18"/>
                            <w:szCs w:val="18"/>
                          </w:rPr>
                          <m:t>req</m:t>
                        </m:r>
                      </m:sub>
                      <m:sup>
                        <m:r>
                          <m:rPr>
                            <m:sty m:val="bi"/>
                          </m:rPr>
                          <w:rPr>
                            <w:rFonts w:ascii="Cambria Math" w:hAnsi="Cambria Math"/>
                            <w:sz w:val="18"/>
                            <w:szCs w:val="18"/>
                          </w:rPr>
                          <m:t>down</m:t>
                        </m:r>
                      </m:sup>
                    </m:sSubSup>
                  </m:sup>
                </m:sSubSup>
              </m:oMath>
            </m:oMathPara>
          </w:p>
        </w:tc>
        <w:tc>
          <w:tcPr>
            <w:tcW w:w="6379" w:type="dxa"/>
            <w:vAlign w:val="center"/>
          </w:tcPr>
          <w:p w14:paraId="1C43828E" w14:textId="1F41DA25" w:rsidR="00EC78BB" w:rsidRPr="005D51A1" w:rsidRDefault="00EC78BB" w:rsidP="00EC78BB">
            <w:pPr>
              <w:pStyle w:val="MDPI21heading1"/>
              <w:spacing w:before="0" w:after="0"/>
              <w:ind w:left="2960" w:hanging="3073"/>
              <w:jc w:val="left"/>
              <w:rPr>
                <w:b w:val="0"/>
                <w:color w:val="auto"/>
                <w:sz w:val="18"/>
                <w:szCs w:val="18"/>
                <w:highlight w:val="yellow"/>
                <w:lang w:val="en-GB" w:eastAsia="en-US"/>
              </w:rPr>
            </w:pPr>
            <w:r w:rsidRPr="005D51A1">
              <w:rPr>
                <w:b w:val="0"/>
                <w:sz w:val="18"/>
                <w:szCs w:val="18"/>
              </w:rPr>
              <w:t>TSO needs for downward balance in the aFRR capacity market.</w:t>
            </w:r>
          </w:p>
        </w:tc>
      </w:tr>
      <w:tr w:rsidR="00EC78BB" w:rsidRPr="00647E1F" w14:paraId="255E1C82" w14:textId="77777777" w:rsidTr="005D51A1">
        <w:tc>
          <w:tcPr>
            <w:tcW w:w="1564" w:type="dxa"/>
            <w:vAlign w:val="center"/>
          </w:tcPr>
          <w:p w14:paraId="0C7E409E" w14:textId="396E6699" w:rsidR="00EC78BB" w:rsidRPr="005D51A1" w:rsidRDefault="00000000" w:rsidP="00EC78BB">
            <w:pPr>
              <w:pStyle w:val="MDPI21heading1"/>
              <w:spacing w:before="0" w:after="0"/>
              <w:ind w:hanging="2608"/>
              <w:jc w:val="left"/>
              <w:rPr>
                <w:b w:val="0"/>
                <w:color w:val="auto"/>
                <w:sz w:val="18"/>
                <w:szCs w:val="18"/>
                <w:highlight w:val="yellow"/>
                <w:lang w:val="en-GB" w:eastAsia="en-US"/>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E</m:t>
                    </m:r>
                  </m:e>
                  <m:sub>
                    <m:r>
                      <m:rPr>
                        <m:sty m:val="bi"/>
                      </m:rPr>
                      <w:rPr>
                        <w:rFonts w:ascii="Cambria Math" w:hAnsi="Cambria Math"/>
                        <w:sz w:val="18"/>
                        <w:szCs w:val="18"/>
                      </w:rPr>
                      <m:t>t</m:t>
                    </m:r>
                  </m:sub>
                  <m:sup>
                    <m:sSubSup>
                      <m:sSubSupPr>
                        <m:ctrlPr>
                          <w:rPr>
                            <w:rFonts w:ascii="Cambria Math" w:hAnsi="Cambria Math" w:cs="Arial"/>
                            <w:b w:val="0"/>
                            <w:i/>
                            <w:kern w:val="2"/>
                            <w:sz w:val="18"/>
                            <w:szCs w:val="18"/>
                          </w:rPr>
                        </m:ctrlPr>
                      </m:sSubSupPr>
                      <m:e>
                        <m:r>
                          <m:rPr>
                            <m:sty m:val="bi"/>
                          </m:rPr>
                          <w:rPr>
                            <w:rFonts w:ascii="Cambria Math" w:hAnsi="Cambria Math"/>
                            <w:sz w:val="18"/>
                            <w:szCs w:val="18"/>
                          </w:rPr>
                          <m:t>SR</m:t>
                        </m:r>
                      </m:e>
                      <m:sub>
                        <m:r>
                          <m:rPr>
                            <m:sty m:val="bi"/>
                          </m:rPr>
                          <w:rPr>
                            <w:rFonts w:ascii="Cambria Math" w:hAnsi="Cambria Math"/>
                            <w:sz w:val="18"/>
                            <w:szCs w:val="18"/>
                          </w:rPr>
                          <m:t>used</m:t>
                        </m:r>
                      </m:sub>
                      <m:sup>
                        <m:r>
                          <m:rPr>
                            <m:sty m:val="bi"/>
                          </m:rPr>
                          <w:rPr>
                            <w:rFonts w:ascii="Cambria Math" w:hAnsi="Cambria Math"/>
                            <w:sz w:val="18"/>
                            <w:szCs w:val="18"/>
                          </w:rPr>
                          <m:t>up</m:t>
                        </m:r>
                      </m:sup>
                    </m:sSubSup>
                  </m:sup>
                </m:sSubSup>
              </m:oMath>
            </m:oMathPara>
          </w:p>
        </w:tc>
        <w:tc>
          <w:tcPr>
            <w:tcW w:w="6379" w:type="dxa"/>
            <w:vAlign w:val="center"/>
          </w:tcPr>
          <w:p w14:paraId="6281B733" w14:textId="18BA17B6" w:rsidR="00EC78BB" w:rsidRPr="005D51A1" w:rsidRDefault="00EC78BB" w:rsidP="00EC78BB">
            <w:pPr>
              <w:pStyle w:val="MDPI21heading1"/>
              <w:spacing w:before="0" w:after="0"/>
              <w:ind w:left="2960" w:hanging="3073"/>
              <w:jc w:val="left"/>
              <w:rPr>
                <w:b w:val="0"/>
                <w:color w:val="auto"/>
                <w:sz w:val="18"/>
                <w:szCs w:val="18"/>
                <w:highlight w:val="yellow"/>
                <w:lang w:val="en-GB" w:eastAsia="en-US"/>
              </w:rPr>
            </w:pPr>
            <w:r w:rsidRPr="005D51A1">
              <w:rPr>
                <w:b w:val="0"/>
                <w:sz w:val="18"/>
                <w:szCs w:val="18"/>
              </w:rPr>
              <w:t>Upward secondary energy requested by TSO.</w:t>
            </w:r>
          </w:p>
        </w:tc>
      </w:tr>
      <w:tr w:rsidR="00EC78BB" w:rsidRPr="00647E1F" w14:paraId="771D7988" w14:textId="77777777" w:rsidTr="005D51A1">
        <w:tc>
          <w:tcPr>
            <w:tcW w:w="1564" w:type="dxa"/>
            <w:vAlign w:val="center"/>
          </w:tcPr>
          <w:p w14:paraId="2678802B" w14:textId="2DB7A76B" w:rsidR="00EC78BB" w:rsidRPr="005D51A1" w:rsidRDefault="00000000" w:rsidP="00EC78BB">
            <w:pPr>
              <w:pStyle w:val="MDPI21heading1"/>
              <w:spacing w:before="0" w:after="0"/>
              <w:ind w:hanging="2608"/>
              <w:jc w:val="left"/>
              <w:rPr>
                <w:b w:val="0"/>
                <w:color w:val="auto"/>
                <w:sz w:val="18"/>
                <w:szCs w:val="18"/>
                <w:highlight w:val="yellow"/>
                <w:lang w:val="en-GB" w:eastAsia="en-US"/>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E</m:t>
                    </m:r>
                  </m:e>
                  <m:sub>
                    <m:r>
                      <m:rPr>
                        <m:sty m:val="bi"/>
                      </m:rPr>
                      <w:rPr>
                        <w:rFonts w:ascii="Cambria Math" w:hAnsi="Cambria Math"/>
                        <w:sz w:val="18"/>
                        <w:szCs w:val="18"/>
                      </w:rPr>
                      <m:t>t</m:t>
                    </m:r>
                  </m:sub>
                  <m:sup>
                    <m:sSubSup>
                      <m:sSubSupPr>
                        <m:ctrlPr>
                          <w:rPr>
                            <w:rFonts w:ascii="Cambria Math" w:hAnsi="Cambria Math" w:cs="Arial"/>
                            <w:b w:val="0"/>
                            <w:i/>
                            <w:kern w:val="2"/>
                            <w:sz w:val="18"/>
                            <w:szCs w:val="18"/>
                          </w:rPr>
                        </m:ctrlPr>
                      </m:sSubSupPr>
                      <m:e>
                        <m:r>
                          <m:rPr>
                            <m:sty m:val="bi"/>
                          </m:rPr>
                          <w:rPr>
                            <w:rFonts w:ascii="Cambria Math" w:hAnsi="Cambria Math"/>
                            <w:sz w:val="18"/>
                            <w:szCs w:val="18"/>
                          </w:rPr>
                          <m:t>SR</m:t>
                        </m:r>
                      </m:e>
                      <m:sub>
                        <m:r>
                          <m:rPr>
                            <m:sty m:val="bi"/>
                          </m:rPr>
                          <w:rPr>
                            <w:rFonts w:ascii="Cambria Math" w:hAnsi="Cambria Math"/>
                            <w:sz w:val="18"/>
                            <w:szCs w:val="18"/>
                          </w:rPr>
                          <m:t>used</m:t>
                        </m:r>
                      </m:sub>
                      <m:sup>
                        <m:r>
                          <m:rPr>
                            <m:sty m:val="bi"/>
                          </m:rPr>
                          <w:rPr>
                            <w:rFonts w:ascii="Cambria Math" w:hAnsi="Cambria Math"/>
                            <w:sz w:val="18"/>
                            <w:szCs w:val="18"/>
                          </w:rPr>
                          <m:t>down</m:t>
                        </m:r>
                      </m:sup>
                    </m:sSubSup>
                  </m:sup>
                </m:sSubSup>
              </m:oMath>
            </m:oMathPara>
          </w:p>
        </w:tc>
        <w:tc>
          <w:tcPr>
            <w:tcW w:w="6379" w:type="dxa"/>
            <w:vAlign w:val="center"/>
          </w:tcPr>
          <w:p w14:paraId="77D9BC65" w14:textId="193305E9" w:rsidR="00EC78BB" w:rsidRPr="005D51A1" w:rsidRDefault="00EC78BB" w:rsidP="00EC78BB">
            <w:pPr>
              <w:pStyle w:val="MDPI21heading1"/>
              <w:spacing w:before="0" w:after="0"/>
              <w:ind w:left="2960" w:hanging="3073"/>
              <w:jc w:val="left"/>
              <w:rPr>
                <w:b w:val="0"/>
                <w:color w:val="auto"/>
                <w:sz w:val="18"/>
                <w:szCs w:val="18"/>
                <w:highlight w:val="yellow"/>
                <w:lang w:val="en-GB" w:eastAsia="en-US"/>
              </w:rPr>
            </w:pPr>
            <w:r w:rsidRPr="005D51A1">
              <w:rPr>
                <w:b w:val="0"/>
                <w:sz w:val="18"/>
                <w:szCs w:val="18"/>
              </w:rPr>
              <w:t>Downward secondary energy requested by TSO.</w:t>
            </w:r>
          </w:p>
        </w:tc>
      </w:tr>
      <w:tr w:rsidR="00EC78BB" w:rsidRPr="00647E1F" w14:paraId="0DC014A1" w14:textId="77777777" w:rsidTr="005D51A1">
        <w:tc>
          <w:tcPr>
            <w:tcW w:w="1564" w:type="dxa"/>
            <w:vAlign w:val="center"/>
          </w:tcPr>
          <w:p w14:paraId="40CC4693" w14:textId="2FE8658D" w:rsidR="00EC78BB" w:rsidRPr="005D51A1" w:rsidRDefault="00000000" w:rsidP="00EC78BB">
            <w:pPr>
              <w:pStyle w:val="MDPI21heading1"/>
              <w:spacing w:before="0" w:after="0"/>
              <w:ind w:hanging="2608"/>
              <w:jc w:val="left"/>
              <w:rPr>
                <w:b w:val="0"/>
                <w:color w:val="auto"/>
                <w:sz w:val="18"/>
                <w:szCs w:val="18"/>
                <w:highlight w:val="yellow"/>
                <w:lang w:val="en-GB" w:eastAsia="en-US"/>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E</m:t>
                    </m:r>
                  </m:e>
                  <m:sub>
                    <m:r>
                      <m:rPr>
                        <m:sty m:val="bi"/>
                      </m:rPr>
                      <w:rPr>
                        <w:rFonts w:ascii="Cambria Math" w:hAnsi="Cambria Math"/>
                        <w:sz w:val="18"/>
                        <w:szCs w:val="18"/>
                      </w:rPr>
                      <m:t>t</m:t>
                    </m:r>
                  </m:sub>
                  <m:sup>
                    <m:sSubSup>
                      <m:sSubSupPr>
                        <m:ctrlPr>
                          <w:rPr>
                            <w:rFonts w:ascii="Cambria Math" w:hAnsi="Cambria Math" w:cs="Arial"/>
                            <w:b w:val="0"/>
                            <w:i/>
                            <w:kern w:val="2"/>
                            <w:sz w:val="18"/>
                            <w:szCs w:val="18"/>
                          </w:rPr>
                        </m:ctrlPr>
                      </m:sSubSupPr>
                      <m:e>
                        <m:r>
                          <m:rPr>
                            <m:sty m:val="bi"/>
                          </m:rPr>
                          <w:rPr>
                            <w:rFonts w:ascii="Cambria Math" w:hAnsi="Cambria Math"/>
                            <w:sz w:val="18"/>
                            <w:szCs w:val="18"/>
                          </w:rPr>
                          <m:t>TR</m:t>
                        </m:r>
                      </m:e>
                      <m:sub>
                        <m:r>
                          <m:rPr>
                            <m:sty m:val="bi"/>
                          </m:rPr>
                          <w:rPr>
                            <w:rFonts w:ascii="Cambria Math" w:hAnsi="Cambria Math"/>
                            <w:sz w:val="18"/>
                            <w:szCs w:val="18"/>
                          </w:rPr>
                          <m:t>used</m:t>
                        </m:r>
                      </m:sub>
                      <m:sup>
                        <m:r>
                          <m:rPr>
                            <m:sty m:val="bi"/>
                          </m:rPr>
                          <w:rPr>
                            <w:rFonts w:ascii="Cambria Math" w:hAnsi="Cambria Math"/>
                            <w:sz w:val="18"/>
                            <w:szCs w:val="18"/>
                          </w:rPr>
                          <m:t>up</m:t>
                        </m:r>
                      </m:sup>
                    </m:sSubSup>
                  </m:sup>
                </m:sSubSup>
              </m:oMath>
            </m:oMathPara>
          </w:p>
        </w:tc>
        <w:tc>
          <w:tcPr>
            <w:tcW w:w="6379" w:type="dxa"/>
            <w:vAlign w:val="center"/>
          </w:tcPr>
          <w:p w14:paraId="77BC4C17" w14:textId="3BFDF720" w:rsidR="00EC78BB" w:rsidRPr="005D51A1" w:rsidRDefault="00EC78BB" w:rsidP="00EC78BB">
            <w:pPr>
              <w:pStyle w:val="MDPI21heading1"/>
              <w:spacing w:before="0" w:after="0"/>
              <w:ind w:left="2960" w:hanging="3073"/>
              <w:jc w:val="left"/>
              <w:rPr>
                <w:b w:val="0"/>
                <w:color w:val="auto"/>
                <w:sz w:val="18"/>
                <w:szCs w:val="18"/>
                <w:highlight w:val="yellow"/>
                <w:lang w:val="en-GB" w:eastAsia="en-US"/>
              </w:rPr>
            </w:pPr>
            <w:r w:rsidRPr="005D51A1">
              <w:rPr>
                <w:b w:val="0"/>
                <w:sz w:val="18"/>
                <w:szCs w:val="18"/>
              </w:rPr>
              <w:t>Upward tertiary energy requested by TSO</w:t>
            </w:r>
          </w:p>
        </w:tc>
      </w:tr>
      <w:tr w:rsidR="00EC78BB" w:rsidRPr="00647E1F" w14:paraId="654F9CD1" w14:textId="77777777" w:rsidTr="005D51A1">
        <w:tc>
          <w:tcPr>
            <w:tcW w:w="1564" w:type="dxa"/>
            <w:vAlign w:val="center"/>
          </w:tcPr>
          <w:p w14:paraId="1CE42B26" w14:textId="22DF31D9" w:rsidR="00EC78BB" w:rsidRPr="005D51A1" w:rsidRDefault="00000000" w:rsidP="00EC78BB">
            <w:pPr>
              <w:pStyle w:val="MDPI21heading1"/>
              <w:spacing w:before="0" w:after="0"/>
              <w:ind w:hanging="2608"/>
              <w:jc w:val="left"/>
              <w:rPr>
                <w:b w:val="0"/>
                <w:color w:val="auto"/>
                <w:sz w:val="18"/>
                <w:szCs w:val="18"/>
                <w:highlight w:val="yellow"/>
                <w:lang w:val="en-GB" w:eastAsia="en-US"/>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E</m:t>
                    </m:r>
                  </m:e>
                  <m:sub>
                    <m:r>
                      <m:rPr>
                        <m:sty m:val="bi"/>
                      </m:rPr>
                      <w:rPr>
                        <w:rFonts w:ascii="Cambria Math" w:hAnsi="Cambria Math"/>
                        <w:sz w:val="18"/>
                        <w:szCs w:val="18"/>
                      </w:rPr>
                      <m:t>t</m:t>
                    </m:r>
                  </m:sub>
                  <m:sup>
                    <m:sSubSup>
                      <m:sSubSupPr>
                        <m:ctrlPr>
                          <w:rPr>
                            <w:rFonts w:ascii="Cambria Math" w:hAnsi="Cambria Math" w:cs="Arial"/>
                            <w:b w:val="0"/>
                            <w:i/>
                            <w:kern w:val="2"/>
                            <w:sz w:val="18"/>
                            <w:szCs w:val="18"/>
                          </w:rPr>
                        </m:ctrlPr>
                      </m:sSubSupPr>
                      <m:e>
                        <m:r>
                          <m:rPr>
                            <m:sty m:val="bi"/>
                          </m:rPr>
                          <w:rPr>
                            <w:rFonts w:ascii="Cambria Math" w:hAnsi="Cambria Math"/>
                            <w:sz w:val="18"/>
                            <w:szCs w:val="18"/>
                          </w:rPr>
                          <m:t>TR</m:t>
                        </m:r>
                      </m:e>
                      <m:sub>
                        <m:r>
                          <m:rPr>
                            <m:sty m:val="bi"/>
                          </m:rPr>
                          <w:rPr>
                            <w:rFonts w:ascii="Cambria Math" w:hAnsi="Cambria Math"/>
                            <w:sz w:val="18"/>
                            <w:szCs w:val="18"/>
                          </w:rPr>
                          <m:t>used</m:t>
                        </m:r>
                      </m:sub>
                      <m:sup>
                        <m:r>
                          <m:rPr>
                            <m:sty m:val="bi"/>
                          </m:rPr>
                          <w:rPr>
                            <w:rFonts w:ascii="Cambria Math" w:hAnsi="Cambria Math"/>
                            <w:sz w:val="18"/>
                            <w:szCs w:val="18"/>
                          </w:rPr>
                          <m:t>down</m:t>
                        </m:r>
                      </m:sup>
                    </m:sSubSup>
                  </m:sup>
                </m:sSubSup>
              </m:oMath>
            </m:oMathPara>
          </w:p>
        </w:tc>
        <w:tc>
          <w:tcPr>
            <w:tcW w:w="6379" w:type="dxa"/>
            <w:vAlign w:val="center"/>
          </w:tcPr>
          <w:p w14:paraId="78580F4B" w14:textId="78CE5B42" w:rsidR="00EC78BB" w:rsidRPr="005D51A1" w:rsidRDefault="00EC78BB" w:rsidP="00EC78BB">
            <w:pPr>
              <w:pStyle w:val="MDPI21heading1"/>
              <w:spacing w:before="0" w:after="0"/>
              <w:ind w:left="2960" w:hanging="3073"/>
              <w:jc w:val="left"/>
              <w:rPr>
                <w:b w:val="0"/>
                <w:color w:val="auto"/>
                <w:sz w:val="18"/>
                <w:szCs w:val="18"/>
                <w:highlight w:val="yellow"/>
                <w:lang w:val="en-GB" w:eastAsia="en-US"/>
              </w:rPr>
            </w:pPr>
            <w:r w:rsidRPr="005D51A1">
              <w:rPr>
                <w:b w:val="0"/>
                <w:sz w:val="18"/>
                <w:szCs w:val="18"/>
              </w:rPr>
              <w:t>Downward tertiary energy requested by TSO.</w:t>
            </w:r>
          </w:p>
        </w:tc>
      </w:tr>
      <w:tr w:rsidR="00EC78BB" w:rsidRPr="00647E1F" w14:paraId="738ADA9C" w14:textId="77777777" w:rsidTr="005D51A1">
        <w:tc>
          <w:tcPr>
            <w:tcW w:w="1564" w:type="dxa"/>
            <w:vAlign w:val="center"/>
          </w:tcPr>
          <w:p w14:paraId="3A3FDF68" w14:textId="0E0308A3" w:rsidR="00EC78BB" w:rsidRPr="005D51A1" w:rsidRDefault="00000000" w:rsidP="00EC78BB">
            <w:pPr>
              <w:pStyle w:val="MDPI21heading1"/>
              <w:spacing w:before="0" w:after="0"/>
              <w:ind w:hanging="2608"/>
              <w:jc w:val="left"/>
              <w:rPr>
                <w:b w:val="0"/>
                <w:color w:val="auto"/>
                <w:sz w:val="18"/>
                <w:szCs w:val="18"/>
                <w:highlight w:val="yellow"/>
                <w:lang w:val="en-GB" w:eastAsia="en-US"/>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C</m:t>
                    </m:r>
                  </m:e>
                  <m:sub>
                    <m:r>
                      <m:rPr>
                        <m:sty m:val="bi"/>
                      </m:rPr>
                      <w:rPr>
                        <w:rFonts w:ascii="Cambria Math" w:hAnsi="Cambria Math"/>
                        <w:sz w:val="18"/>
                        <w:szCs w:val="18"/>
                      </w:rPr>
                      <m:t>t</m:t>
                    </m:r>
                  </m:sub>
                  <m:sup>
                    <m:r>
                      <m:rPr>
                        <m:sty m:val="bi"/>
                      </m:rPr>
                      <w:rPr>
                        <w:rFonts w:ascii="Cambria Math" w:hAnsi="Cambria Math"/>
                        <w:sz w:val="18"/>
                        <w:szCs w:val="18"/>
                      </w:rPr>
                      <m:t>DAM</m:t>
                    </m:r>
                  </m:sup>
                </m:sSubSup>
              </m:oMath>
            </m:oMathPara>
          </w:p>
        </w:tc>
        <w:tc>
          <w:tcPr>
            <w:tcW w:w="6379" w:type="dxa"/>
            <w:vAlign w:val="center"/>
          </w:tcPr>
          <w:p w14:paraId="3F6A7EAF" w14:textId="0A1A9803" w:rsidR="00EC78BB" w:rsidRPr="005D51A1" w:rsidRDefault="00EC78BB" w:rsidP="00EC78BB">
            <w:pPr>
              <w:pStyle w:val="MDPI21heading1"/>
              <w:spacing w:before="0" w:after="0"/>
              <w:ind w:left="2960" w:hanging="3073"/>
              <w:jc w:val="left"/>
              <w:rPr>
                <w:b w:val="0"/>
                <w:color w:val="auto"/>
                <w:sz w:val="18"/>
                <w:szCs w:val="18"/>
                <w:highlight w:val="yellow"/>
                <w:lang w:val="en-GB" w:eastAsia="en-US"/>
              </w:rPr>
            </w:pPr>
            <w:r w:rsidRPr="005D51A1">
              <w:rPr>
                <w:rFonts w:eastAsiaTheme="minorEastAsia"/>
                <w:b w:val="0"/>
                <w:sz w:val="18"/>
                <w:szCs w:val="18"/>
              </w:rPr>
              <w:t>DAM price</w:t>
            </w:r>
          </w:p>
        </w:tc>
      </w:tr>
      <w:tr w:rsidR="00EC78BB" w:rsidRPr="00647E1F" w14:paraId="70E70DA7" w14:textId="77777777" w:rsidTr="005D51A1">
        <w:tc>
          <w:tcPr>
            <w:tcW w:w="1564" w:type="dxa"/>
            <w:vAlign w:val="center"/>
          </w:tcPr>
          <w:p w14:paraId="30F1871D" w14:textId="579936AA" w:rsidR="00EC78BB" w:rsidRPr="005D51A1" w:rsidRDefault="00000000" w:rsidP="00EC78BB">
            <w:pPr>
              <w:pStyle w:val="MDPI21heading1"/>
              <w:spacing w:before="0" w:after="0"/>
              <w:ind w:hanging="2608"/>
              <w:jc w:val="left"/>
              <w:rPr>
                <w:b w:val="0"/>
                <w:color w:val="auto"/>
                <w:sz w:val="18"/>
                <w:szCs w:val="18"/>
                <w:highlight w:val="yellow"/>
                <w:lang w:val="en-GB" w:eastAsia="en-US"/>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C</m:t>
                    </m:r>
                  </m:e>
                  <m:sub>
                    <m:r>
                      <m:rPr>
                        <m:sty m:val="bi"/>
                      </m:rPr>
                      <w:rPr>
                        <w:rFonts w:ascii="Cambria Math" w:hAnsi="Cambria Math"/>
                        <w:sz w:val="18"/>
                        <w:szCs w:val="18"/>
                      </w:rPr>
                      <m:t>t</m:t>
                    </m:r>
                  </m:sub>
                  <m:sup>
                    <m:r>
                      <m:rPr>
                        <m:sty m:val="bi"/>
                      </m:rPr>
                      <w:rPr>
                        <w:rFonts w:ascii="Cambria Math" w:hAnsi="Cambria Math"/>
                        <w:sz w:val="18"/>
                        <w:szCs w:val="18"/>
                      </w:rPr>
                      <m:t>IDA</m:t>
                    </m:r>
                  </m:sup>
                </m:sSubSup>
              </m:oMath>
            </m:oMathPara>
          </w:p>
        </w:tc>
        <w:tc>
          <w:tcPr>
            <w:tcW w:w="6379" w:type="dxa"/>
            <w:vAlign w:val="center"/>
          </w:tcPr>
          <w:p w14:paraId="3CD92180" w14:textId="1BEBA569" w:rsidR="00EC78BB" w:rsidRPr="005D51A1" w:rsidRDefault="00EC78BB" w:rsidP="00EC78BB">
            <w:pPr>
              <w:pStyle w:val="MDPI21heading1"/>
              <w:spacing w:before="0" w:after="0"/>
              <w:ind w:left="2960" w:hanging="3073"/>
              <w:jc w:val="left"/>
              <w:rPr>
                <w:b w:val="0"/>
                <w:color w:val="auto"/>
                <w:sz w:val="18"/>
                <w:szCs w:val="18"/>
                <w:highlight w:val="yellow"/>
                <w:lang w:val="en-GB" w:eastAsia="en-US"/>
              </w:rPr>
            </w:pPr>
            <w:r w:rsidRPr="005D51A1">
              <w:rPr>
                <w:rFonts w:eastAsiaTheme="minorEastAsia"/>
                <w:b w:val="0"/>
                <w:sz w:val="18"/>
                <w:szCs w:val="18"/>
                <w:lang w:val="pt-PT"/>
              </w:rPr>
              <w:t>IDA price</w:t>
            </w:r>
          </w:p>
        </w:tc>
      </w:tr>
      <w:tr w:rsidR="00EC78BB" w:rsidRPr="00647E1F" w14:paraId="6FAAF4C0" w14:textId="77777777" w:rsidTr="005D51A1">
        <w:tc>
          <w:tcPr>
            <w:tcW w:w="1564" w:type="dxa"/>
            <w:vAlign w:val="center"/>
          </w:tcPr>
          <w:p w14:paraId="6B03BDEB" w14:textId="41B6E4A2" w:rsidR="00EC78BB" w:rsidRPr="005D51A1" w:rsidRDefault="00000000" w:rsidP="00EC78BB">
            <w:pPr>
              <w:pStyle w:val="MDPI21heading1"/>
              <w:spacing w:before="0" w:after="0"/>
              <w:ind w:hanging="2608"/>
              <w:jc w:val="left"/>
              <w:rPr>
                <w:b w:val="0"/>
                <w:color w:val="auto"/>
                <w:sz w:val="18"/>
                <w:szCs w:val="18"/>
                <w:highlight w:val="yellow"/>
                <w:lang w:val="en-GB" w:eastAsia="en-US"/>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C</m:t>
                    </m:r>
                  </m:e>
                  <m:sub>
                    <m:r>
                      <m:rPr>
                        <m:sty m:val="bi"/>
                      </m:rPr>
                      <w:rPr>
                        <w:rFonts w:ascii="Cambria Math" w:hAnsi="Cambria Math"/>
                        <w:sz w:val="18"/>
                        <w:szCs w:val="18"/>
                      </w:rPr>
                      <m:t>t</m:t>
                    </m:r>
                  </m:sub>
                  <m:sup>
                    <m:r>
                      <m:rPr>
                        <m:sty m:val="bi"/>
                      </m:rPr>
                      <w:rPr>
                        <w:rFonts w:ascii="Cambria Math" w:hAnsi="Cambria Math"/>
                        <w:sz w:val="18"/>
                        <w:szCs w:val="18"/>
                      </w:rPr>
                      <m:t>CAP</m:t>
                    </m:r>
                  </m:sup>
                </m:sSubSup>
              </m:oMath>
            </m:oMathPara>
          </w:p>
        </w:tc>
        <w:tc>
          <w:tcPr>
            <w:tcW w:w="6379" w:type="dxa"/>
            <w:vAlign w:val="center"/>
          </w:tcPr>
          <w:p w14:paraId="0999E320" w14:textId="77445B79" w:rsidR="00EC78BB" w:rsidRPr="005D51A1" w:rsidRDefault="00EC78BB" w:rsidP="00EC78BB">
            <w:pPr>
              <w:pStyle w:val="MDPI21heading1"/>
              <w:spacing w:before="0" w:after="0"/>
              <w:ind w:left="2960" w:hanging="3073"/>
              <w:jc w:val="left"/>
              <w:rPr>
                <w:b w:val="0"/>
                <w:color w:val="auto"/>
                <w:sz w:val="18"/>
                <w:szCs w:val="18"/>
                <w:highlight w:val="yellow"/>
                <w:lang w:val="en-GB" w:eastAsia="en-US"/>
              </w:rPr>
            </w:pPr>
            <w:r w:rsidRPr="005D51A1">
              <w:rPr>
                <w:rFonts w:eastAsiaTheme="minorEastAsia"/>
                <w:b w:val="0"/>
                <w:sz w:val="18"/>
                <w:szCs w:val="18"/>
              </w:rPr>
              <w:t>Price received for each unit of balancing capacity in aFRR market</w:t>
            </w:r>
          </w:p>
        </w:tc>
      </w:tr>
      <w:tr w:rsidR="00EC78BB" w:rsidRPr="00647E1F" w14:paraId="68D8B675" w14:textId="77777777" w:rsidTr="005D51A1">
        <w:tc>
          <w:tcPr>
            <w:tcW w:w="1564" w:type="dxa"/>
            <w:vAlign w:val="center"/>
          </w:tcPr>
          <w:p w14:paraId="0C7C5773" w14:textId="6D180B01" w:rsidR="00EC78BB" w:rsidRPr="005D51A1" w:rsidRDefault="00000000" w:rsidP="00EC78BB">
            <w:pPr>
              <w:pStyle w:val="MDPI21heading1"/>
              <w:spacing w:before="0" w:after="0"/>
              <w:ind w:hanging="2608"/>
              <w:jc w:val="left"/>
              <w:rPr>
                <w:b w:val="0"/>
                <w:color w:val="auto"/>
                <w:sz w:val="18"/>
                <w:szCs w:val="18"/>
                <w:highlight w:val="yellow"/>
                <w:lang w:val="en-GB" w:eastAsia="en-US"/>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C</m:t>
                    </m:r>
                  </m:e>
                  <m:sub>
                    <m:r>
                      <m:rPr>
                        <m:sty m:val="bi"/>
                      </m:rPr>
                      <w:rPr>
                        <w:rFonts w:ascii="Cambria Math" w:hAnsi="Cambria Math"/>
                        <w:sz w:val="18"/>
                        <w:szCs w:val="18"/>
                      </w:rPr>
                      <m:t>t</m:t>
                    </m:r>
                  </m:sub>
                  <m:sup>
                    <m:r>
                      <m:rPr>
                        <m:sty m:val="bi"/>
                      </m:rPr>
                      <w:rPr>
                        <w:rFonts w:ascii="Cambria Math" w:hAnsi="Cambria Math"/>
                        <w:sz w:val="18"/>
                        <w:szCs w:val="18"/>
                      </w:rPr>
                      <m:t>EXC</m:t>
                    </m:r>
                  </m:sup>
                </m:sSubSup>
              </m:oMath>
            </m:oMathPara>
          </w:p>
        </w:tc>
        <w:tc>
          <w:tcPr>
            <w:tcW w:w="6379" w:type="dxa"/>
            <w:vAlign w:val="center"/>
          </w:tcPr>
          <w:p w14:paraId="19338742" w14:textId="147635E2" w:rsidR="00EC78BB" w:rsidRPr="005D51A1" w:rsidRDefault="00EC78BB" w:rsidP="00EC78BB">
            <w:pPr>
              <w:pStyle w:val="MDPI21heading1"/>
              <w:spacing w:before="0" w:after="0"/>
              <w:ind w:left="2960" w:hanging="3073"/>
              <w:jc w:val="left"/>
              <w:rPr>
                <w:b w:val="0"/>
                <w:color w:val="auto"/>
                <w:sz w:val="18"/>
                <w:szCs w:val="18"/>
                <w:highlight w:val="yellow"/>
                <w:lang w:val="en-GB" w:eastAsia="en-US"/>
              </w:rPr>
            </w:pPr>
            <w:r w:rsidRPr="005D51A1">
              <w:rPr>
                <w:b w:val="0"/>
                <w:sz w:val="18"/>
                <w:szCs w:val="18"/>
              </w:rPr>
              <w:t>Price received by BRP with positive imbalances</w:t>
            </w:r>
          </w:p>
        </w:tc>
      </w:tr>
      <w:tr w:rsidR="00EC78BB" w:rsidRPr="00647E1F" w14:paraId="6786AE01" w14:textId="77777777" w:rsidTr="005D51A1">
        <w:tc>
          <w:tcPr>
            <w:tcW w:w="1564" w:type="dxa"/>
            <w:vAlign w:val="center"/>
          </w:tcPr>
          <w:p w14:paraId="5CDC8B48" w14:textId="5C33D9A6" w:rsidR="00EC78BB" w:rsidRPr="005D51A1" w:rsidRDefault="00000000" w:rsidP="00EC78BB">
            <w:pPr>
              <w:pStyle w:val="MDPI21heading1"/>
              <w:spacing w:before="0" w:after="0"/>
              <w:ind w:hanging="2608"/>
              <w:jc w:val="left"/>
              <w:rPr>
                <w:b w:val="0"/>
                <w:color w:val="auto"/>
                <w:sz w:val="18"/>
                <w:szCs w:val="18"/>
                <w:highlight w:val="yellow"/>
                <w:lang w:val="en-GB" w:eastAsia="en-US"/>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C</m:t>
                    </m:r>
                  </m:e>
                  <m:sub>
                    <m:r>
                      <m:rPr>
                        <m:sty m:val="bi"/>
                      </m:rPr>
                      <w:rPr>
                        <w:rFonts w:ascii="Cambria Math" w:hAnsi="Cambria Math"/>
                        <w:sz w:val="18"/>
                        <w:szCs w:val="18"/>
                      </w:rPr>
                      <m:t>t</m:t>
                    </m:r>
                  </m:sub>
                  <m:sup>
                    <m:r>
                      <m:rPr>
                        <m:sty m:val="bi"/>
                      </m:rPr>
                      <w:rPr>
                        <w:rFonts w:ascii="Cambria Math" w:hAnsi="Cambria Math"/>
                        <w:sz w:val="18"/>
                        <w:szCs w:val="18"/>
                      </w:rPr>
                      <m:t>DEF</m:t>
                    </m:r>
                  </m:sup>
                </m:sSubSup>
              </m:oMath>
            </m:oMathPara>
          </w:p>
        </w:tc>
        <w:tc>
          <w:tcPr>
            <w:tcW w:w="6379" w:type="dxa"/>
            <w:vAlign w:val="center"/>
          </w:tcPr>
          <w:p w14:paraId="13D82EC3" w14:textId="12A110D6" w:rsidR="00EC78BB" w:rsidRPr="005D51A1" w:rsidRDefault="00EC78BB" w:rsidP="00EC78BB">
            <w:pPr>
              <w:pStyle w:val="MDPI21heading1"/>
              <w:spacing w:before="0" w:after="0"/>
              <w:ind w:left="2960" w:hanging="3073"/>
              <w:jc w:val="left"/>
              <w:rPr>
                <w:b w:val="0"/>
                <w:color w:val="auto"/>
                <w:sz w:val="18"/>
                <w:szCs w:val="18"/>
                <w:highlight w:val="yellow"/>
                <w:lang w:val="en-GB" w:eastAsia="en-US"/>
              </w:rPr>
            </w:pPr>
            <w:r w:rsidRPr="005D51A1">
              <w:rPr>
                <w:b w:val="0"/>
                <w:sz w:val="18"/>
                <w:szCs w:val="18"/>
              </w:rPr>
              <w:t>Price paid by BRP with negative imbalances</w:t>
            </w:r>
          </w:p>
        </w:tc>
      </w:tr>
      <w:tr w:rsidR="00EC78BB" w:rsidRPr="00647E1F" w14:paraId="21E18ED1" w14:textId="77777777" w:rsidTr="005D51A1">
        <w:tc>
          <w:tcPr>
            <w:tcW w:w="1564" w:type="dxa"/>
            <w:vAlign w:val="center"/>
          </w:tcPr>
          <w:p w14:paraId="34CE3AEC" w14:textId="2D7FE56B" w:rsidR="00EC78BB" w:rsidRPr="005D51A1" w:rsidRDefault="00000000" w:rsidP="00EC78BB">
            <w:pPr>
              <w:pStyle w:val="MDPI21heading1"/>
              <w:spacing w:before="0" w:after="0"/>
              <w:ind w:hanging="2608"/>
              <w:jc w:val="left"/>
              <w:rPr>
                <w:b w:val="0"/>
                <w:color w:val="auto"/>
                <w:sz w:val="18"/>
                <w:szCs w:val="18"/>
                <w:highlight w:val="yellow"/>
                <w:lang w:val="en-GB" w:eastAsia="en-US"/>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C</m:t>
                    </m:r>
                  </m:e>
                  <m:sub>
                    <m:r>
                      <m:rPr>
                        <m:sty m:val="bi"/>
                      </m:rPr>
                      <w:rPr>
                        <w:rFonts w:ascii="Cambria Math" w:hAnsi="Cambria Math"/>
                        <w:sz w:val="18"/>
                        <w:szCs w:val="18"/>
                      </w:rPr>
                      <m:t>t</m:t>
                    </m:r>
                  </m:sub>
                  <m:sup>
                    <m:sSup>
                      <m:sSupPr>
                        <m:ctrlPr>
                          <w:rPr>
                            <w:rFonts w:ascii="Cambria Math" w:hAnsi="Cambria Math" w:cs="Arial"/>
                            <w:b w:val="0"/>
                            <w:i/>
                            <w:kern w:val="2"/>
                            <w:sz w:val="18"/>
                            <w:szCs w:val="18"/>
                          </w:rPr>
                        </m:ctrlPr>
                      </m:sSupPr>
                      <m:e>
                        <m:r>
                          <m:rPr>
                            <m:sty m:val="bi"/>
                          </m:rPr>
                          <w:rPr>
                            <w:rFonts w:ascii="Cambria Math" w:hAnsi="Cambria Math"/>
                            <w:sz w:val="18"/>
                            <w:szCs w:val="18"/>
                          </w:rPr>
                          <m:t>TR</m:t>
                        </m:r>
                      </m:e>
                      <m:sup>
                        <m:r>
                          <m:rPr>
                            <m:sty m:val="bi"/>
                          </m:rPr>
                          <w:rPr>
                            <w:rFonts w:ascii="Cambria Math" w:hAnsi="Cambria Math"/>
                            <w:sz w:val="18"/>
                            <w:szCs w:val="18"/>
                          </w:rPr>
                          <m:t>up</m:t>
                        </m:r>
                      </m:sup>
                    </m:sSup>
                  </m:sup>
                </m:sSubSup>
              </m:oMath>
            </m:oMathPara>
          </w:p>
        </w:tc>
        <w:tc>
          <w:tcPr>
            <w:tcW w:w="6379" w:type="dxa"/>
            <w:vAlign w:val="center"/>
          </w:tcPr>
          <w:p w14:paraId="66B7526A" w14:textId="3F089245" w:rsidR="00EC78BB" w:rsidRPr="005D51A1" w:rsidRDefault="00EC78BB" w:rsidP="00EC78BB">
            <w:pPr>
              <w:pStyle w:val="MDPI21heading1"/>
              <w:spacing w:before="0" w:after="0"/>
              <w:ind w:left="2960" w:hanging="3073"/>
              <w:jc w:val="left"/>
              <w:rPr>
                <w:b w:val="0"/>
                <w:color w:val="auto"/>
                <w:sz w:val="18"/>
                <w:szCs w:val="18"/>
                <w:highlight w:val="yellow"/>
                <w:lang w:val="en-GB" w:eastAsia="en-US"/>
              </w:rPr>
            </w:pPr>
            <w:r w:rsidRPr="005D51A1">
              <w:rPr>
                <w:b w:val="0"/>
                <w:sz w:val="18"/>
                <w:szCs w:val="18"/>
              </w:rPr>
              <w:t>Price for upward tertiary and secondary energy</w:t>
            </w:r>
          </w:p>
        </w:tc>
      </w:tr>
      <w:tr w:rsidR="00EC78BB" w:rsidRPr="00647E1F" w14:paraId="0C94CA41" w14:textId="77777777" w:rsidTr="005D51A1">
        <w:tc>
          <w:tcPr>
            <w:tcW w:w="1564" w:type="dxa"/>
            <w:vAlign w:val="center"/>
          </w:tcPr>
          <w:p w14:paraId="6530A763" w14:textId="6BF3469A" w:rsidR="00EC78BB" w:rsidRPr="005D51A1" w:rsidRDefault="00000000" w:rsidP="00EC78BB">
            <w:pPr>
              <w:pStyle w:val="MDPI21heading1"/>
              <w:spacing w:before="0" w:after="0"/>
              <w:ind w:hanging="2608"/>
              <w:jc w:val="left"/>
              <w:rPr>
                <w:b w:val="0"/>
                <w:color w:val="auto"/>
                <w:sz w:val="18"/>
                <w:szCs w:val="18"/>
                <w:highlight w:val="yellow"/>
                <w:lang w:val="en-GB" w:eastAsia="en-US"/>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C</m:t>
                    </m:r>
                  </m:e>
                  <m:sub>
                    <m:r>
                      <m:rPr>
                        <m:sty m:val="bi"/>
                      </m:rPr>
                      <w:rPr>
                        <w:rFonts w:ascii="Cambria Math" w:hAnsi="Cambria Math"/>
                        <w:sz w:val="18"/>
                        <w:szCs w:val="18"/>
                      </w:rPr>
                      <m:t>t</m:t>
                    </m:r>
                  </m:sub>
                  <m:sup>
                    <m:sSup>
                      <m:sSupPr>
                        <m:ctrlPr>
                          <w:rPr>
                            <w:rFonts w:ascii="Cambria Math" w:hAnsi="Cambria Math" w:cs="Arial"/>
                            <w:b w:val="0"/>
                            <w:i/>
                            <w:kern w:val="2"/>
                            <w:sz w:val="18"/>
                            <w:szCs w:val="18"/>
                          </w:rPr>
                        </m:ctrlPr>
                      </m:sSupPr>
                      <m:e>
                        <m:r>
                          <m:rPr>
                            <m:sty m:val="bi"/>
                          </m:rPr>
                          <w:rPr>
                            <w:rFonts w:ascii="Cambria Math" w:hAnsi="Cambria Math"/>
                            <w:sz w:val="18"/>
                            <w:szCs w:val="18"/>
                          </w:rPr>
                          <m:t>TR</m:t>
                        </m:r>
                      </m:e>
                      <m:sup>
                        <m:r>
                          <m:rPr>
                            <m:sty m:val="bi"/>
                          </m:rPr>
                          <w:rPr>
                            <w:rFonts w:ascii="Cambria Math" w:hAnsi="Cambria Math"/>
                            <w:sz w:val="18"/>
                            <w:szCs w:val="18"/>
                          </w:rPr>
                          <m:t>DOWN</m:t>
                        </m:r>
                      </m:sup>
                    </m:sSup>
                  </m:sup>
                </m:sSubSup>
              </m:oMath>
            </m:oMathPara>
          </w:p>
        </w:tc>
        <w:tc>
          <w:tcPr>
            <w:tcW w:w="6379" w:type="dxa"/>
            <w:vAlign w:val="center"/>
          </w:tcPr>
          <w:p w14:paraId="16927B67" w14:textId="628EFB9D" w:rsidR="00EC78BB" w:rsidRPr="005D51A1" w:rsidRDefault="00EC78BB" w:rsidP="00EC78BB">
            <w:pPr>
              <w:pStyle w:val="MDPI21heading1"/>
              <w:spacing w:before="0" w:after="0"/>
              <w:ind w:left="2960" w:hanging="3073"/>
              <w:jc w:val="left"/>
              <w:rPr>
                <w:b w:val="0"/>
                <w:color w:val="auto"/>
                <w:sz w:val="18"/>
                <w:szCs w:val="18"/>
                <w:highlight w:val="yellow"/>
                <w:lang w:val="en-GB" w:eastAsia="en-US"/>
              </w:rPr>
            </w:pPr>
            <w:r w:rsidRPr="005D51A1">
              <w:rPr>
                <w:b w:val="0"/>
                <w:sz w:val="18"/>
                <w:szCs w:val="18"/>
              </w:rPr>
              <w:t>Price for tertiary and secondary energy.</w:t>
            </w:r>
          </w:p>
        </w:tc>
      </w:tr>
      <w:tr w:rsidR="00EC78BB" w:rsidRPr="00647E1F" w14:paraId="44674864" w14:textId="77777777" w:rsidTr="005D51A1">
        <w:tc>
          <w:tcPr>
            <w:tcW w:w="1564" w:type="dxa"/>
            <w:vAlign w:val="center"/>
          </w:tcPr>
          <w:p w14:paraId="431FDD0E" w14:textId="534FF8EB" w:rsidR="00EC78BB" w:rsidRPr="005D51A1" w:rsidRDefault="00000000" w:rsidP="00EC78BB">
            <w:pPr>
              <w:pStyle w:val="MDPI21heading1"/>
              <w:spacing w:before="0" w:after="0"/>
              <w:ind w:hanging="2608"/>
              <w:jc w:val="left"/>
              <w:rPr>
                <w:b w:val="0"/>
                <w:color w:val="auto"/>
                <w:sz w:val="18"/>
                <w:szCs w:val="18"/>
                <w:lang w:val="en-GB" w:eastAsia="en-US"/>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C</m:t>
                    </m:r>
                  </m:e>
                  <m:sub>
                    <m:r>
                      <m:rPr>
                        <m:sty m:val="bi"/>
                      </m:rPr>
                      <w:rPr>
                        <w:rFonts w:ascii="Cambria Math" w:hAnsi="Cambria Math"/>
                        <w:sz w:val="18"/>
                        <w:szCs w:val="18"/>
                      </w:rPr>
                      <m:t>t</m:t>
                    </m:r>
                  </m:sub>
                  <m:sup>
                    <m:r>
                      <m:rPr>
                        <m:sty m:val="bi"/>
                      </m:rPr>
                      <w:rPr>
                        <w:rFonts w:ascii="Cambria Math" w:hAnsi="Cambria Math"/>
                        <w:sz w:val="18"/>
                        <w:szCs w:val="18"/>
                      </w:rPr>
                      <m:t>IMB</m:t>
                    </m:r>
                  </m:sup>
                </m:sSubSup>
              </m:oMath>
            </m:oMathPara>
          </w:p>
        </w:tc>
        <w:tc>
          <w:tcPr>
            <w:tcW w:w="6379" w:type="dxa"/>
            <w:vAlign w:val="center"/>
          </w:tcPr>
          <w:p w14:paraId="387039D4" w14:textId="374CA694" w:rsidR="00EC78BB" w:rsidRPr="005D51A1" w:rsidRDefault="00EC78BB" w:rsidP="00EC78BB">
            <w:pPr>
              <w:pStyle w:val="MDPI21heading1"/>
              <w:spacing w:before="0" w:after="0"/>
              <w:ind w:left="2960" w:hanging="3073"/>
              <w:jc w:val="left"/>
              <w:rPr>
                <w:b w:val="0"/>
                <w:color w:val="auto"/>
                <w:sz w:val="18"/>
                <w:szCs w:val="18"/>
                <w:lang w:val="en-GB" w:eastAsia="en-US"/>
              </w:rPr>
            </w:pPr>
            <w:r w:rsidRPr="005D51A1">
              <w:rPr>
                <w:b w:val="0"/>
                <w:sz w:val="18"/>
                <w:szCs w:val="18"/>
              </w:rPr>
              <w:t>Price for imbalance for BRP</w:t>
            </w:r>
          </w:p>
        </w:tc>
      </w:tr>
      <w:tr w:rsidR="00EC78BB" w:rsidRPr="00647E1F" w14:paraId="4E9A07DB" w14:textId="77777777" w:rsidTr="005D51A1">
        <w:tc>
          <w:tcPr>
            <w:tcW w:w="1564" w:type="dxa"/>
            <w:vAlign w:val="center"/>
          </w:tcPr>
          <w:p w14:paraId="4950FE04" w14:textId="1BE1380C" w:rsidR="00EC78BB" w:rsidRPr="005D51A1" w:rsidRDefault="00EC78BB" w:rsidP="00EC78BB">
            <w:pPr>
              <w:pStyle w:val="MDPI21heading1"/>
              <w:spacing w:before="0" w:after="0"/>
              <w:ind w:hanging="2608"/>
              <w:jc w:val="left"/>
              <w:rPr>
                <w:b w:val="0"/>
                <w:color w:val="auto"/>
                <w:sz w:val="18"/>
                <w:szCs w:val="18"/>
                <w:lang w:val="en-GB" w:eastAsia="en-US"/>
              </w:rPr>
            </w:pPr>
            <m:oMathPara>
              <m:oMathParaPr>
                <m:jc m:val="left"/>
              </m:oMathParaPr>
              <m:oMath>
                <m:r>
                  <m:rPr>
                    <m:sty m:val="bi"/>
                  </m:rPr>
                  <w:rPr>
                    <w:rFonts w:ascii="Cambria Math" w:hAnsi="Cambria Math"/>
                    <w:sz w:val="18"/>
                    <w:szCs w:val="18"/>
                    <w:lang w:val="en-GB"/>
                  </w:rPr>
                  <m:t>n</m:t>
                </m:r>
              </m:oMath>
            </m:oMathPara>
          </w:p>
        </w:tc>
        <w:tc>
          <w:tcPr>
            <w:tcW w:w="6379" w:type="dxa"/>
            <w:vAlign w:val="center"/>
          </w:tcPr>
          <w:p w14:paraId="432DC98D" w14:textId="66AC11D7" w:rsidR="00EC78BB" w:rsidRPr="005D51A1" w:rsidRDefault="00EC78BB" w:rsidP="00EC78BB">
            <w:pPr>
              <w:pStyle w:val="MDPI21heading1"/>
              <w:spacing w:before="0" w:after="0"/>
              <w:ind w:left="2960" w:hanging="3073"/>
              <w:jc w:val="left"/>
              <w:rPr>
                <w:b w:val="0"/>
                <w:color w:val="auto"/>
                <w:sz w:val="18"/>
                <w:szCs w:val="18"/>
                <w:lang w:val="en-GB" w:eastAsia="en-US"/>
              </w:rPr>
            </w:pPr>
            <w:r w:rsidRPr="005D51A1">
              <w:rPr>
                <w:b w:val="0"/>
                <w:color w:val="auto"/>
                <w:sz w:val="18"/>
                <w:szCs w:val="18"/>
                <w:lang w:val="en-GB" w:eastAsia="en-US"/>
              </w:rPr>
              <w:t>Maximum price</w:t>
            </w:r>
          </w:p>
        </w:tc>
      </w:tr>
      <w:tr w:rsidR="00EC78BB" w:rsidRPr="00647E1F" w14:paraId="41A81A06" w14:textId="77777777" w:rsidTr="00D51F82">
        <w:tc>
          <w:tcPr>
            <w:tcW w:w="1564" w:type="dxa"/>
          </w:tcPr>
          <w:p w14:paraId="7D6C4A22" w14:textId="1A11FCCE" w:rsidR="00EC78BB" w:rsidRPr="005D51A1" w:rsidRDefault="00EC78BB" w:rsidP="00EC78BB">
            <w:pPr>
              <w:pStyle w:val="MDPI21heading1"/>
              <w:spacing w:before="0" w:after="0"/>
              <w:ind w:hanging="2608"/>
              <w:rPr>
                <w:b w:val="0"/>
                <w:color w:val="auto"/>
                <w:sz w:val="18"/>
                <w:szCs w:val="18"/>
                <w:highlight w:val="yellow"/>
                <w:lang w:val="en-GB" w:eastAsia="en-US"/>
              </w:rPr>
            </w:pPr>
            <w:r w:rsidRPr="005D51A1">
              <w:rPr>
                <w:bCs/>
                <w:color w:val="auto"/>
                <w:szCs w:val="18"/>
                <w:lang w:val="en-GB" w:eastAsia="en-US"/>
              </w:rPr>
              <w:t>Variables</w:t>
            </w:r>
          </w:p>
        </w:tc>
        <w:tc>
          <w:tcPr>
            <w:tcW w:w="6379" w:type="dxa"/>
          </w:tcPr>
          <w:p w14:paraId="3E64F216" w14:textId="77777777" w:rsidR="00EC78BB" w:rsidRPr="005D51A1" w:rsidRDefault="00EC78BB" w:rsidP="00EC78BB">
            <w:pPr>
              <w:pStyle w:val="MDPI21heading1"/>
              <w:spacing w:before="0" w:after="0"/>
              <w:ind w:left="2960" w:hanging="3073"/>
              <w:rPr>
                <w:b w:val="0"/>
                <w:color w:val="auto"/>
                <w:sz w:val="18"/>
                <w:szCs w:val="18"/>
                <w:highlight w:val="yellow"/>
                <w:lang w:val="en-GB" w:eastAsia="en-US"/>
              </w:rPr>
            </w:pPr>
          </w:p>
        </w:tc>
      </w:tr>
      <w:tr w:rsidR="00EC78BB" w:rsidRPr="00647E1F" w14:paraId="33ED8E56" w14:textId="77777777" w:rsidTr="00D51F82">
        <w:tc>
          <w:tcPr>
            <w:tcW w:w="1564" w:type="dxa"/>
          </w:tcPr>
          <w:p w14:paraId="68FB1E76" w14:textId="7A7F89BD" w:rsidR="00EC78BB" w:rsidRPr="005D51A1" w:rsidRDefault="00000000" w:rsidP="00EC78BB">
            <w:pPr>
              <w:pStyle w:val="MDPI21heading1"/>
              <w:spacing w:before="0" w:after="0"/>
              <w:ind w:hanging="2608"/>
              <w:rPr>
                <w:b w:val="0"/>
                <w:color w:val="auto"/>
                <w:sz w:val="18"/>
                <w:szCs w:val="18"/>
                <w:highlight w:val="yellow"/>
                <w:lang w:val="en-GB" w:eastAsia="en-US"/>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P</m:t>
                    </m:r>
                  </m:e>
                  <m:sub>
                    <m:r>
                      <m:rPr>
                        <m:sty m:val="bi"/>
                      </m:rPr>
                      <w:rPr>
                        <w:rFonts w:ascii="Cambria Math" w:hAnsi="Cambria Math"/>
                        <w:sz w:val="18"/>
                        <w:szCs w:val="18"/>
                      </w:rPr>
                      <m:t>t</m:t>
                    </m:r>
                  </m:sub>
                  <m:sup>
                    <m:r>
                      <m:rPr>
                        <m:sty m:val="bi"/>
                      </m:rPr>
                      <w:rPr>
                        <w:rFonts w:ascii="Cambria Math" w:hAnsi="Cambria Math"/>
                        <w:sz w:val="18"/>
                        <w:szCs w:val="18"/>
                      </w:rPr>
                      <m:t>DAM</m:t>
                    </m:r>
                  </m:sup>
                </m:sSubSup>
              </m:oMath>
            </m:oMathPara>
          </w:p>
        </w:tc>
        <w:tc>
          <w:tcPr>
            <w:tcW w:w="6379" w:type="dxa"/>
          </w:tcPr>
          <w:p w14:paraId="04CC7D3F" w14:textId="2C1BF97C" w:rsidR="00EC78BB" w:rsidRPr="005D51A1" w:rsidRDefault="00EC78BB" w:rsidP="00EC78BB">
            <w:pPr>
              <w:pStyle w:val="MDPI21heading1"/>
              <w:spacing w:before="0" w:after="0"/>
              <w:ind w:left="2960" w:hanging="3073"/>
              <w:rPr>
                <w:b w:val="0"/>
                <w:color w:val="auto"/>
                <w:sz w:val="18"/>
                <w:szCs w:val="18"/>
                <w:highlight w:val="yellow"/>
                <w:lang w:val="en-GB" w:eastAsia="en-US"/>
              </w:rPr>
            </w:pPr>
            <w:r w:rsidRPr="005D51A1">
              <w:rPr>
                <w:rFonts w:eastAsiaTheme="minorEastAsia"/>
                <w:b w:val="0"/>
                <w:sz w:val="18"/>
                <w:szCs w:val="18"/>
              </w:rPr>
              <w:t>Bid in DAM</w:t>
            </w:r>
          </w:p>
        </w:tc>
      </w:tr>
      <w:tr w:rsidR="00EC78BB" w:rsidRPr="00647E1F" w14:paraId="7AC8B90D" w14:textId="77777777" w:rsidTr="00D51F82">
        <w:tc>
          <w:tcPr>
            <w:tcW w:w="1564" w:type="dxa"/>
          </w:tcPr>
          <w:p w14:paraId="3B7A58C7" w14:textId="2D6C7297" w:rsidR="00EC78BB" w:rsidRPr="005D51A1" w:rsidRDefault="00000000" w:rsidP="00EC78BB">
            <w:pPr>
              <w:pStyle w:val="MDPI21heading1"/>
              <w:spacing w:before="0" w:after="0"/>
              <w:ind w:hanging="2608"/>
              <w:jc w:val="left"/>
              <w:rPr>
                <w:b w:val="0"/>
                <w:color w:val="auto"/>
                <w:sz w:val="18"/>
                <w:szCs w:val="18"/>
                <w:highlight w:val="yellow"/>
                <w:lang w:val="en-GB" w:eastAsia="en-US"/>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P</m:t>
                    </m:r>
                  </m:e>
                  <m:sub>
                    <m:r>
                      <m:rPr>
                        <m:sty m:val="bi"/>
                      </m:rPr>
                      <w:rPr>
                        <w:rFonts w:ascii="Cambria Math" w:hAnsi="Cambria Math"/>
                        <w:sz w:val="18"/>
                        <w:szCs w:val="18"/>
                      </w:rPr>
                      <m:t>t</m:t>
                    </m:r>
                  </m:sub>
                  <m:sup>
                    <m:r>
                      <m:rPr>
                        <m:sty m:val="bi"/>
                      </m:rPr>
                      <w:rPr>
                        <w:rFonts w:ascii="Cambria Math" w:hAnsi="Cambria Math"/>
                        <w:sz w:val="18"/>
                        <w:szCs w:val="18"/>
                      </w:rPr>
                      <m:t>IDA</m:t>
                    </m:r>
                  </m:sup>
                </m:sSubSup>
              </m:oMath>
            </m:oMathPara>
          </w:p>
        </w:tc>
        <w:tc>
          <w:tcPr>
            <w:tcW w:w="6379" w:type="dxa"/>
          </w:tcPr>
          <w:p w14:paraId="5FAC9478" w14:textId="3BF4A08B" w:rsidR="00EC78BB" w:rsidRPr="005D51A1" w:rsidRDefault="00EC78BB" w:rsidP="00EC78BB">
            <w:pPr>
              <w:pStyle w:val="MDPI21heading1"/>
              <w:spacing w:before="0" w:after="0"/>
              <w:ind w:left="2960" w:hanging="3073"/>
              <w:rPr>
                <w:b w:val="0"/>
                <w:color w:val="auto"/>
                <w:sz w:val="18"/>
                <w:szCs w:val="18"/>
                <w:highlight w:val="yellow"/>
                <w:lang w:val="en-GB" w:eastAsia="en-US"/>
              </w:rPr>
            </w:pPr>
            <w:r w:rsidRPr="005D51A1">
              <w:rPr>
                <w:rFonts w:eastAsiaTheme="minorEastAsia"/>
                <w:b w:val="0"/>
                <w:sz w:val="18"/>
                <w:szCs w:val="18"/>
              </w:rPr>
              <w:t>Bid in IDA</w:t>
            </w:r>
          </w:p>
        </w:tc>
      </w:tr>
      <w:tr w:rsidR="00EC78BB" w:rsidRPr="00647E1F" w14:paraId="0E402857" w14:textId="77777777" w:rsidTr="00D51F82">
        <w:tc>
          <w:tcPr>
            <w:tcW w:w="1564" w:type="dxa"/>
          </w:tcPr>
          <w:p w14:paraId="0170126D" w14:textId="04CC9564" w:rsidR="00EC78BB" w:rsidRPr="005D51A1" w:rsidRDefault="00000000" w:rsidP="00EC78BB">
            <w:pPr>
              <w:pStyle w:val="MDPI21heading1"/>
              <w:spacing w:before="0" w:after="0"/>
              <w:ind w:hanging="2608"/>
              <w:jc w:val="left"/>
              <w:rPr>
                <w:b w:val="0"/>
                <w:color w:val="auto"/>
                <w:sz w:val="18"/>
                <w:szCs w:val="18"/>
                <w:highlight w:val="yellow"/>
                <w:lang w:val="en-GB" w:eastAsia="en-US"/>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P</m:t>
                    </m:r>
                  </m:e>
                  <m:sub>
                    <m:r>
                      <m:rPr>
                        <m:sty m:val="bi"/>
                      </m:rPr>
                      <w:rPr>
                        <w:rFonts w:ascii="Cambria Math" w:hAnsi="Cambria Math"/>
                        <w:sz w:val="18"/>
                        <w:szCs w:val="18"/>
                      </w:rPr>
                      <m:t>t</m:t>
                    </m:r>
                  </m:sub>
                  <m:sup>
                    <m:r>
                      <m:rPr>
                        <m:sty m:val="bi"/>
                      </m:rPr>
                      <w:rPr>
                        <w:rFonts w:ascii="Cambria Math" w:hAnsi="Cambria Math"/>
                        <w:sz w:val="18"/>
                        <w:szCs w:val="18"/>
                      </w:rPr>
                      <m:t>IDC</m:t>
                    </m:r>
                  </m:sup>
                </m:sSubSup>
              </m:oMath>
            </m:oMathPara>
          </w:p>
        </w:tc>
        <w:tc>
          <w:tcPr>
            <w:tcW w:w="6379" w:type="dxa"/>
          </w:tcPr>
          <w:p w14:paraId="437F85E3" w14:textId="1D3FFB28" w:rsidR="00EC78BB" w:rsidRPr="005D51A1" w:rsidRDefault="00EC78BB" w:rsidP="00EC78BB">
            <w:pPr>
              <w:pStyle w:val="MDPI21heading1"/>
              <w:spacing w:before="0" w:after="0"/>
              <w:ind w:left="2960" w:hanging="3073"/>
              <w:rPr>
                <w:b w:val="0"/>
                <w:color w:val="auto"/>
                <w:sz w:val="18"/>
                <w:szCs w:val="18"/>
                <w:highlight w:val="yellow"/>
                <w:lang w:val="en-GB" w:eastAsia="en-US"/>
              </w:rPr>
            </w:pPr>
            <w:r w:rsidRPr="005D51A1">
              <w:rPr>
                <w:rFonts w:eastAsiaTheme="minorEastAsia"/>
                <w:b w:val="0"/>
                <w:sz w:val="18"/>
                <w:szCs w:val="18"/>
              </w:rPr>
              <w:t>Bid in IDC</w:t>
            </w:r>
          </w:p>
        </w:tc>
      </w:tr>
      <w:tr w:rsidR="00EC78BB" w:rsidRPr="00647E1F" w14:paraId="1D093E8A" w14:textId="77777777" w:rsidTr="00D51F82">
        <w:tc>
          <w:tcPr>
            <w:tcW w:w="1564" w:type="dxa"/>
          </w:tcPr>
          <w:p w14:paraId="4E584C80" w14:textId="532BBDD8" w:rsidR="00EC78BB" w:rsidRPr="005D51A1" w:rsidRDefault="00000000" w:rsidP="00EC78BB">
            <w:pPr>
              <w:pStyle w:val="MDPI21heading1"/>
              <w:spacing w:before="0" w:after="0"/>
              <w:ind w:hanging="2608"/>
              <w:jc w:val="left"/>
              <w:rPr>
                <w:b w:val="0"/>
                <w:color w:val="auto"/>
                <w:sz w:val="18"/>
                <w:szCs w:val="18"/>
                <w:highlight w:val="yellow"/>
                <w:lang w:val="en-GB" w:eastAsia="en-US"/>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P</m:t>
                    </m:r>
                  </m:e>
                  <m:sub>
                    <m:r>
                      <m:rPr>
                        <m:sty m:val="bi"/>
                      </m:rPr>
                      <w:rPr>
                        <w:rFonts w:ascii="Cambria Math" w:hAnsi="Cambria Math"/>
                        <w:sz w:val="18"/>
                        <w:szCs w:val="18"/>
                      </w:rPr>
                      <m:t>t</m:t>
                    </m:r>
                  </m:sub>
                  <m:sup>
                    <m:r>
                      <m:rPr>
                        <m:sty m:val="bi"/>
                      </m:rPr>
                      <w:rPr>
                        <w:rFonts w:ascii="Cambria Math" w:hAnsi="Cambria Math"/>
                        <w:sz w:val="18"/>
                        <w:szCs w:val="18"/>
                      </w:rPr>
                      <m:t>SR+</m:t>
                    </m:r>
                  </m:sup>
                </m:sSubSup>
              </m:oMath>
            </m:oMathPara>
          </w:p>
        </w:tc>
        <w:tc>
          <w:tcPr>
            <w:tcW w:w="6379" w:type="dxa"/>
          </w:tcPr>
          <w:p w14:paraId="2C7B9B80" w14:textId="16C7AEE6" w:rsidR="00EC78BB" w:rsidRPr="005D51A1" w:rsidRDefault="00EC78BB" w:rsidP="00EC78BB">
            <w:pPr>
              <w:pStyle w:val="MDPI21heading1"/>
              <w:spacing w:before="0" w:after="0"/>
              <w:ind w:left="2960" w:hanging="3073"/>
              <w:rPr>
                <w:b w:val="0"/>
                <w:color w:val="auto"/>
                <w:sz w:val="18"/>
                <w:szCs w:val="18"/>
                <w:highlight w:val="yellow"/>
                <w:lang w:val="en-GB" w:eastAsia="en-US"/>
              </w:rPr>
            </w:pPr>
            <w:r w:rsidRPr="005D51A1">
              <w:rPr>
                <w:rFonts w:eastAsiaTheme="minorEastAsia"/>
                <w:b w:val="0"/>
                <w:sz w:val="18"/>
                <w:szCs w:val="18"/>
              </w:rPr>
              <w:t>Upward capacity allocated</w:t>
            </w:r>
          </w:p>
        </w:tc>
      </w:tr>
      <w:tr w:rsidR="00EC78BB" w:rsidRPr="00647E1F" w14:paraId="00A13530" w14:textId="77777777" w:rsidTr="00D51F82">
        <w:tc>
          <w:tcPr>
            <w:tcW w:w="1564" w:type="dxa"/>
          </w:tcPr>
          <w:p w14:paraId="06B10117" w14:textId="47130020" w:rsidR="00EC78BB" w:rsidRPr="005D51A1" w:rsidRDefault="00000000" w:rsidP="00EC78BB">
            <w:pPr>
              <w:pStyle w:val="MDPI21heading1"/>
              <w:spacing w:before="0" w:after="0"/>
              <w:ind w:hanging="2608"/>
              <w:jc w:val="left"/>
              <w:rPr>
                <w:b w:val="0"/>
                <w:color w:val="auto"/>
                <w:sz w:val="18"/>
                <w:szCs w:val="18"/>
                <w:highlight w:val="yellow"/>
                <w:lang w:val="en-GB" w:eastAsia="en-US"/>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P</m:t>
                    </m:r>
                  </m:e>
                  <m:sub>
                    <m:r>
                      <m:rPr>
                        <m:sty m:val="bi"/>
                      </m:rPr>
                      <w:rPr>
                        <w:rFonts w:ascii="Cambria Math" w:hAnsi="Cambria Math"/>
                        <w:sz w:val="18"/>
                        <w:szCs w:val="18"/>
                      </w:rPr>
                      <m:t>t</m:t>
                    </m:r>
                  </m:sub>
                  <m:sup>
                    <m:r>
                      <m:rPr>
                        <m:sty m:val="bi"/>
                      </m:rPr>
                      <w:rPr>
                        <w:rFonts w:ascii="Cambria Math" w:hAnsi="Cambria Math"/>
                        <w:sz w:val="18"/>
                        <w:szCs w:val="18"/>
                      </w:rPr>
                      <m:t>SR-</m:t>
                    </m:r>
                  </m:sup>
                </m:sSubSup>
              </m:oMath>
            </m:oMathPara>
          </w:p>
        </w:tc>
        <w:tc>
          <w:tcPr>
            <w:tcW w:w="6379" w:type="dxa"/>
          </w:tcPr>
          <w:p w14:paraId="4F83715F" w14:textId="4FE9CFF7" w:rsidR="00EC78BB" w:rsidRPr="005D51A1" w:rsidRDefault="00EC78BB" w:rsidP="00EC78BB">
            <w:pPr>
              <w:pStyle w:val="MDPI21heading1"/>
              <w:spacing w:before="0" w:after="0"/>
              <w:ind w:left="2960" w:hanging="3073"/>
              <w:rPr>
                <w:b w:val="0"/>
                <w:color w:val="auto"/>
                <w:sz w:val="18"/>
                <w:szCs w:val="18"/>
                <w:highlight w:val="yellow"/>
                <w:lang w:val="en-GB" w:eastAsia="en-US"/>
              </w:rPr>
            </w:pPr>
            <w:r w:rsidRPr="005D51A1">
              <w:rPr>
                <w:rFonts w:eastAsiaTheme="minorEastAsia"/>
                <w:b w:val="0"/>
                <w:sz w:val="18"/>
                <w:szCs w:val="18"/>
              </w:rPr>
              <w:t>Downward capacity allocated</w:t>
            </w:r>
          </w:p>
        </w:tc>
      </w:tr>
      <w:tr w:rsidR="00EC78BB" w:rsidRPr="00647E1F" w14:paraId="2911D815" w14:textId="77777777" w:rsidTr="00D51F82">
        <w:tc>
          <w:tcPr>
            <w:tcW w:w="1564" w:type="dxa"/>
          </w:tcPr>
          <w:p w14:paraId="43822696" w14:textId="486294DB" w:rsidR="00EC78BB" w:rsidRPr="005D51A1" w:rsidRDefault="00000000" w:rsidP="00EC78BB">
            <w:pPr>
              <w:pStyle w:val="MDPI21heading1"/>
              <w:spacing w:before="0" w:after="0"/>
              <w:ind w:hanging="2608"/>
              <w:jc w:val="left"/>
              <w:rPr>
                <w:b w:val="0"/>
                <w:color w:val="auto"/>
                <w:sz w:val="18"/>
                <w:szCs w:val="18"/>
                <w:highlight w:val="yellow"/>
                <w:lang w:val="en-GB" w:eastAsia="en-US"/>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E</m:t>
                    </m:r>
                  </m:e>
                  <m:sub>
                    <m:r>
                      <m:rPr>
                        <m:sty m:val="bi"/>
                      </m:rPr>
                      <w:rPr>
                        <w:rFonts w:ascii="Cambria Math" w:hAnsi="Cambria Math"/>
                        <w:sz w:val="18"/>
                        <w:szCs w:val="18"/>
                      </w:rPr>
                      <m:t>t</m:t>
                    </m:r>
                  </m:sub>
                  <m:sup>
                    <m:r>
                      <m:rPr>
                        <m:sty m:val="bi"/>
                      </m:rPr>
                      <w:rPr>
                        <w:rFonts w:ascii="Cambria Math" w:hAnsi="Cambria Math"/>
                        <w:sz w:val="18"/>
                        <w:szCs w:val="18"/>
                      </w:rPr>
                      <m:t>SR+</m:t>
                    </m:r>
                  </m:sup>
                </m:sSubSup>
              </m:oMath>
            </m:oMathPara>
          </w:p>
        </w:tc>
        <w:tc>
          <w:tcPr>
            <w:tcW w:w="6379" w:type="dxa"/>
          </w:tcPr>
          <w:p w14:paraId="730F3284" w14:textId="1707EAF7" w:rsidR="00EC78BB" w:rsidRPr="005D51A1" w:rsidRDefault="00EC78BB" w:rsidP="00EC78BB">
            <w:pPr>
              <w:pStyle w:val="MDPI21heading1"/>
              <w:spacing w:before="0" w:after="0"/>
              <w:ind w:left="2960" w:hanging="3073"/>
              <w:rPr>
                <w:b w:val="0"/>
                <w:color w:val="auto"/>
                <w:sz w:val="18"/>
                <w:szCs w:val="18"/>
                <w:highlight w:val="yellow"/>
                <w:lang w:val="en-GB" w:eastAsia="en-US"/>
              </w:rPr>
            </w:pPr>
            <w:r w:rsidRPr="005D51A1">
              <w:rPr>
                <w:rFonts w:eastAsiaTheme="minorEastAsia"/>
                <w:b w:val="0"/>
                <w:sz w:val="18"/>
                <w:szCs w:val="18"/>
              </w:rPr>
              <w:t>Upward secondary energy activated</w:t>
            </w:r>
          </w:p>
        </w:tc>
      </w:tr>
      <w:tr w:rsidR="00EC78BB" w:rsidRPr="00647E1F" w14:paraId="123799B6" w14:textId="77777777" w:rsidTr="00D51F82">
        <w:tc>
          <w:tcPr>
            <w:tcW w:w="1564" w:type="dxa"/>
          </w:tcPr>
          <w:p w14:paraId="2C9B6749" w14:textId="21249CA0" w:rsidR="00EC78BB" w:rsidRPr="005D51A1" w:rsidRDefault="00000000" w:rsidP="00EC78BB">
            <w:pPr>
              <w:pStyle w:val="MDPI21heading1"/>
              <w:spacing w:before="0" w:after="0"/>
              <w:ind w:hanging="2608"/>
              <w:jc w:val="left"/>
              <w:rPr>
                <w:b w:val="0"/>
                <w:color w:val="auto"/>
                <w:sz w:val="18"/>
                <w:szCs w:val="18"/>
                <w:highlight w:val="yellow"/>
                <w:lang w:val="en-GB" w:eastAsia="en-US"/>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E</m:t>
                    </m:r>
                  </m:e>
                  <m:sub>
                    <m:r>
                      <m:rPr>
                        <m:sty m:val="bi"/>
                      </m:rPr>
                      <w:rPr>
                        <w:rFonts w:ascii="Cambria Math" w:hAnsi="Cambria Math"/>
                        <w:sz w:val="18"/>
                        <w:szCs w:val="18"/>
                      </w:rPr>
                      <m:t>t</m:t>
                    </m:r>
                  </m:sub>
                  <m:sup>
                    <m:r>
                      <m:rPr>
                        <m:sty m:val="bi"/>
                      </m:rPr>
                      <w:rPr>
                        <w:rFonts w:ascii="Cambria Math" w:hAnsi="Cambria Math"/>
                        <w:sz w:val="18"/>
                        <w:szCs w:val="18"/>
                      </w:rPr>
                      <m:t>SR-</m:t>
                    </m:r>
                  </m:sup>
                </m:sSubSup>
              </m:oMath>
            </m:oMathPara>
          </w:p>
        </w:tc>
        <w:tc>
          <w:tcPr>
            <w:tcW w:w="6379" w:type="dxa"/>
          </w:tcPr>
          <w:p w14:paraId="60D62433" w14:textId="5549EC6D" w:rsidR="00EC78BB" w:rsidRPr="005D51A1" w:rsidRDefault="00EC78BB" w:rsidP="00EC78BB">
            <w:pPr>
              <w:pStyle w:val="MDPI21heading1"/>
              <w:spacing w:before="0" w:after="0"/>
              <w:ind w:left="2960" w:hanging="3073"/>
              <w:rPr>
                <w:b w:val="0"/>
                <w:color w:val="auto"/>
                <w:sz w:val="18"/>
                <w:szCs w:val="18"/>
                <w:highlight w:val="yellow"/>
                <w:lang w:val="en-GB" w:eastAsia="en-US"/>
              </w:rPr>
            </w:pPr>
            <w:r w:rsidRPr="005D51A1">
              <w:rPr>
                <w:rFonts w:eastAsiaTheme="minorEastAsia"/>
                <w:b w:val="0"/>
                <w:sz w:val="18"/>
                <w:szCs w:val="18"/>
              </w:rPr>
              <w:t>Downward secondary energy activated</w:t>
            </w:r>
          </w:p>
        </w:tc>
      </w:tr>
      <w:tr w:rsidR="00EC78BB" w:rsidRPr="00647E1F" w14:paraId="6761A672" w14:textId="77777777" w:rsidTr="00D51F82">
        <w:tc>
          <w:tcPr>
            <w:tcW w:w="1564" w:type="dxa"/>
          </w:tcPr>
          <w:p w14:paraId="170888A6" w14:textId="111C74F3" w:rsidR="00EC78BB" w:rsidRPr="005D51A1" w:rsidRDefault="00000000" w:rsidP="00EC78BB">
            <w:pPr>
              <w:pStyle w:val="MDPI21heading1"/>
              <w:spacing w:before="0" w:after="0"/>
              <w:ind w:hanging="2608"/>
              <w:jc w:val="left"/>
              <w:rPr>
                <w:rFonts w:eastAsia="SimSun"/>
                <w:b w:val="0"/>
                <w:sz w:val="18"/>
                <w:szCs w:val="18"/>
                <w:lang w:val="en-GB"/>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E</m:t>
                    </m:r>
                  </m:e>
                  <m:sub>
                    <m:r>
                      <m:rPr>
                        <m:sty m:val="bi"/>
                      </m:rPr>
                      <w:rPr>
                        <w:rFonts w:ascii="Cambria Math" w:hAnsi="Cambria Math"/>
                        <w:sz w:val="18"/>
                        <w:szCs w:val="18"/>
                      </w:rPr>
                      <m:t>t</m:t>
                    </m:r>
                  </m:sub>
                  <m:sup>
                    <m:r>
                      <m:rPr>
                        <m:sty m:val="bi"/>
                      </m:rPr>
                      <w:rPr>
                        <w:rFonts w:ascii="Cambria Math" w:hAnsi="Cambria Math"/>
                        <w:sz w:val="18"/>
                        <w:szCs w:val="18"/>
                      </w:rPr>
                      <m:t>TR+</m:t>
                    </m:r>
                  </m:sup>
                </m:sSubSup>
              </m:oMath>
            </m:oMathPara>
          </w:p>
        </w:tc>
        <w:tc>
          <w:tcPr>
            <w:tcW w:w="6379" w:type="dxa"/>
          </w:tcPr>
          <w:p w14:paraId="3D6F06B8" w14:textId="65126578" w:rsidR="00EC78BB" w:rsidRPr="005D51A1" w:rsidRDefault="00EC78BB" w:rsidP="00EC78BB">
            <w:pPr>
              <w:pStyle w:val="MDPI21heading1"/>
              <w:spacing w:before="0" w:after="0"/>
              <w:ind w:left="2960" w:hanging="3073"/>
              <w:rPr>
                <w:b w:val="0"/>
                <w:bCs/>
                <w:sz w:val="18"/>
                <w:szCs w:val="18"/>
                <w:lang w:val="en-GB"/>
              </w:rPr>
            </w:pPr>
            <w:r w:rsidRPr="005D51A1">
              <w:rPr>
                <w:rFonts w:eastAsiaTheme="minorEastAsia"/>
                <w:b w:val="0"/>
                <w:sz w:val="18"/>
                <w:szCs w:val="18"/>
              </w:rPr>
              <w:t>Upward tertiary energy activated</w:t>
            </w:r>
          </w:p>
        </w:tc>
      </w:tr>
      <w:tr w:rsidR="00EC78BB" w:rsidRPr="00647E1F" w14:paraId="53F828DA" w14:textId="77777777" w:rsidTr="00D51F82">
        <w:tc>
          <w:tcPr>
            <w:tcW w:w="1564" w:type="dxa"/>
          </w:tcPr>
          <w:p w14:paraId="283B48F2" w14:textId="7E31D150" w:rsidR="00EC78BB" w:rsidRPr="005D51A1" w:rsidRDefault="00000000" w:rsidP="00EC78BB">
            <w:pPr>
              <w:pStyle w:val="MDPI21heading1"/>
              <w:spacing w:before="0" w:after="0"/>
              <w:ind w:hanging="2608"/>
              <w:jc w:val="left"/>
              <w:rPr>
                <w:rFonts w:eastAsia="SimSun"/>
                <w:b w:val="0"/>
                <w:sz w:val="18"/>
                <w:szCs w:val="18"/>
                <w:lang w:val="en-GB"/>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E</m:t>
                    </m:r>
                  </m:e>
                  <m:sub>
                    <m:r>
                      <m:rPr>
                        <m:sty m:val="bi"/>
                      </m:rPr>
                      <w:rPr>
                        <w:rFonts w:ascii="Cambria Math" w:hAnsi="Cambria Math"/>
                        <w:sz w:val="18"/>
                        <w:szCs w:val="18"/>
                      </w:rPr>
                      <m:t>t</m:t>
                    </m:r>
                  </m:sub>
                  <m:sup>
                    <m:r>
                      <m:rPr>
                        <m:sty m:val="bi"/>
                      </m:rPr>
                      <w:rPr>
                        <w:rFonts w:ascii="Cambria Math" w:hAnsi="Cambria Math"/>
                        <w:sz w:val="18"/>
                        <w:szCs w:val="18"/>
                      </w:rPr>
                      <m:t>TR-</m:t>
                    </m:r>
                  </m:sup>
                </m:sSubSup>
              </m:oMath>
            </m:oMathPara>
          </w:p>
        </w:tc>
        <w:tc>
          <w:tcPr>
            <w:tcW w:w="6379" w:type="dxa"/>
          </w:tcPr>
          <w:p w14:paraId="056A241D" w14:textId="6A57280A" w:rsidR="00EC78BB" w:rsidRPr="005D51A1" w:rsidRDefault="00EC78BB" w:rsidP="00EC78BB">
            <w:pPr>
              <w:pStyle w:val="MDPI21heading1"/>
              <w:spacing w:before="0" w:after="0"/>
              <w:ind w:left="2960" w:hanging="3073"/>
              <w:rPr>
                <w:b w:val="0"/>
                <w:bCs/>
                <w:sz w:val="18"/>
                <w:szCs w:val="18"/>
                <w:lang w:val="en-GB"/>
              </w:rPr>
            </w:pPr>
            <w:r w:rsidRPr="005D51A1">
              <w:rPr>
                <w:rFonts w:eastAsiaTheme="minorEastAsia"/>
                <w:b w:val="0"/>
                <w:sz w:val="18"/>
                <w:szCs w:val="18"/>
              </w:rPr>
              <w:t>Downward secondary energy activated</w:t>
            </w:r>
          </w:p>
        </w:tc>
      </w:tr>
      <w:tr w:rsidR="00EC78BB" w:rsidRPr="00647E1F" w14:paraId="5EAE2BA9" w14:textId="77777777" w:rsidTr="00D51F82">
        <w:tc>
          <w:tcPr>
            <w:tcW w:w="1564" w:type="dxa"/>
          </w:tcPr>
          <w:p w14:paraId="72441580" w14:textId="074CB4A9" w:rsidR="00EC78BB" w:rsidRPr="005D51A1" w:rsidRDefault="00000000" w:rsidP="00EC78BB">
            <w:pPr>
              <w:pStyle w:val="MDPI21heading1"/>
              <w:spacing w:before="0" w:after="0"/>
              <w:ind w:hanging="2608"/>
              <w:jc w:val="left"/>
              <w:rPr>
                <w:rFonts w:eastAsia="SimSun"/>
                <w:b w:val="0"/>
                <w:sz w:val="18"/>
                <w:szCs w:val="18"/>
                <w:lang w:val="en-GB"/>
              </w:rPr>
            </w:pPr>
            <m:oMathPara>
              <m:oMathParaPr>
                <m:jc m:val="left"/>
              </m:oMathParaPr>
              <m:oMath>
                <m:sSubSup>
                  <m:sSubSupPr>
                    <m:ctrlPr>
                      <w:rPr>
                        <w:rFonts w:ascii="Cambria Math" w:hAnsi="Cambria Math" w:cs="Arial"/>
                        <w:b w:val="0"/>
                        <w:i/>
                        <w:kern w:val="2"/>
                        <w:sz w:val="18"/>
                        <w:szCs w:val="18"/>
                      </w:rPr>
                    </m:ctrlPr>
                  </m:sSubSupPr>
                  <m:e>
                    <m:r>
                      <m:rPr>
                        <m:sty m:val="bi"/>
                      </m:rPr>
                      <w:rPr>
                        <w:rFonts w:ascii="Cambria Math" w:hAnsi="Cambria Math"/>
                        <w:sz w:val="18"/>
                        <w:szCs w:val="18"/>
                      </w:rPr>
                      <m:t>E</m:t>
                    </m:r>
                  </m:e>
                  <m:sub>
                    <m:r>
                      <m:rPr>
                        <m:sty m:val="bi"/>
                      </m:rPr>
                      <w:rPr>
                        <w:rFonts w:ascii="Cambria Math" w:hAnsi="Cambria Math"/>
                        <w:sz w:val="18"/>
                        <w:szCs w:val="18"/>
                      </w:rPr>
                      <m:t>t</m:t>
                    </m:r>
                  </m:sub>
                  <m:sup>
                    <m:r>
                      <m:rPr>
                        <m:sty m:val="bi"/>
                      </m:rPr>
                      <w:rPr>
                        <w:rFonts w:ascii="Cambria Math" w:hAnsi="Cambria Math"/>
                        <w:sz w:val="18"/>
                        <w:szCs w:val="18"/>
                      </w:rPr>
                      <m:t>curtail</m:t>
                    </m:r>
                  </m:sup>
                </m:sSubSup>
              </m:oMath>
            </m:oMathPara>
          </w:p>
        </w:tc>
        <w:tc>
          <w:tcPr>
            <w:tcW w:w="6379" w:type="dxa"/>
          </w:tcPr>
          <w:p w14:paraId="38F9B554" w14:textId="7F8F4E4C" w:rsidR="00EC78BB" w:rsidRPr="005D51A1" w:rsidRDefault="00EC78BB" w:rsidP="00EC78BB">
            <w:pPr>
              <w:pStyle w:val="MDPI21heading1"/>
              <w:spacing w:before="0" w:after="0"/>
              <w:ind w:left="2960" w:hanging="3073"/>
              <w:rPr>
                <w:b w:val="0"/>
                <w:bCs/>
                <w:sz w:val="18"/>
                <w:szCs w:val="18"/>
                <w:lang w:val="en-GB"/>
              </w:rPr>
            </w:pPr>
            <w:r w:rsidRPr="005D51A1">
              <w:rPr>
                <w:rFonts w:eastAsiaTheme="minorEastAsia"/>
                <w:b w:val="0"/>
                <w:sz w:val="18"/>
                <w:szCs w:val="18"/>
              </w:rPr>
              <w:t>Energy curtailed</w:t>
            </w:r>
          </w:p>
        </w:tc>
      </w:tr>
    </w:tbl>
    <w:p w14:paraId="05BCFC49" w14:textId="77777777" w:rsidR="00C9290D" w:rsidRPr="00647E1F" w:rsidRDefault="00C9290D" w:rsidP="00A73E8E">
      <w:pPr>
        <w:pStyle w:val="MDPI21heading1"/>
        <w:ind w:left="0"/>
        <w:rPr>
          <w:color w:val="auto"/>
        </w:rPr>
      </w:pPr>
      <w:r w:rsidRPr="00647E1F">
        <w:rPr>
          <w:color w:val="auto"/>
        </w:rPr>
        <w:t>References</w:t>
      </w:r>
    </w:p>
    <w:p w14:paraId="03487E62" w14:textId="77777777" w:rsidR="00C9290D" w:rsidRPr="005D51A1" w:rsidRDefault="00C9290D" w:rsidP="001D3076">
      <w:pPr>
        <w:pStyle w:val="MDPI71References"/>
        <w:numPr>
          <w:ilvl w:val="0"/>
          <w:numId w:val="0"/>
        </w:numPr>
        <w:ind w:left="425"/>
        <w:rPr>
          <w:color w:val="auto"/>
        </w:rPr>
      </w:pPr>
    </w:p>
    <w:p w14:paraId="47125EE2" w14:textId="77777777" w:rsidR="005D51A1" w:rsidRDefault="005D51A1" w:rsidP="00862F10">
      <w:pPr>
        <w:pStyle w:val="MDPI71References"/>
        <w:numPr>
          <w:ilvl w:val="0"/>
          <w:numId w:val="2"/>
        </w:numPr>
        <w:ind w:left="425" w:hanging="425"/>
        <w:rPr>
          <w:color w:val="auto"/>
        </w:rPr>
      </w:pPr>
      <w:r w:rsidRPr="005D51A1">
        <w:rPr>
          <w:rFonts w:cs="URWPalladioL-Roma"/>
          <w:color w:val="auto"/>
          <w:szCs w:val="18"/>
        </w:rPr>
        <w:t xml:space="preserve">Kirschen, D.; Strbac, G. </w:t>
      </w:r>
      <w:r w:rsidRPr="005D51A1">
        <w:rPr>
          <w:rFonts w:eastAsia="URWPalladioL-Ital" w:cs="URWPalladioL-Ital"/>
          <w:i/>
          <w:color w:val="auto"/>
          <w:szCs w:val="18"/>
        </w:rPr>
        <w:t>Fundamentals of Power System Economics</w:t>
      </w:r>
      <w:r w:rsidRPr="005D51A1">
        <w:rPr>
          <w:rFonts w:cs="URWPalladioL-Roma"/>
          <w:color w:val="auto"/>
          <w:szCs w:val="18"/>
        </w:rPr>
        <w:t>; Wiley: Chichester, UK, 2018.</w:t>
      </w:r>
    </w:p>
    <w:p w14:paraId="57BA18ED" w14:textId="77777777" w:rsidR="005D51A1" w:rsidRPr="00647E1F" w:rsidRDefault="005D51A1" w:rsidP="00862F10">
      <w:pPr>
        <w:pStyle w:val="MDPI71References"/>
        <w:numPr>
          <w:ilvl w:val="0"/>
          <w:numId w:val="2"/>
        </w:numPr>
        <w:ind w:left="425" w:hanging="425"/>
        <w:rPr>
          <w:color w:val="auto"/>
        </w:rPr>
      </w:pPr>
      <w:r w:rsidRPr="00647E1F">
        <w:rPr>
          <w:color w:val="auto"/>
        </w:rPr>
        <w:t>Hunt, S.; Shuttleworth, G. </w:t>
      </w:r>
      <w:r w:rsidRPr="00647E1F">
        <w:rPr>
          <w:i/>
          <w:iCs/>
          <w:color w:val="auto"/>
        </w:rPr>
        <w:t>Competition and Choice in Electricity</w:t>
      </w:r>
      <w:r w:rsidRPr="00647E1F">
        <w:rPr>
          <w:color w:val="auto"/>
        </w:rPr>
        <w:t>; Wiley: Chichester, UK, 1996.</w:t>
      </w:r>
    </w:p>
    <w:p w14:paraId="40827C2F" w14:textId="2A1544B3" w:rsidR="005D51A1" w:rsidRDefault="005D51A1" w:rsidP="00862F10">
      <w:pPr>
        <w:pStyle w:val="MDPI71References"/>
        <w:numPr>
          <w:ilvl w:val="0"/>
          <w:numId w:val="2"/>
        </w:numPr>
        <w:ind w:left="425" w:hanging="425"/>
        <w:rPr>
          <w:color w:val="auto"/>
        </w:rPr>
      </w:pPr>
      <w:r w:rsidRPr="005D51A1">
        <w:t xml:space="preserve">Algarvio, H. Multi-step optimization of the purchasing options of power retailers to feed their portfolios of consumers. </w:t>
      </w:r>
      <w:r w:rsidRPr="005D51A1">
        <w:rPr>
          <w:rFonts w:eastAsia="URWPalladioL-Ital" w:cs="URWPalladioL-Ital"/>
          <w:i/>
        </w:rPr>
        <w:t>Int. J. Electr. Power Energy Syst</w:t>
      </w:r>
      <w:r w:rsidRPr="005D51A1">
        <w:rPr>
          <w:rFonts w:eastAsia="URWPalladioL-Ital" w:cs="URWPalladioL-Ital"/>
        </w:rPr>
        <w:t xml:space="preserve">. </w:t>
      </w:r>
      <w:r w:rsidRPr="005D51A1">
        <w:rPr>
          <w:rFonts w:eastAsia="URWPalladioL-Bold" w:cs="URWPalladioL-Bold"/>
          <w:b/>
          <w:bCs/>
        </w:rPr>
        <w:t>2022</w:t>
      </w:r>
      <w:r w:rsidRPr="005D51A1">
        <w:t xml:space="preserve">, </w:t>
      </w:r>
      <w:r w:rsidRPr="005D51A1">
        <w:rPr>
          <w:rFonts w:eastAsia="URWPalladioL-Ital" w:cs="URWPalladioL-Ital"/>
        </w:rPr>
        <w:t>142</w:t>
      </w:r>
      <w:r w:rsidRPr="005D51A1">
        <w:t>, 108260.</w:t>
      </w:r>
    </w:p>
    <w:p w14:paraId="42F1D27C" w14:textId="14131B1A" w:rsidR="005D51A1" w:rsidRDefault="005D51A1" w:rsidP="00862F10">
      <w:pPr>
        <w:pStyle w:val="MDPI71References"/>
        <w:numPr>
          <w:ilvl w:val="0"/>
          <w:numId w:val="2"/>
        </w:numPr>
        <w:ind w:left="425" w:hanging="425"/>
        <w:rPr>
          <w:color w:val="auto"/>
        </w:rPr>
      </w:pPr>
      <w:r w:rsidRPr="005D51A1">
        <w:rPr>
          <w:color w:val="auto"/>
        </w:rPr>
        <w:t xml:space="preserve">Shahidehpour, M.; Yamin, H.; Li, Z. </w:t>
      </w:r>
      <w:r w:rsidRPr="005D51A1">
        <w:rPr>
          <w:i/>
          <w:color w:val="auto"/>
        </w:rPr>
        <w:t>Market Operations in Electric Power Systems</w:t>
      </w:r>
      <w:r w:rsidRPr="005D51A1">
        <w:rPr>
          <w:color w:val="auto"/>
        </w:rPr>
        <w:t>; Wiley: Chichester, UK, 2002.</w:t>
      </w:r>
    </w:p>
    <w:p w14:paraId="7DD7B474" w14:textId="77777777" w:rsidR="005D51A1" w:rsidRPr="00647E1F" w:rsidRDefault="005D51A1" w:rsidP="00862F10">
      <w:pPr>
        <w:pStyle w:val="MDPI71References"/>
        <w:numPr>
          <w:ilvl w:val="0"/>
          <w:numId w:val="2"/>
        </w:numPr>
        <w:ind w:left="425" w:hanging="425"/>
        <w:rPr>
          <w:color w:val="auto"/>
        </w:rPr>
      </w:pPr>
      <w:r w:rsidRPr="00647E1F">
        <w:rPr>
          <w:color w:val="auto"/>
        </w:rPr>
        <w:t>Algarvio, H.; Lopes, F.; Couto, A.; Santana, J.; Estanqueiro, A. Effects of Regulating the European Internal Market on the integration of Variable Renewable Energy. </w:t>
      </w:r>
      <w:r w:rsidRPr="00647E1F">
        <w:rPr>
          <w:i/>
          <w:iCs/>
          <w:color w:val="auto"/>
        </w:rPr>
        <w:t>WIREs Energy Environ.</w:t>
      </w:r>
      <w:r w:rsidRPr="00647E1F">
        <w:rPr>
          <w:color w:val="auto"/>
        </w:rPr>
        <w:t> </w:t>
      </w:r>
      <w:r w:rsidRPr="00647E1F">
        <w:rPr>
          <w:b/>
          <w:bCs/>
          <w:color w:val="auto"/>
        </w:rPr>
        <w:t>2019</w:t>
      </w:r>
      <w:r w:rsidRPr="00647E1F">
        <w:rPr>
          <w:color w:val="auto"/>
        </w:rPr>
        <w:t>, </w:t>
      </w:r>
      <w:r w:rsidRPr="00647E1F">
        <w:rPr>
          <w:i/>
          <w:iCs/>
          <w:color w:val="auto"/>
        </w:rPr>
        <w:t>8</w:t>
      </w:r>
      <w:r w:rsidRPr="00647E1F">
        <w:rPr>
          <w:color w:val="auto"/>
        </w:rPr>
        <w:t>, e346.</w:t>
      </w:r>
    </w:p>
    <w:p w14:paraId="4704CB0A" w14:textId="77777777" w:rsidR="005D51A1" w:rsidRPr="00647E1F" w:rsidRDefault="005D51A1" w:rsidP="00862F10">
      <w:pPr>
        <w:pStyle w:val="MDPI71References"/>
        <w:numPr>
          <w:ilvl w:val="0"/>
          <w:numId w:val="2"/>
        </w:numPr>
        <w:ind w:left="425" w:hanging="425"/>
        <w:rPr>
          <w:color w:val="auto"/>
        </w:rPr>
      </w:pPr>
      <w:r w:rsidRPr="00647E1F">
        <w:rPr>
          <w:color w:val="auto"/>
          <w:lang w:val="en-GB"/>
        </w:rPr>
        <w:t xml:space="preserve">Strbac, G.; et al. </w:t>
      </w:r>
      <w:r w:rsidRPr="00647E1F">
        <w:rPr>
          <w:color w:val="auto"/>
        </w:rPr>
        <w:t>Decarbonization of Electricity Systems in Europe: Market Design Challenges. </w:t>
      </w:r>
      <w:r w:rsidRPr="00647E1F">
        <w:rPr>
          <w:i/>
          <w:iCs/>
          <w:color w:val="auto"/>
        </w:rPr>
        <w:t>IEEE Power Energy Mag.</w:t>
      </w:r>
      <w:r w:rsidRPr="00647E1F">
        <w:rPr>
          <w:color w:val="auto"/>
        </w:rPr>
        <w:t> </w:t>
      </w:r>
      <w:r w:rsidRPr="00647E1F">
        <w:rPr>
          <w:b/>
          <w:bCs/>
          <w:color w:val="auto"/>
        </w:rPr>
        <w:t>2021</w:t>
      </w:r>
      <w:r w:rsidRPr="00647E1F">
        <w:rPr>
          <w:color w:val="auto"/>
        </w:rPr>
        <w:t>, </w:t>
      </w:r>
      <w:r w:rsidRPr="00647E1F">
        <w:rPr>
          <w:i/>
          <w:iCs/>
          <w:color w:val="auto"/>
        </w:rPr>
        <w:t>19</w:t>
      </w:r>
      <w:r w:rsidRPr="00647E1F">
        <w:rPr>
          <w:color w:val="auto"/>
        </w:rPr>
        <w:t>, 53–63</w:t>
      </w:r>
    </w:p>
    <w:p w14:paraId="3779FD7C" w14:textId="62B7083C" w:rsidR="005D51A1" w:rsidRDefault="005D51A1" w:rsidP="00862F10">
      <w:pPr>
        <w:pStyle w:val="MDPI71References"/>
        <w:numPr>
          <w:ilvl w:val="0"/>
          <w:numId w:val="1"/>
        </w:numPr>
        <w:ind w:left="425" w:hanging="425"/>
        <w:rPr>
          <w:color w:val="auto"/>
        </w:rPr>
      </w:pPr>
      <w:r w:rsidRPr="00647E1F">
        <w:rPr>
          <w:color w:val="auto"/>
        </w:rPr>
        <w:t>Maris, G.; Flouros, F. The Green Deal, National Energy and Climate Plans in Europe: Member States’ Compliance and Strategies. </w:t>
      </w:r>
      <w:r w:rsidRPr="00647E1F">
        <w:rPr>
          <w:i/>
          <w:iCs/>
          <w:color w:val="auto"/>
        </w:rPr>
        <w:t>Adm. Sci.</w:t>
      </w:r>
      <w:r w:rsidRPr="00647E1F">
        <w:rPr>
          <w:color w:val="auto"/>
        </w:rPr>
        <w:t> </w:t>
      </w:r>
      <w:r w:rsidRPr="00647E1F">
        <w:rPr>
          <w:b/>
          <w:bCs/>
          <w:color w:val="auto"/>
        </w:rPr>
        <w:t>2021</w:t>
      </w:r>
      <w:r w:rsidRPr="00647E1F">
        <w:rPr>
          <w:color w:val="auto"/>
        </w:rPr>
        <w:t>, </w:t>
      </w:r>
      <w:r w:rsidRPr="00647E1F">
        <w:rPr>
          <w:i/>
          <w:iCs/>
          <w:color w:val="auto"/>
        </w:rPr>
        <w:t>11</w:t>
      </w:r>
      <w:r w:rsidRPr="00647E1F">
        <w:rPr>
          <w:color w:val="auto"/>
        </w:rPr>
        <w:t>, 75.</w:t>
      </w:r>
    </w:p>
    <w:p w14:paraId="7D3AA036" w14:textId="4C35D6A8" w:rsidR="005D51A1" w:rsidRDefault="005D51A1" w:rsidP="00862F10">
      <w:pPr>
        <w:pStyle w:val="MDPI71References"/>
        <w:numPr>
          <w:ilvl w:val="0"/>
          <w:numId w:val="1"/>
        </w:numPr>
        <w:ind w:left="425" w:hanging="425"/>
        <w:rPr>
          <w:color w:val="auto"/>
        </w:rPr>
      </w:pPr>
      <w:r w:rsidRPr="00647E1F">
        <w:rPr>
          <w:color w:val="auto"/>
        </w:rPr>
        <w:t>Prema, V.; Bhaskar, M.S.; Almakhles, D.; Gowtham, N.; Rao, K.U. Critical Review of Data, Models and Performance Metrics for Wind and Solar Power Forecast. </w:t>
      </w:r>
      <w:r w:rsidRPr="00647E1F">
        <w:rPr>
          <w:i/>
          <w:iCs/>
          <w:color w:val="auto"/>
        </w:rPr>
        <w:t>IEEE Access</w:t>
      </w:r>
      <w:r w:rsidRPr="00647E1F">
        <w:rPr>
          <w:color w:val="auto"/>
        </w:rPr>
        <w:t> </w:t>
      </w:r>
      <w:r w:rsidRPr="00647E1F">
        <w:rPr>
          <w:b/>
          <w:bCs/>
          <w:color w:val="auto"/>
        </w:rPr>
        <w:t>2022</w:t>
      </w:r>
      <w:r w:rsidRPr="00647E1F">
        <w:rPr>
          <w:color w:val="auto"/>
        </w:rPr>
        <w:t>, </w:t>
      </w:r>
      <w:r w:rsidRPr="00647E1F">
        <w:rPr>
          <w:i/>
          <w:iCs/>
          <w:color w:val="auto"/>
        </w:rPr>
        <w:t>10</w:t>
      </w:r>
      <w:r w:rsidRPr="00647E1F">
        <w:rPr>
          <w:color w:val="auto"/>
        </w:rPr>
        <w:t>, 667–688.</w:t>
      </w:r>
    </w:p>
    <w:p w14:paraId="4878D607" w14:textId="24EBFBCE" w:rsidR="005D51A1" w:rsidRPr="005D51A1" w:rsidRDefault="005D51A1" w:rsidP="00862F10">
      <w:pPr>
        <w:pStyle w:val="MDPI71References"/>
        <w:numPr>
          <w:ilvl w:val="0"/>
          <w:numId w:val="1"/>
        </w:numPr>
        <w:ind w:left="425" w:hanging="425"/>
        <w:rPr>
          <w:color w:val="auto"/>
        </w:rPr>
      </w:pPr>
      <w:r w:rsidRPr="00647E1F">
        <w:rPr>
          <w:color w:val="auto"/>
        </w:rPr>
        <w:t>Miettinen, J.; Holttinen, H. Impacts of wind power forecast errors on the real-time balancing need: A Nordic case study. </w:t>
      </w:r>
      <w:r w:rsidRPr="00647E1F">
        <w:rPr>
          <w:i/>
          <w:iCs/>
          <w:color w:val="auto"/>
        </w:rPr>
        <w:t>IET Renew. Power Gener.</w:t>
      </w:r>
      <w:r w:rsidRPr="00647E1F">
        <w:rPr>
          <w:color w:val="auto"/>
        </w:rPr>
        <w:t> </w:t>
      </w:r>
      <w:r w:rsidRPr="00647E1F">
        <w:rPr>
          <w:b/>
          <w:bCs/>
          <w:color w:val="auto"/>
        </w:rPr>
        <w:t>2019</w:t>
      </w:r>
      <w:r w:rsidRPr="00647E1F">
        <w:rPr>
          <w:color w:val="auto"/>
        </w:rPr>
        <w:t>, </w:t>
      </w:r>
      <w:r w:rsidRPr="00647E1F">
        <w:rPr>
          <w:i/>
          <w:iCs/>
          <w:color w:val="auto"/>
        </w:rPr>
        <w:t>13</w:t>
      </w:r>
      <w:r w:rsidRPr="00647E1F">
        <w:rPr>
          <w:color w:val="auto"/>
        </w:rPr>
        <w:t>, 227–233.</w:t>
      </w:r>
    </w:p>
    <w:p w14:paraId="5A86E2AA" w14:textId="4843FFCE" w:rsidR="005D51A1" w:rsidRDefault="005D51A1" w:rsidP="00862F10">
      <w:pPr>
        <w:pStyle w:val="MDPI71References"/>
        <w:numPr>
          <w:ilvl w:val="0"/>
          <w:numId w:val="1"/>
        </w:numPr>
        <w:ind w:left="425" w:hanging="425"/>
        <w:rPr>
          <w:color w:val="auto"/>
        </w:rPr>
      </w:pPr>
      <w:r w:rsidRPr="00647E1F">
        <w:rPr>
          <w:color w:val="auto"/>
        </w:rPr>
        <w:t>Martín-Martínez, S.; Lorenzo-Bonache, A.; Honrubia-Escribano, A.; Cañas-Carretón, M.; Gómez-Lázaro, E. Contribution of wind energy to balancing markets: The case of Spain. </w:t>
      </w:r>
      <w:r w:rsidRPr="00647E1F">
        <w:rPr>
          <w:i/>
          <w:iCs/>
          <w:color w:val="auto"/>
        </w:rPr>
        <w:t>WIREs Energy Environ.</w:t>
      </w:r>
      <w:r w:rsidRPr="00647E1F">
        <w:rPr>
          <w:color w:val="auto"/>
        </w:rPr>
        <w:t> </w:t>
      </w:r>
      <w:r w:rsidRPr="00647E1F">
        <w:rPr>
          <w:b/>
          <w:bCs/>
          <w:color w:val="auto"/>
        </w:rPr>
        <w:t>2018</w:t>
      </w:r>
      <w:r w:rsidRPr="00647E1F">
        <w:rPr>
          <w:color w:val="auto"/>
        </w:rPr>
        <w:t>, </w:t>
      </w:r>
      <w:r w:rsidRPr="00647E1F">
        <w:rPr>
          <w:i/>
          <w:iCs/>
          <w:color w:val="auto"/>
        </w:rPr>
        <w:t>7</w:t>
      </w:r>
      <w:r w:rsidRPr="00647E1F">
        <w:rPr>
          <w:color w:val="auto"/>
        </w:rPr>
        <w:t>, e300.</w:t>
      </w:r>
    </w:p>
    <w:p w14:paraId="008BA342" w14:textId="77777777" w:rsidR="005D51A1" w:rsidRPr="00647E1F" w:rsidRDefault="005D51A1" w:rsidP="00862F10">
      <w:pPr>
        <w:pStyle w:val="MDPI71References"/>
        <w:numPr>
          <w:ilvl w:val="0"/>
          <w:numId w:val="1"/>
        </w:numPr>
        <w:ind w:left="425" w:hanging="425"/>
        <w:rPr>
          <w:color w:val="auto"/>
        </w:rPr>
      </w:pPr>
      <w:r w:rsidRPr="00647E1F">
        <w:rPr>
          <w:color w:val="auto"/>
        </w:rPr>
        <w:t>Algarvio, H.; Lopes, F.; Couto, A.; Estanqueiro, A. Participation of wind power producers in day-ahead and balancing markets: An overview and a simulation-based study. </w:t>
      </w:r>
      <w:r w:rsidRPr="00647E1F">
        <w:rPr>
          <w:i/>
          <w:iCs/>
          <w:color w:val="auto"/>
        </w:rPr>
        <w:t>Wiley Interdiscip. Rev. Energy Environ.</w:t>
      </w:r>
      <w:r w:rsidRPr="00647E1F">
        <w:rPr>
          <w:color w:val="auto"/>
        </w:rPr>
        <w:t> </w:t>
      </w:r>
      <w:r w:rsidRPr="00647E1F">
        <w:rPr>
          <w:b/>
          <w:bCs/>
          <w:color w:val="auto"/>
        </w:rPr>
        <w:t>2019</w:t>
      </w:r>
      <w:r w:rsidRPr="00647E1F">
        <w:rPr>
          <w:color w:val="auto"/>
        </w:rPr>
        <w:t>, </w:t>
      </w:r>
      <w:r w:rsidRPr="00647E1F">
        <w:rPr>
          <w:i/>
          <w:iCs/>
          <w:color w:val="auto"/>
        </w:rPr>
        <w:t>8</w:t>
      </w:r>
      <w:r w:rsidRPr="00647E1F">
        <w:rPr>
          <w:color w:val="auto"/>
        </w:rPr>
        <w:t xml:space="preserve">, e343. </w:t>
      </w:r>
    </w:p>
    <w:p w14:paraId="11E67D30" w14:textId="77777777" w:rsidR="005D51A1" w:rsidRDefault="005D51A1" w:rsidP="00862F10">
      <w:pPr>
        <w:pStyle w:val="MDPI71References"/>
        <w:numPr>
          <w:ilvl w:val="0"/>
          <w:numId w:val="1"/>
        </w:numPr>
        <w:ind w:left="425" w:hanging="425"/>
        <w:rPr>
          <w:color w:val="auto"/>
        </w:rPr>
      </w:pPr>
      <w:r w:rsidRPr="00647E1F">
        <w:rPr>
          <w:color w:val="auto"/>
        </w:rPr>
        <w:t>Frade, P.; Pereira, J.; Santana, J.; Catalão, J. Wind balancing costs in a power system with high wind penetration–Evidence from Portugal. </w:t>
      </w:r>
      <w:r w:rsidRPr="00647E1F">
        <w:rPr>
          <w:i/>
          <w:iCs/>
          <w:color w:val="auto"/>
        </w:rPr>
        <w:t>Energy Policy</w:t>
      </w:r>
      <w:r w:rsidRPr="00647E1F">
        <w:rPr>
          <w:color w:val="auto"/>
        </w:rPr>
        <w:t> </w:t>
      </w:r>
      <w:r w:rsidRPr="00647E1F">
        <w:rPr>
          <w:b/>
          <w:bCs/>
          <w:color w:val="auto"/>
        </w:rPr>
        <w:t>2019</w:t>
      </w:r>
      <w:r w:rsidRPr="00647E1F">
        <w:rPr>
          <w:color w:val="auto"/>
        </w:rPr>
        <w:t>, </w:t>
      </w:r>
      <w:r w:rsidRPr="00647E1F">
        <w:rPr>
          <w:i/>
          <w:iCs/>
          <w:color w:val="auto"/>
        </w:rPr>
        <w:t>132</w:t>
      </w:r>
      <w:r w:rsidRPr="00647E1F">
        <w:rPr>
          <w:color w:val="auto"/>
        </w:rPr>
        <w:t>, 702–713.</w:t>
      </w:r>
    </w:p>
    <w:p w14:paraId="785EF7EB" w14:textId="77777777" w:rsidR="005D51A1" w:rsidRPr="005D51A1" w:rsidRDefault="005D51A1" w:rsidP="00862F10">
      <w:pPr>
        <w:pStyle w:val="MDPI71References"/>
        <w:numPr>
          <w:ilvl w:val="0"/>
          <w:numId w:val="1"/>
        </w:numPr>
        <w:ind w:left="425" w:hanging="425"/>
        <w:rPr>
          <w:color w:val="auto"/>
        </w:rPr>
      </w:pPr>
      <w:r w:rsidRPr="005D51A1">
        <w:rPr>
          <w:rFonts w:cs="URWPalladioL-Roma"/>
          <w:color w:val="auto"/>
          <w:szCs w:val="18"/>
        </w:rPr>
        <w:t>Ramirez, F.J.; Honrubia-Escribano, A.; Gomez-Lazaro, E.; Pham, A.T. Combining feed-in tariffs and net-metering schemes tobalance development in adoption of photovoltaic energy: Comparative economic assessment and policy implications for European</w:t>
      </w:r>
      <w:r w:rsidRPr="005D51A1">
        <w:rPr>
          <w:color w:val="auto"/>
        </w:rPr>
        <w:t xml:space="preserve"> </w:t>
      </w:r>
      <w:r w:rsidRPr="005D51A1">
        <w:rPr>
          <w:rFonts w:cs="URWPalladioL-Roma"/>
          <w:color w:val="auto"/>
          <w:szCs w:val="18"/>
        </w:rPr>
        <w:t xml:space="preserve">countries. </w:t>
      </w:r>
      <w:r w:rsidRPr="005D51A1">
        <w:rPr>
          <w:rFonts w:eastAsia="URWPalladioL-Ital" w:cs="URWPalladioL-Ital"/>
          <w:i/>
          <w:color w:val="auto"/>
          <w:szCs w:val="18"/>
        </w:rPr>
        <w:t>Energy Policy</w:t>
      </w:r>
      <w:r w:rsidRPr="005D51A1">
        <w:rPr>
          <w:rFonts w:eastAsia="URWPalladioL-Ital" w:cs="URWPalladioL-Ital"/>
          <w:color w:val="auto"/>
          <w:szCs w:val="18"/>
        </w:rPr>
        <w:t xml:space="preserve"> </w:t>
      </w:r>
      <w:r w:rsidRPr="005D51A1">
        <w:rPr>
          <w:rFonts w:eastAsia="URWPalladioL-Bold" w:cs="URWPalladioL-Bold"/>
          <w:b/>
          <w:bCs/>
          <w:color w:val="auto"/>
          <w:szCs w:val="18"/>
        </w:rPr>
        <w:t>2017</w:t>
      </w:r>
      <w:r w:rsidRPr="005D51A1">
        <w:rPr>
          <w:rFonts w:cs="URWPalladioL-Roma"/>
          <w:color w:val="auto"/>
          <w:szCs w:val="18"/>
        </w:rPr>
        <w:t xml:space="preserve">, </w:t>
      </w:r>
      <w:r w:rsidRPr="005D51A1">
        <w:rPr>
          <w:rFonts w:eastAsia="URWPalladioL-Ital" w:cs="URWPalladioL-Ital"/>
          <w:color w:val="auto"/>
          <w:szCs w:val="18"/>
        </w:rPr>
        <w:t>102</w:t>
      </w:r>
      <w:r w:rsidRPr="005D51A1">
        <w:rPr>
          <w:rFonts w:cs="URWPalladioL-Roma"/>
          <w:color w:val="auto"/>
          <w:szCs w:val="18"/>
        </w:rPr>
        <w:t>, 440–452.</w:t>
      </w:r>
      <w:r>
        <w:rPr>
          <w:rFonts w:cs="URWPalladioL-Roma"/>
          <w:color w:val="auto"/>
          <w:szCs w:val="18"/>
        </w:rPr>
        <w:t xml:space="preserve"> </w:t>
      </w:r>
    </w:p>
    <w:p w14:paraId="05107262" w14:textId="77777777" w:rsidR="005D51A1" w:rsidRPr="005D51A1" w:rsidRDefault="005D51A1" w:rsidP="00862F10">
      <w:pPr>
        <w:pStyle w:val="MDPI71References"/>
        <w:numPr>
          <w:ilvl w:val="0"/>
          <w:numId w:val="1"/>
        </w:numPr>
        <w:ind w:left="425" w:hanging="425"/>
        <w:rPr>
          <w:color w:val="auto"/>
        </w:rPr>
      </w:pPr>
      <w:r w:rsidRPr="005D51A1">
        <w:rPr>
          <w:rFonts w:cs="URWPalladioL-Roma"/>
          <w:color w:val="auto"/>
          <w:szCs w:val="18"/>
        </w:rPr>
        <w:t xml:space="preserve">Bohland, M.; Schwenen, S. Renewable support and strategic pricing in electricity markets. </w:t>
      </w:r>
      <w:r w:rsidRPr="005D51A1">
        <w:rPr>
          <w:rFonts w:eastAsia="URWPalladioL-Ital" w:cs="URWPalladioL-Ital"/>
          <w:i/>
          <w:color w:val="auto"/>
          <w:szCs w:val="18"/>
        </w:rPr>
        <w:t>Int. J. Ind. Organ.</w:t>
      </w:r>
      <w:r w:rsidRPr="005D51A1">
        <w:rPr>
          <w:rFonts w:eastAsia="URWPalladioL-Ital" w:cs="URWPalladioL-Ital"/>
          <w:color w:val="auto"/>
          <w:szCs w:val="18"/>
        </w:rPr>
        <w:t xml:space="preserve"> </w:t>
      </w:r>
      <w:r w:rsidRPr="005D51A1">
        <w:rPr>
          <w:rFonts w:eastAsia="URWPalladioL-Bold" w:cs="URWPalladioL-Bold"/>
          <w:b/>
          <w:bCs/>
          <w:color w:val="auto"/>
          <w:szCs w:val="18"/>
        </w:rPr>
        <w:t>2022</w:t>
      </w:r>
      <w:r w:rsidRPr="005D51A1">
        <w:rPr>
          <w:rFonts w:cs="URWPalladioL-Roma"/>
          <w:color w:val="auto"/>
          <w:szCs w:val="18"/>
        </w:rPr>
        <w:t xml:space="preserve">, </w:t>
      </w:r>
      <w:r w:rsidRPr="005D51A1">
        <w:rPr>
          <w:rFonts w:eastAsia="URWPalladioL-Ital" w:cs="URWPalladioL-Ital"/>
          <w:color w:val="auto"/>
          <w:szCs w:val="18"/>
        </w:rPr>
        <w:t>80</w:t>
      </w:r>
      <w:r w:rsidRPr="005D51A1">
        <w:rPr>
          <w:rFonts w:cs="URWPalladioL-Roma"/>
          <w:color w:val="auto"/>
          <w:szCs w:val="18"/>
        </w:rPr>
        <w:t>, 102792.</w:t>
      </w:r>
    </w:p>
    <w:p w14:paraId="020F8718" w14:textId="2BBDA76E" w:rsidR="005D51A1" w:rsidRPr="005D51A1" w:rsidRDefault="005D51A1" w:rsidP="00862F10">
      <w:pPr>
        <w:pStyle w:val="MDPI71References"/>
        <w:numPr>
          <w:ilvl w:val="0"/>
          <w:numId w:val="1"/>
        </w:numPr>
        <w:ind w:left="425" w:hanging="425"/>
        <w:rPr>
          <w:color w:val="auto"/>
        </w:rPr>
      </w:pPr>
      <w:r w:rsidRPr="005D51A1">
        <w:rPr>
          <w:rFonts w:cs="URWPalladioL-Roma"/>
          <w:color w:val="auto"/>
          <w:szCs w:val="18"/>
        </w:rPr>
        <w:t>Brigatto, A.; Fanzeres, B. A soft robust methodology to devise hedging strategies in renewable energy trading based on electricity</w:t>
      </w:r>
      <w:r w:rsidRPr="005D51A1">
        <w:rPr>
          <w:color w:val="auto"/>
        </w:rPr>
        <w:t xml:space="preserve"> </w:t>
      </w:r>
      <w:r w:rsidRPr="005D51A1">
        <w:rPr>
          <w:rFonts w:cs="URWPalladioL-Roma"/>
          <w:color w:val="auto"/>
          <w:szCs w:val="18"/>
        </w:rPr>
        <w:t xml:space="preserve">options. </w:t>
      </w:r>
      <w:r w:rsidRPr="005D51A1">
        <w:rPr>
          <w:rFonts w:eastAsia="URWPalladioL-Ital" w:cs="URWPalladioL-Ital"/>
          <w:i/>
          <w:color w:val="auto"/>
          <w:szCs w:val="18"/>
        </w:rPr>
        <w:t>Electr. Power Syst. Res.</w:t>
      </w:r>
      <w:r w:rsidRPr="005D51A1">
        <w:rPr>
          <w:rFonts w:eastAsia="URWPalladioL-Ital" w:cs="URWPalladioL-Ital"/>
          <w:color w:val="auto"/>
          <w:szCs w:val="18"/>
        </w:rPr>
        <w:t xml:space="preserve"> </w:t>
      </w:r>
      <w:r w:rsidRPr="005D51A1">
        <w:rPr>
          <w:rFonts w:eastAsia="URWPalladioL-Bold" w:cs="URWPalladioL-Bold"/>
          <w:b/>
          <w:bCs/>
          <w:color w:val="auto"/>
          <w:szCs w:val="18"/>
        </w:rPr>
        <w:t>2022</w:t>
      </w:r>
      <w:r w:rsidRPr="005D51A1">
        <w:rPr>
          <w:rFonts w:cs="URWPalladioL-Roma"/>
          <w:color w:val="auto"/>
          <w:szCs w:val="18"/>
        </w:rPr>
        <w:t xml:space="preserve">, </w:t>
      </w:r>
      <w:r w:rsidRPr="005D51A1">
        <w:rPr>
          <w:rFonts w:eastAsia="URWPalladioL-Ital" w:cs="URWPalladioL-Ital"/>
          <w:color w:val="auto"/>
          <w:szCs w:val="18"/>
        </w:rPr>
        <w:t>207</w:t>
      </w:r>
      <w:r w:rsidRPr="005D51A1">
        <w:rPr>
          <w:rFonts w:cs="URWPalladioL-Roma"/>
          <w:color w:val="auto"/>
          <w:szCs w:val="18"/>
        </w:rPr>
        <w:t>, 107852.</w:t>
      </w:r>
    </w:p>
    <w:p w14:paraId="7E0F6966" w14:textId="77777777" w:rsidR="005D51A1" w:rsidRDefault="005D51A1" w:rsidP="00862F10">
      <w:pPr>
        <w:pStyle w:val="MDPI71References"/>
        <w:numPr>
          <w:ilvl w:val="0"/>
          <w:numId w:val="1"/>
        </w:numPr>
        <w:ind w:left="425" w:hanging="425"/>
        <w:rPr>
          <w:color w:val="auto"/>
        </w:rPr>
      </w:pPr>
      <w:r w:rsidRPr="005D51A1">
        <w:rPr>
          <w:rFonts w:cs="URWPalladioL-Roma"/>
          <w:color w:val="auto"/>
          <w:szCs w:val="18"/>
        </w:rPr>
        <w:t xml:space="preserve">Algarvio, H. Risk-Sharing Contracts and risk management of bilateral contracting in electricity markets. </w:t>
      </w:r>
      <w:r w:rsidRPr="005D51A1">
        <w:rPr>
          <w:rFonts w:eastAsia="URWPalladioL-Ital" w:cs="URWPalladioL-Ital"/>
          <w:i/>
          <w:color w:val="auto"/>
          <w:szCs w:val="18"/>
        </w:rPr>
        <w:t>Int. J. Electr. Power Energy</w:t>
      </w:r>
      <w:r w:rsidRPr="005D51A1">
        <w:rPr>
          <w:i/>
          <w:color w:val="auto"/>
        </w:rPr>
        <w:t xml:space="preserve"> </w:t>
      </w:r>
      <w:r w:rsidRPr="005D51A1">
        <w:rPr>
          <w:rFonts w:eastAsia="URWPalladioL-Ital" w:cs="URWPalladioL-Ital"/>
          <w:i/>
          <w:color w:val="auto"/>
          <w:szCs w:val="18"/>
        </w:rPr>
        <w:t>Syst.</w:t>
      </w:r>
      <w:r w:rsidRPr="005D51A1">
        <w:rPr>
          <w:rFonts w:eastAsia="URWPalladioL-Ital" w:cs="URWPalladioL-Ital"/>
          <w:color w:val="auto"/>
          <w:szCs w:val="18"/>
        </w:rPr>
        <w:t xml:space="preserve"> </w:t>
      </w:r>
      <w:r w:rsidRPr="005D51A1">
        <w:rPr>
          <w:rFonts w:eastAsia="URWPalladioL-Bold" w:cs="URWPalladioL-Bold"/>
          <w:b/>
          <w:bCs/>
          <w:color w:val="auto"/>
          <w:szCs w:val="18"/>
        </w:rPr>
        <w:t>2023</w:t>
      </w:r>
      <w:r w:rsidRPr="005D51A1">
        <w:rPr>
          <w:rFonts w:cs="URWPalladioL-Roma"/>
          <w:color w:val="auto"/>
          <w:szCs w:val="18"/>
        </w:rPr>
        <w:t xml:space="preserve">, </w:t>
      </w:r>
      <w:r w:rsidRPr="005D51A1">
        <w:rPr>
          <w:rFonts w:eastAsia="URWPalladioL-Ital" w:cs="URWPalladioL-Ital"/>
          <w:color w:val="auto"/>
          <w:szCs w:val="18"/>
        </w:rPr>
        <w:t>144</w:t>
      </w:r>
      <w:r w:rsidRPr="005D51A1">
        <w:rPr>
          <w:rFonts w:cs="URWPalladioL-Roma"/>
          <w:color w:val="auto"/>
          <w:szCs w:val="18"/>
        </w:rPr>
        <w:t>, 108579.</w:t>
      </w:r>
    </w:p>
    <w:p w14:paraId="6A430327" w14:textId="77777777" w:rsidR="005D51A1" w:rsidRPr="005D51A1" w:rsidRDefault="005D51A1" w:rsidP="00862F10">
      <w:pPr>
        <w:pStyle w:val="MDPI71References"/>
        <w:numPr>
          <w:ilvl w:val="0"/>
          <w:numId w:val="1"/>
        </w:numPr>
        <w:ind w:left="425" w:hanging="425"/>
        <w:rPr>
          <w:color w:val="auto"/>
        </w:rPr>
      </w:pPr>
      <w:r w:rsidRPr="005D51A1">
        <w:rPr>
          <w:color w:val="auto"/>
        </w:rPr>
        <w:t xml:space="preserve">I. Schlecht, </w:t>
      </w:r>
      <w:r>
        <w:rPr>
          <w:color w:val="auto"/>
        </w:rPr>
        <w:t>I</w:t>
      </w:r>
      <w:r w:rsidRPr="005D51A1">
        <w:rPr>
          <w:color w:val="auto"/>
        </w:rPr>
        <w:t>.</w:t>
      </w:r>
      <w:r>
        <w:rPr>
          <w:color w:val="auto"/>
        </w:rPr>
        <w:t>; Maurer, C.;</w:t>
      </w:r>
      <w:r w:rsidRPr="005D51A1">
        <w:rPr>
          <w:color w:val="auto"/>
        </w:rPr>
        <w:t xml:space="preserve"> Hirth,</w:t>
      </w:r>
      <w:r>
        <w:rPr>
          <w:color w:val="auto"/>
        </w:rPr>
        <w:t xml:space="preserve"> L. </w:t>
      </w:r>
      <w:r w:rsidRPr="005D51A1">
        <w:rPr>
          <w:color w:val="auto"/>
        </w:rPr>
        <w:t>Financial contracts for differences: The problems with</w:t>
      </w:r>
      <w:r>
        <w:rPr>
          <w:color w:val="auto"/>
        </w:rPr>
        <w:t xml:space="preserve"> </w:t>
      </w:r>
      <w:r w:rsidRPr="005D51A1">
        <w:rPr>
          <w:color w:val="auto"/>
        </w:rPr>
        <w:t>conventional CfDs in electricity markets and how forward contracts can help solve them’,</w:t>
      </w:r>
      <w:r>
        <w:rPr>
          <w:color w:val="auto"/>
        </w:rPr>
        <w:t xml:space="preserve"> </w:t>
      </w:r>
      <w:r w:rsidRPr="005D51A1">
        <w:rPr>
          <w:i/>
          <w:color w:val="auto"/>
        </w:rPr>
        <w:t>Energy Policy</w:t>
      </w:r>
      <w:r>
        <w:rPr>
          <w:i/>
          <w:color w:val="auto"/>
        </w:rPr>
        <w:t xml:space="preserve"> </w:t>
      </w:r>
      <w:r w:rsidRPr="005D51A1">
        <w:rPr>
          <w:b/>
          <w:color w:val="auto"/>
        </w:rPr>
        <w:t>2024</w:t>
      </w:r>
      <w:r>
        <w:rPr>
          <w:color w:val="auto"/>
        </w:rPr>
        <w:t>, vol. 186, p. 113981.</w:t>
      </w:r>
    </w:p>
    <w:p w14:paraId="3296E86E" w14:textId="77777777" w:rsidR="005D51A1" w:rsidRDefault="009E57A6" w:rsidP="00862F10">
      <w:pPr>
        <w:pStyle w:val="MDPI71References"/>
        <w:numPr>
          <w:ilvl w:val="0"/>
          <w:numId w:val="2"/>
        </w:numPr>
        <w:ind w:left="425" w:hanging="425"/>
        <w:rPr>
          <w:color w:val="auto"/>
        </w:rPr>
      </w:pPr>
      <w:r w:rsidRPr="00647E1F">
        <w:rPr>
          <w:color w:val="auto"/>
        </w:rPr>
        <w:t>Grubb, M.; Drummond, P.; Maximov, S. Separating electricity from gas prices through Green Power Pools: Design options and evolution. </w:t>
      </w:r>
      <w:r w:rsidRPr="00647E1F">
        <w:rPr>
          <w:i/>
          <w:iCs/>
          <w:color w:val="auto"/>
        </w:rPr>
        <w:t>Inst. New Econ. Think. Work. Pap. Ser.</w:t>
      </w:r>
      <w:r w:rsidRPr="00647E1F">
        <w:rPr>
          <w:color w:val="auto"/>
        </w:rPr>
        <w:t> </w:t>
      </w:r>
      <w:r w:rsidRPr="00647E1F">
        <w:rPr>
          <w:b/>
          <w:bCs/>
          <w:color w:val="auto"/>
        </w:rPr>
        <w:t>2022</w:t>
      </w:r>
      <w:r w:rsidRPr="00647E1F">
        <w:rPr>
          <w:color w:val="auto"/>
        </w:rPr>
        <w:t>, </w:t>
      </w:r>
      <w:r w:rsidRPr="00647E1F">
        <w:rPr>
          <w:i/>
          <w:iCs/>
          <w:color w:val="auto"/>
        </w:rPr>
        <w:t>193</w:t>
      </w:r>
      <w:r w:rsidR="005D51A1">
        <w:rPr>
          <w:color w:val="auto"/>
        </w:rPr>
        <w:t>.</w:t>
      </w:r>
    </w:p>
    <w:p w14:paraId="2152BDA1" w14:textId="77777777" w:rsidR="005D51A1" w:rsidRDefault="005D51A1" w:rsidP="00862F10">
      <w:pPr>
        <w:pStyle w:val="MDPI71References"/>
        <w:numPr>
          <w:ilvl w:val="0"/>
          <w:numId w:val="2"/>
        </w:numPr>
        <w:ind w:left="425" w:hanging="425"/>
        <w:rPr>
          <w:color w:val="auto"/>
        </w:rPr>
      </w:pPr>
      <w:r w:rsidRPr="005D51A1">
        <w:rPr>
          <w:rFonts w:cs="URWPalladioL-Roma"/>
          <w:color w:val="auto"/>
          <w:szCs w:val="18"/>
        </w:rPr>
        <w:t xml:space="preserve">Anatolitis, V.; Azanbayev, A.; Fleck, A.K. How to design efficient renewable energy auctions? Empirical insights from Europe. </w:t>
      </w:r>
      <w:r w:rsidRPr="005D51A1">
        <w:rPr>
          <w:rFonts w:eastAsia="URWPalladioL-Ital" w:cs="URWPalladioL-Ital"/>
          <w:i/>
          <w:color w:val="auto"/>
          <w:szCs w:val="18"/>
        </w:rPr>
        <w:t>Energy Policy</w:t>
      </w:r>
      <w:r w:rsidRPr="005D51A1">
        <w:rPr>
          <w:rFonts w:eastAsia="URWPalladioL-Ital" w:cs="URWPalladioL-Ital"/>
          <w:color w:val="auto"/>
          <w:szCs w:val="18"/>
        </w:rPr>
        <w:t xml:space="preserve"> </w:t>
      </w:r>
      <w:r w:rsidRPr="005D51A1">
        <w:rPr>
          <w:rFonts w:eastAsia="URWPalladioL-Bold" w:cs="URWPalladioL-Bold"/>
          <w:b/>
          <w:bCs/>
          <w:color w:val="auto"/>
          <w:szCs w:val="18"/>
        </w:rPr>
        <w:t>2022</w:t>
      </w:r>
      <w:r w:rsidRPr="005D51A1">
        <w:rPr>
          <w:rFonts w:cs="URWPalladioL-Roma"/>
          <w:color w:val="auto"/>
          <w:szCs w:val="18"/>
        </w:rPr>
        <w:t>, 166, 112982.</w:t>
      </w:r>
    </w:p>
    <w:p w14:paraId="2E4564A3" w14:textId="77777777" w:rsidR="005D51A1" w:rsidRDefault="005D51A1" w:rsidP="00862F10">
      <w:pPr>
        <w:pStyle w:val="MDPI71References"/>
        <w:numPr>
          <w:ilvl w:val="0"/>
          <w:numId w:val="2"/>
        </w:numPr>
        <w:ind w:left="425" w:hanging="425"/>
        <w:rPr>
          <w:color w:val="auto"/>
        </w:rPr>
      </w:pPr>
      <w:r w:rsidRPr="005D51A1">
        <w:rPr>
          <w:color w:val="auto"/>
        </w:rPr>
        <w:t>Nash, J</w:t>
      </w:r>
      <w:r>
        <w:rPr>
          <w:color w:val="auto"/>
        </w:rPr>
        <w:t xml:space="preserve">. </w:t>
      </w:r>
      <w:r w:rsidRPr="005D51A1">
        <w:rPr>
          <w:color w:val="auto"/>
        </w:rPr>
        <w:t>Equil</w:t>
      </w:r>
      <w:r>
        <w:rPr>
          <w:color w:val="auto"/>
        </w:rPr>
        <w:t>ibrium points in n-person games</w:t>
      </w:r>
      <w:r w:rsidRPr="005D51A1">
        <w:rPr>
          <w:color w:val="auto"/>
        </w:rPr>
        <w:t xml:space="preserve">. </w:t>
      </w:r>
      <w:r w:rsidRPr="005D51A1">
        <w:rPr>
          <w:i/>
          <w:color w:val="auto"/>
        </w:rPr>
        <w:t>PNAS</w:t>
      </w:r>
      <w:r>
        <w:rPr>
          <w:color w:val="auto"/>
        </w:rPr>
        <w:t xml:space="preserve"> </w:t>
      </w:r>
      <w:r w:rsidRPr="005D51A1">
        <w:rPr>
          <w:b/>
          <w:color w:val="auto"/>
        </w:rPr>
        <w:t>1950</w:t>
      </w:r>
      <w:r>
        <w:rPr>
          <w:color w:val="auto"/>
        </w:rPr>
        <w:t>,</w:t>
      </w:r>
      <w:r w:rsidRPr="005D51A1">
        <w:rPr>
          <w:color w:val="auto"/>
        </w:rPr>
        <w:t xml:space="preserve"> 36 (1): 48–49.</w:t>
      </w:r>
    </w:p>
    <w:p w14:paraId="3C6999FF" w14:textId="73771178" w:rsidR="00EC78BB" w:rsidRPr="00EC78BB" w:rsidRDefault="00EC78BB" w:rsidP="00862F10">
      <w:pPr>
        <w:pStyle w:val="MDPI71References"/>
        <w:numPr>
          <w:ilvl w:val="0"/>
          <w:numId w:val="2"/>
        </w:numPr>
        <w:ind w:left="425" w:hanging="425"/>
        <w:rPr>
          <w:color w:val="auto"/>
        </w:rPr>
      </w:pPr>
      <w:r w:rsidRPr="00EC78BB">
        <w:rPr>
          <w:rFonts w:cs="Helvetica"/>
          <w:color w:val="222222"/>
          <w:szCs w:val="18"/>
          <w:shd w:val="clear" w:color="auto" w:fill="FFFFFF"/>
        </w:rPr>
        <w:t>Algarvio, H.; Lopes, F.; Santana, J. Strategic Operation of Hydroelectric Power Plants in Energy Markets: A Model and a Study on the Hydro-Wind Balance. </w:t>
      </w:r>
      <w:r w:rsidRPr="00EC78BB">
        <w:rPr>
          <w:rStyle w:val="Emphasis"/>
          <w:rFonts w:cs="Helvetica"/>
          <w:color w:val="222222"/>
          <w:szCs w:val="18"/>
          <w:shd w:val="clear" w:color="auto" w:fill="FFFFFF"/>
        </w:rPr>
        <w:t>Fluids</w:t>
      </w:r>
      <w:r w:rsidRPr="00EC78BB">
        <w:rPr>
          <w:rFonts w:cs="Helvetica"/>
          <w:color w:val="222222"/>
          <w:szCs w:val="18"/>
          <w:shd w:val="clear" w:color="auto" w:fill="FFFFFF"/>
        </w:rPr>
        <w:t> </w:t>
      </w:r>
      <w:r w:rsidRPr="00EC78BB">
        <w:rPr>
          <w:rFonts w:cs="Helvetica"/>
          <w:b/>
          <w:bCs/>
          <w:color w:val="222222"/>
          <w:szCs w:val="18"/>
          <w:shd w:val="clear" w:color="auto" w:fill="FFFFFF"/>
        </w:rPr>
        <w:t>2020</w:t>
      </w:r>
      <w:r w:rsidRPr="00EC78BB">
        <w:rPr>
          <w:rFonts w:cs="Helvetica"/>
          <w:color w:val="222222"/>
          <w:szCs w:val="18"/>
          <w:shd w:val="clear" w:color="auto" w:fill="FFFFFF"/>
        </w:rPr>
        <w:t>, </w:t>
      </w:r>
      <w:r w:rsidRPr="00EC78BB">
        <w:rPr>
          <w:rStyle w:val="Emphasis"/>
          <w:rFonts w:cs="Helvetica"/>
          <w:color w:val="222222"/>
          <w:szCs w:val="18"/>
          <w:shd w:val="clear" w:color="auto" w:fill="FFFFFF"/>
        </w:rPr>
        <w:t>5</w:t>
      </w:r>
      <w:r w:rsidRPr="00EC78BB">
        <w:rPr>
          <w:rFonts w:cs="Helvetica"/>
          <w:color w:val="222222"/>
          <w:szCs w:val="18"/>
          <w:shd w:val="clear" w:color="auto" w:fill="FFFFFF"/>
        </w:rPr>
        <w:t>, 209</w:t>
      </w:r>
    </w:p>
    <w:p w14:paraId="0BD5EAB6" w14:textId="0A716CDA" w:rsidR="005D51A1" w:rsidRPr="005D51A1" w:rsidRDefault="005D51A1" w:rsidP="00862F10">
      <w:pPr>
        <w:pStyle w:val="MDPI71References"/>
        <w:numPr>
          <w:ilvl w:val="0"/>
          <w:numId w:val="2"/>
        </w:numPr>
        <w:ind w:left="425" w:hanging="425"/>
        <w:rPr>
          <w:color w:val="auto"/>
        </w:rPr>
      </w:pPr>
      <w:r w:rsidRPr="005D51A1">
        <w:rPr>
          <w:rFonts w:cs="URWPalladioL-Roma"/>
          <w:color w:val="auto"/>
          <w:szCs w:val="18"/>
        </w:rPr>
        <w:t>Rathod, A.A.; Subramanian, B. Scrutiny of Hybrid Renewable Energy System for Control, Power Management, Optimization and</w:t>
      </w:r>
      <w:r w:rsidRPr="005D51A1">
        <w:rPr>
          <w:color w:val="auto"/>
        </w:rPr>
        <w:t xml:space="preserve"> </w:t>
      </w:r>
      <w:r w:rsidRPr="005D51A1">
        <w:rPr>
          <w:rFonts w:cs="URWPalladioL-Roma"/>
          <w:color w:val="auto"/>
          <w:szCs w:val="18"/>
        </w:rPr>
        <w:t xml:space="preserve">Sizing: Challenges and Future Possibilities. </w:t>
      </w:r>
      <w:r w:rsidRPr="005D51A1">
        <w:rPr>
          <w:rFonts w:eastAsia="URWPalladioL-Ital" w:cs="URWPalladioL-Ital"/>
          <w:i/>
          <w:color w:val="auto"/>
          <w:szCs w:val="18"/>
        </w:rPr>
        <w:t>Sustainability</w:t>
      </w:r>
      <w:r w:rsidRPr="005D51A1">
        <w:rPr>
          <w:rFonts w:eastAsia="URWPalladioL-Ital" w:cs="URWPalladioL-Ital"/>
          <w:color w:val="auto"/>
          <w:szCs w:val="18"/>
        </w:rPr>
        <w:t xml:space="preserve"> </w:t>
      </w:r>
      <w:r w:rsidRPr="005D51A1">
        <w:rPr>
          <w:rFonts w:eastAsia="URWPalladioL-Bold" w:cs="URWPalladioL-Bold"/>
          <w:b/>
          <w:bCs/>
          <w:color w:val="auto"/>
          <w:szCs w:val="18"/>
        </w:rPr>
        <w:t>2022</w:t>
      </w:r>
      <w:r w:rsidRPr="005D51A1">
        <w:rPr>
          <w:rFonts w:cs="URWPalladioL-Roma"/>
          <w:color w:val="auto"/>
          <w:szCs w:val="18"/>
        </w:rPr>
        <w:t xml:space="preserve">, </w:t>
      </w:r>
      <w:r w:rsidRPr="005D51A1">
        <w:rPr>
          <w:rFonts w:eastAsia="URWPalladioL-Ital" w:cs="URWPalladioL-Ital"/>
          <w:color w:val="auto"/>
          <w:szCs w:val="18"/>
        </w:rPr>
        <w:t>14</w:t>
      </w:r>
      <w:r w:rsidRPr="005D51A1">
        <w:rPr>
          <w:rFonts w:cs="URWPalladioL-Roma"/>
          <w:color w:val="auto"/>
          <w:szCs w:val="18"/>
        </w:rPr>
        <w:t>, 16814.</w:t>
      </w:r>
    </w:p>
    <w:p w14:paraId="6CC2313C" w14:textId="353FF2DB" w:rsidR="005D51A1" w:rsidRDefault="005D51A1" w:rsidP="00862F10">
      <w:pPr>
        <w:pStyle w:val="MDPI71References"/>
        <w:numPr>
          <w:ilvl w:val="0"/>
          <w:numId w:val="1"/>
        </w:numPr>
        <w:ind w:left="425" w:hanging="425"/>
        <w:rPr>
          <w:color w:val="auto"/>
        </w:rPr>
      </w:pPr>
      <w:r w:rsidRPr="00647E1F">
        <w:rPr>
          <w:color w:val="auto"/>
        </w:rPr>
        <w:t xml:space="preserve">Lei, X.; Yu, H.; Zhong, J.; Jia, Y.; Shao, Z.; Jian, L. Exploring electric vehicle's potential as capacity reservation through V2G operation to compensate load deviation in distribution systems. </w:t>
      </w:r>
      <w:r w:rsidRPr="00647E1F">
        <w:rPr>
          <w:i/>
          <w:iCs/>
          <w:color w:val="auto"/>
        </w:rPr>
        <w:t xml:space="preserve">Journal of Cleaner Production </w:t>
      </w:r>
      <w:r w:rsidRPr="00647E1F">
        <w:rPr>
          <w:b/>
          <w:bCs/>
          <w:color w:val="auto"/>
        </w:rPr>
        <w:t>2024</w:t>
      </w:r>
      <w:r w:rsidRPr="00647E1F">
        <w:rPr>
          <w:color w:val="auto"/>
        </w:rPr>
        <w:t xml:space="preserve">, </w:t>
      </w:r>
      <w:r w:rsidRPr="00647E1F">
        <w:rPr>
          <w:i/>
          <w:iCs/>
          <w:color w:val="auto"/>
        </w:rPr>
        <w:t>451</w:t>
      </w:r>
      <w:r w:rsidRPr="00647E1F">
        <w:rPr>
          <w:color w:val="auto"/>
        </w:rPr>
        <w:t>, 141997.</w:t>
      </w:r>
    </w:p>
    <w:p w14:paraId="71549B77" w14:textId="34A8CF2C" w:rsidR="00EC78BB" w:rsidRPr="00EC78BB" w:rsidRDefault="00EC78BB" w:rsidP="00862F10">
      <w:pPr>
        <w:pStyle w:val="MDPI71References"/>
        <w:numPr>
          <w:ilvl w:val="0"/>
          <w:numId w:val="2"/>
        </w:numPr>
        <w:ind w:left="425" w:hanging="425"/>
        <w:rPr>
          <w:color w:val="auto"/>
        </w:rPr>
      </w:pPr>
      <w:r w:rsidRPr="005D51A1">
        <w:rPr>
          <w:rFonts w:cs="URWPalladioL-Roma"/>
          <w:color w:val="auto"/>
          <w:szCs w:val="18"/>
        </w:rPr>
        <w:t xml:space="preserve">Grubb, M.; Newbery, D. UK Electricity Market Reform and the Energy Transition: Emerging Lessons. </w:t>
      </w:r>
      <w:r w:rsidRPr="005D51A1">
        <w:rPr>
          <w:rFonts w:eastAsia="URWPalladioL-Ital" w:cs="URWPalladioL-Ital"/>
          <w:i/>
          <w:color w:val="auto"/>
          <w:szCs w:val="18"/>
        </w:rPr>
        <w:t>The Energy Journal</w:t>
      </w:r>
      <w:r w:rsidRPr="005D51A1">
        <w:rPr>
          <w:rFonts w:eastAsia="URWPalladioL-Ital" w:cs="URWPalladioL-Ital"/>
          <w:color w:val="auto"/>
          <w:szCs w:val="18"/>
        </w:rPr>
        <w:t xml:space="preserve"> </w:t>
      </w:r>
      <w:r w:rsidRPr="005D51A1">
        <w:rPr>
          <w:rFonts w:eastAsia="URWPalladioL-Bold" w:cs="URWPalladioL-Bold"/>
          <w:b/>
          <w:bCs/>
          <w:color w:val="auto"/>
          <w:szCs w:val="18"/>
        </w:rPr>
        <w:t>2018</w:t>
      </w:r>
      <w:r w:rsidRPr="005D51A1">
        <w:rPr>
          <w:rFonts w:cs="URWPalladioL-Roma"/>
          <w:color w:val="auto"/>
          <w:szCs w:val="18"/>
        </w:rPr>
        <w:t>,</w:t>
      </w:r>
      <w:r w:rsidRPr="005D51A1">
        <w:rPr>
          <w:color w:val="auto"/>
        </w:rPr>
        <w:t xml:space="preserve"> </w:t>
      </w:r>
      <w:r w:rsidRPr="005D51A1">
        <w:rPr>
          <w:rFonts w:eastAsia="URWPalladioL-Ital" w:cs="URWPalladioL-Ital"/>
          <w:color w:val="auto"/>
          <w:szCs w:val="18"/>
        </w:rPr>
        <w:t>39(6)</w:t>
      </w:r>
      <w:r w:rsidRPr="005D51A1">
        <w:rPr>
          <w:rFonts w:cs="URWPalladioL-Roma"/>
          <w:color w:val="auto"/>
          <w:szCs w:val="18"/>
        </w:rPr>
        <w:t>.</w:t>
      </w:r>
    </w:p>
    <w:p w14:paraId="538258F6" w14:textId="77777777" w:rsidR="00EC78BB" w:rsidRPr="00647E1F" w:rsidRDefault="00EC78BB" w:rsidP="00862F10">
      <w:pPr>
        <w:pStyle w:val="MDPI71References"/>
        <w:numPr>
          <w:ilvl w:val="0"/>
          <w:numId w:val="1"/>
        </w:numPr>
        <w:ind w:left="425" w:hanging="425"/>
        <w:rPr>
          <w:color w:val="auto"/>
        </w:rPr>
      </w:pPr>
      <w:r w:rsidRPr="00647E1F">
        <w:rPr>
          <w:color w:val="auto"/>
        </w:rPr>
        <w:t>Prol, J.; Steininger, K.; Zilberman, D. The cannibalization effect of wind and solar in the California wholesale electricity market. </w:t>
      </w:r>
      <w:r w:rsidRPr="00647E1F">
        <w:rPr>
          <w:i/>
          <w:iCs/>
          <w:color w:val="auto"/>
        </w:rPr>
        <w:t>Energy Econ.</w:t>
      </w:r>
      <w:r w:rsidRPr="00647E1F">
        <w:rPr>
          <w:color w:val="auto"/>
        </w:rPr>
        <w:t> </w:t>
      </w:r>
      <w:r w:rsidRPr="00647E1F">
        <w:rPr>
          <w:b/>
          <w:bCs/>
          <w:color w:val="auto"/>
        </w:rPr>
        <w:t>2020</w:t>
      </w:r>
      <w:r w:rsidRPr="00647E1F">
        <w:rPr>
          <w:color w:val="auto"/>
        </w:rPr>
        <w:t>, </w:t>
      </w:r>
      <w:r w:rsidRPr="00647E1F">
        <w:rPr>
          <w:i/>
          <w:iCs/>
          <w:color w:val="auto"/>
        </w:rPr>
        <w:t>85</w:t>
      </w:r>
      <w:r w:rsidRPr="00647E1F">
        <w:rPr>
          <w:color w:val="auto"/>
        </w:rPr>
        <w:t>, 104552.</w:t>
      </w:r>
    </w:p>
    <w:p w14:paraId="4B209ADC" w14:textId="2DD2E56D" w:rsidR="00EC78BB" w:rsidRPr="00EC78BB" w:rsidRDefault="00EC78BB" w:rsidP="00862F10">
      <w:pPr>
        <w:pStyle w:val="MDPI71References"/>
        <w:numPr>
          <w:ilvl w:val="0"/>
          <w:numId w:val="1"/>
        </w:numPr>
        <w:ind w:left="425" w:hanging="425"/>
        <w:rPr>
          <w:color w:val="auto"/>
        </w:rPr>
      </w:pPr>
      <w:r w:rsidRPr="00647E1F">
        <w:rPr>
          <w:color w:val="auto"/>
        </w:rPr>
        <w:t>Hinderks, W.J.; Wagner, A. Factor models in the German electricity market: Stylized facts, seasonality, and calibration. </w:t>
      </w:r>
      <w:r w:rsidRPr="00647E1F">
        <w:rPr>
          <w:i/>
          <w:iCs/>
          <w:color w:val="auto"/>
        </w:rPr>
        <w:t>Energy Econ.</w:t>
      </w:r>
      <w:r w:rsidRPr="00647E1F">
        <w:rPr>
          <w:color w:val="auto"/>
        </w:rPr>
        <w:t> </w:t>
      </w:r>
      <w:r w:rsidRPr="00647E1F">
        <w:rPr>
          <w:b/>
          <w:bCs/>
          <w:color w:val="auto"/>
        </w:rPr>
        <w:t>2020</w:t>
      </w:r>
      <w:r w:rsidRPr="00647E1F">
        <w:rPr>
          <w:color w:val="auto"/>
        </w:rPr>
        <w:t>, </w:t>
      </w:r>
      <w:r w:rsidRPr="00647E1F">
        <w:rPr>
          <w:i/>
          <w:iCs/>
          <w:color w:val="auto"/>
        </w:rPr>
        <w:t>85</w:t>
      </w:r>
      <w:r w:rsidRPr="00647E1F">
        <w:rPr>
          <w:color w:val="auto"/>
        </w:rPr>
        <w:t>, 104351.</w:t>
      </w:r>
    </w:p>
    <w:p w14:paraId="7B2684BD" w14:textId="6C6A05ED" w:rsidR="00EC78BB" w:rsidRPr="00EC78BB" w:rsidRDefault="00EC78BB" w:rsidP="00862F10">
      <w:pPr>
        <w:pStyle w:val="MDPI71References"/>
        <w:numPr>
          <w:ilvl w:val="0"/>
          <w:numId w:val="1"/>
        </w:numPr>
        <w:ind w:left="425" w:hanging="425"/>
        <w:rPr>
          <w:color w:val="auto"/>
        </w:rPr>
      </w:pPr>
      <w:r w:rsidRPr="00647E1F">
        <w:rPr>
          <w:color w:val="auto"/>
        </w:rPr>
        <w:lastRenderedPageBreak/>
        <w:t>Nordström, H.; Söder, L.; Flynn, D.; Matevosyan, J.; Kiviluoma, J.; Holttinen, H.; Vrana, T.K.; van der Welle, A.; Morales-España, G.; Pudjianto, D.; et al. Strategies for Continuous Balancing in Future Power Systems with High Wind and Solar Shares. </w:t>
      </w:r>
      <w:r w:rsidRPr="00647E1F">
        <w:rPr>
          <w:i/>
          <w:iCs/>
          <w:color w:val="auto"/>
        </w:rPr>
        <w:t>Energies</w:t>
      </w:r>
      <w:r w:rsidRPr="00647E1F">
        <w:rPr>
          <w:color w:val="auto"/>
        </w:rPr>
        <w:t> </w:t>
      </w:r>
      <w:r w:rsidRPr="00647E1F">
        <w:rPr>
          <w:b/>
          <w:bCs/>
          <w:color w:val="auto"/>
        </w:rPr>
        <w:t>2023</w:t>
      </w:r>
      <w:r w:rsidRPr="00647E1F">
        <w:rPr>
          <w:color w:val="auto"/>
        </w:rPr>
        <w:t>, </w:t>
      </w:r>
      <w:r w:rsidRPr="00647E1F">
        <w:rPr>
          <w:i/>
          <w:iCs/>
          <w:color w:val="auto"/>
        </w:rPr>
        <w:t>16</w:t>
      </w:r>
      <w:r w:rsidRPr="00647E1F">
        <w:rPr>
          <w:color w:val="auto"/>
        </w:rPr>
        <w:t>, 5249.</w:t>
      </w:r>
    </w:p>
    <w:p w14:paraId="25DC2761" w14:textId="26288296" w:rsidR="005D51A1" w:rsidRPr="00647E1F" w:rsidRDefault="005D51A1" w:rsidP="00862F10">
      <w:pPr>
        <w:pStyle w:val="MDPI71References"/>
        <w:numPr>
          <w:ilvl w:val="0"/>
          <w:numId w:val="1"/>
        </w:numPr>
        <w:ind w:left="425" w:hanging="425"/>
        <w:rPr>
          <w:color w:val="auto"/>
        </w:rPr>
      </w:pPr>
      <w:r w:rsidRPr="00647E1F">
        <w:rPr>
          <w:color w:val="auto"/>
        </w:rPr>
        <w:t>Skytte, K.; Bobo, L. Increasing the value of wind: From passive to active actors in multiple power markets. </w:t>
      </w:r>
      <w:r w:rsidRPr="00647E1F">
        <w:rPr>
          <w:i/>
          <w:iCs/>
          <w:color w:val="auto"/>
        </w:rPr>
        <w:t>WIREs Energy Environ.</w:t>
      </w:r>
      <w:r w:rsidRPr="00647E1F">
        <w:rPr>
          <w:color w:val="auto"/>
        </w:rPr>
        <w:t> </w:t>
      </w:r>
      <w:r w:rsidRPr="00647E1F">
        <w:rPr>
          <w:b/>
          <w:bCs/>
          <w:color w:val="auto"/>
        </w:rPr>
        <w:t>2019</w:t>
      </w:r>
      <w:r w:rsidRPr="00647E1F">
        <w:rPr>
          <w:color w:val="auto"/>
        </w:rPr>
        <w:t>, </w:t>
      </w:r>
      <w:r w:rsidRPr="00647E1F">
        <w:rPr>
          <w:i/>
          <w:iCs/>
          <w:color w:val="auto"/>
        </w:rPr>
        <w:t>8</w:t>
      </w:r>
      <w:r w:rsidRPr="00647E1F">
        <w:rPr>
          <w:color w:val="auto"/>
        </w:rPr>
        <w:t>.</w:t>
      </w:r>
    </w:p>
    <w:p w14:paraId="692F05C2" w14:textId="77777777" w:rsidR="00EC78BB" w:rsidRDefault="005D51A1" w:rsidP="00862F10">
      <w:pPr>
        <w:pStyle w:val="MDPI71References"/>
        <w:numPr>
          <w:ilvl w:val="0"/>
          <w:numId w:val="1"/>
        </w:numPr>
        <w:ind w:left="425" w:hanging="425"/>
        <w:rPr>
          <w:color w:val="auto"/>
        </w:rPr>
      </w:pPr>
      <w:r w:rsidRPr="00647E1F">
        <w:rPr>
          <w:color w:val="auto"/>
        </w:rPr>
        <w:t>Algarvio, H.; Lopes, F.; Couto, A.; Estanqueiro, A.; Santana, J. Variable Renewable Energy and Market Design: New Products and a Real-World Study. </w:t>
      </w:r>
      <w:r w:rsidRPr="00647E1F">
        <w:rPr>
          <w:i/>
          <w:iCs/>
          <w:color w:val="auto"/>
        </w:rPr>
        <w:t>Energies</w:t>
      </w:r>
      <w:r w:rsidRPr="00647E1F">
        <w:rPr>
          <w:color w:val="auto"/>
        </w:rPr>
        <w:t> </w:t>
      </w:r>
      <w:r w:rsidRPr="00647E1F">
        <w:rPr>
          <w:b/>
          <w:bCs/>
          <w:color w:val="auto"/>
        </w:rPr>
        <w:t>2019</w:t>
      </w:r>
      <w:r w:rsidRPr="00647E1F">
        <w:rPr>
          <w:color w:val="auto"/>
        </w:rPr>
        <w:t>, </w:t>
      </w:r>
      <w:r w:rsidRPr="00647E1F">
        <w:rPr>
          <w:i/>
          <w:iCs/>
          <w:color w:val="auto"/>
        </w:rPr>
        <w:t>12</w:t>
      </w:r>
      <w:r w:rsidRPr="00647E1F">
        <w:rPr>
          <w:color w:val="auto"/>
        </w:rPr>
        <w:t>, 4576.</w:t>
      </w:r>
      <w:bookmarkStart w:id="17" w:name="_Ref190788990"/>
    </w:p>
    <w:p w14:paraId="7E029776" w14:textId="0EB0EC46" w:rsidR="00EC78BB" w:rsidRPr="00EC78BB" w:rsidRDefault="00EC78BB" w:rsidP="00862F10">
      <w:pPr>
        <w:pStyle w:val="MDPI71References"/>
        <w:numPr>
          <w:ilvl w:val="0"/>
          <w:numId w:val="1"/>
        </w:numPr>
        <w:ind w:left="425" w:hanging="425"/>
        <w:rPr>
          <w:color w:val="auto"/>
        </w:rPr>
      </w:pPr>
      <w:r w:rsidRPr="00EC78BB">
        <w:rPr>
          <w:rFonts w:asciiTheme="minorHAnsi" w:hAnsiTheme="minorHAnsi" w:cs="Arial"/>
          <w:color w:val="auto"/>
          <w:kern w:val="2"/>
          <w:szCs w:val="18"/>
          <w:lang w:val="en-GB" w:eastAsia="en-US"/>
        </w:rPr>
        <w:t xml:space="preserve">Hamon, C.; Persson, M. Wind Power Participation in Frequency Regulation: A Profitability Assessment for Sweden. Available online: </w:t>
      </w:r>
      <w:hyperlink r:id="rId22" w:tgtFrame="_new" w:history="1">
        <w:r w:rsidRPr="00EC78BB">
          <w:rPr>
            <w:rFonts w:asciiTheme="minorHAnsi" w:hAnsiTheme="minorHAnsi" w:cs="Arial"/>
            <w:color w:val="0563C1"/>
            <w:kern w:val="2"/>
            <w:szCs w:val="18"/>
            <w:u w:val="single"/>
            <w:lang w:val="en-GB" w:eastAsia="en-US"/>
          </w:rPr>
          <w:t>https://urn.kb.se/resolve?urn=urn:nbn:se:ri:diva-64365</w:t>
        </w:r>
      </w:hyperlink>
      <w:r w:rsidRPr="00EC78BB">
        <w:rPr>
          <w:rFonts w:asciiTheme="minorHAnsi" w:hAnsiTheme="minorHAnsi" w:cs="Arial"/>
          <w:color w:val="auto"/>
          <w:kern w:val="2"/>
          <w:szCs w:val="18"/>
          <w:lang w:val="en-GB" w:eastAsia="en-US"/>
        </w:rPr>
        <w:t xml:space="preserve"> (accessed on February 18, 2025).</w:t>
      </w:r>
      <w:bookmarkEnd w:id="17"/>
    </w:p>
    <w:p w14:paraId="6E681229" w14:textId="77777777" w:rsidR="00EC78BB" w:rsidRPr="00647E1F" w:rsidRDefault="00EC78BB" w:rsidP="00862F10">
      <w:pPr>
        <w:pStyle w:val="MDPI71References"/>
        <w:numPr>
          <w:ilvl w:val="0"/>
          <w:numId w:val="1"/>
        </w:numPr>
        <w:ind w:left="425" w:hanging="425"/>
        <w:rPr>
          <w:color w:val="auto"/>
          <w:lang w:val="en-GB"/>
        </w:rPr>
      </w:pPr>
      <w:r w:rsidRPr="00647E1F">
        <w:rPr>
          <w:color w:val="auto"/>
        </w:rPr>
        <w:t>Sleisz, A.; Sores, P.; Raisz, D. Algorithmic properties of the all-European day-ahead electricity market. In Proceedings of the 11th International Conference on the European Energy Market (EEM-14), Krakow, Poland, 28–30 May 2014; pp. 1–6.</w:t>
      </w:r>
    </w:p>
    <w:p w14:paraId="5DC62803" w14:textId="77777777" w:rsidR="00EC78BB" w:rsidRPr="00647E1F" w:rsidRDefault="00EC78BB" w:rsidP="00862F10">
      <w:pPr>
        <w:pStyle w:val="MDPI71References"/>
        <w:numPr>
          <w:ilvl w:val="0"/>
          <w:numId w:val="1"/>
        </w:numPr>
        <w:ind w:left="425" w:hanging="425"/>
        <w:rPr>
          <w:color w:val="auto"/>
          <w:lang w:val="en-GB"/>
        </w:rPr>
      </w:pPr>
      <w:r w:rsidRPr="00647E1F">
        <w:rPr>
          <w:color w:val="auto"/>
        </w:rPr>
        <w:t>Roumkos, C.; Biskas, P.N.; Marneris, I.G. Integration of European Electricity Balancing Markets. </w:t>
      </w:r>
      <w:r w:rsidRPr="00647E1F">
        <w:rPr>
          <w:i/>
          <w:iCs/>
          <w:color w:val="auto"/>
        </w:rPr>
        <w:t>Energies</w:t>
      </w:r>
      <w:r w:rsidRPr="00647E1F">
        <w:rPr>
          <w:color w:val="auto"/>
        </w:rPr>
        <w:t> </w:t>
      </w:r>
      <w:r w:rsidRPr="00647E1F">
        <w:rPr>
          <w:b/>
          <w:bCs/>
          <w:color w:val="auto"/>
        </w:rPr>
        <w:t>2022</w:t>
      </w:r>
      <w:r w:rsidRPr="00647E1F">
        <w:rPr>
          <w:color w:val="auto"/>
        </w:rPr>
        <w:t>, </w:t>
      </w:r>
      <w:r w:rsidRPr="00647E1F">
        <w:rPr>
          <w:i/>
          <w:iCs/>
          <w:color w:val="auto"/>
        </w:rPr>
        <w:t>15</w:t>
      </w:r>
      <w:r w:rsidRPr="00647E1F">
        <w:rPr>
          <w:color w:val="auto"/>
        </w:rPr>
        <w:t>, 2240.</w:t>
      </w:r>
    </w:p>
    <w:p w14:paraId="14ABBD08" w14:textId="4253544A" w:rsidR="00EC78BB" w:rsidRPr="00EC78BB" w:rsidRDefault="00EC78BB" w:rsidP="00862F10">
      <w:pPr>
        <w:pStyle w:val="MDPI71References"/>
        <w:numPr>
          <w:ilvl w:val="0"/>
          <w:numId w:val="1"/>
        </w:numPr>
        <w:ind w:left="425" w:hanging="425"/>
        <w:rPr>
          <w:color w:val="auto"/>
        </w:rPr>
      </w:pPr>
      <w:r w:rsidRPr="00EC78BB">
        <w:rPr>
          <w:color w:val="auto"/>
        </w:rPr>
        <w:t xml:space="preserve">ENTSO-E. ENTSO-E network code on electricity balancing. August 2024. Available online: </w:t>
      </w:r>
      <w:hyperlink r:id="rId23" w:history="1">
        <w:r w:rsidRPr="00EC78BB">
          <w:rPr>
            <w:rStyle w:val="Hyperlink"/>
            <w:color w:val="auto"/>
          </w:rPr>
          <w:t>https://eepublicdownloads.entsoe.eu/clean-documents/Network%20codes%20documents/NC%20EB/140806_NCEB_Resubmission_to_ACER_v.03.PDF</w:t>
        </w:r>
      </w:hyperlink>
      <w:r w:rsidRPr="00EC78BB">
        <w:rPr>
          <w:color w:val="auto"/>
        </w:rPr>
        <w:t xml:space="preserve"> </w:t>
      </w:r>
      <w:r w:rsidRPr="00EC78BB">
        <w:rPr>
          <w:rFonts w:asciiTheme="minorHAnsi" w:hAnsiTheme="minorHAnsi" w:cs="Arial"/>
          <w:color w:val="auto"/>
          <w:kern w:val="2"/>
          <w:szCs w:val="18"/>
          <w:lang w:val="en-GB" w:eastAsia="en-US"/>
        </w:rPr>
        <w:t>(accessed on February 18, 2025).</w:t>
      </w:r>
    </w:p>
    <w:p w14:paraId="15F9EC59" w14:textId="2A623583" w:rsidR="00EC78BB" w:rsidRPr="00647E1F" w:rsidRDefault="00EC78BB" w:rsidP="00862F10">
      <w:pPr>
        <w:pStyle w:val="MDPI71References"/>
        <w:numPr>
          <w:ilvl w:val="0"/>
          <w:numId w:val="1"/>
        </w:numPr>
        <w:ind w:left="425" w:hanging="425"/>
        <w:rPr>
          <w:color w:val="auto"/>
        </w:rPr>
      </w:pPr>
      <w:r w:rsidRPr="00647E1F">
        <w:rPr>
          <w:color w:val="auto"/>
        </w:rPr>
        <w:t>Matsumoto, T.; Bunn, D.; Yamada, Y. Mitigation of the inefficiency in imbalance settlement designs using day-ahead prices. </w:t>
      </w:r>
      <w:r w:rsidRPr="00647E1F">
        <w:rPr>
          <w:i/>
          <w:iCs/>
          <w:color w:val="auto"/>
        </w:rPr>
        <w:t>IEEE Trans. Power Syst.</w:t>
      </w:r>
      <w:r w:rsidRPr="00647E1F">
        <w:rPr>
          <w:color w:val="auto"/>
        </w:rPr>
        <w:t> </w:t>
      </w:r>
      <w:r w:rsidRPr="00647E1F">
        <w:rPr>
          <w:b/>
          <w:bCs/>
          <w:color w:val="auto"/>
        </w:rPr>
        <w:t>2022</w:t>
      </w:r>
      <w:r w:rsidRPr="00647E1F">
        <w:rPr>
          <w:color w:val="auto"/>
        </w:rPr>
        <w:t>, </w:t>
      </w:r>
      <w:r w:rsidRPr="00647E1F">
        <w:rPr>
          <w:i/>
          <w:iCs/>
          <w:color w:val="auto"/>
        </w:rPr>
        <w:t>37</w:t>
      </w:r>
      <w:r w:rsidRPr="00647E1F">
        <w:rPr>
          <w:color w:val="auto"/>
        </w:rPr>
        <w:t>, 3333–3345.</w:t>
      </w:r>
    </w:p>
    <w:p w14:paraId="27B6A665" w14:textId="77777777" w:rsidR="00EC78BB" w:rsidRPr="00647E1F" w:rsidRDefault="00EC78BB" w:rsidP="00862F10">
      <w:pPr>
        <w:pStyle w:val="MDPI71References"/>
        <w:numPr>
          <w:ilvl w:val="0"/>
          <w:numId w:val="1"/>
        </w:numPr>
        <w:ind w:left="425" w:hanging="425"/>
        <w:rPr>
          <w:color w:val="auto"/>
        </w:rPr>
      </w:pPr>
      <w:r w:rsidRPr="00647E1F">
        <w:rPr>
          <w:color w:val="auto"/>
        </w:rPr>
        <w:t>Frade, P.; Osório, G.; Santana, J.; Catalão, J. Cooperation Regional coordination in ancillary services: An innovative study for secondary control in the Iberian electrical system. </w:t>
      </w:r>
      <w:r w:rsidRPr="00647E1F">
        <w:rPr>
          <w:i/>
          <w:iCs/>
          <w:color w:val="auto"/>
        </w:rPr>
        <w:t>Int. J. Electr. Power Energy Syst.</w:t>
      </w:r>
      <w:r w:rsidRPr="00647E1F">
        <w:rPr>
          <w:color w:val="auto"/>
        </w:rPr>
        <w:t> </w:t>
      </w:r>
      <w:r w:rsidRPr="00647E1F">
        <w:rPr>
          <w:b/>
          <w:bCs/>
          <w:color w:val="auto"/>
        </w:rPr>
        <w:t>2019</w:t>
      </w:r>
      <w:r w:rsidRPr="00647E1F">
        <w:rPr>
          <w:color w:val="auto"/>
        </w:rPr>
        <w:t>, </w:t>
      </w:r>
      <w:r w:rsidRPr="00647E1F">
        <w:rPr>
          <w:i/>
          <w:iCs/>
          <w:color w:val="auto"/>
        </w:rPr>
        <w:t>109</w:t>
      </w:r>
      <w:r w:rsidRPr="00647E1F">
        <w:rPr>
          <w:color w:val="auto"/>
        </w:rPr>
        <w:t>, 513–525. </w:t>
      </w:r>
    </w:p>
    <w:p w14:paraId="3C7AB240" w14:textId="77777777" w:rsidR="00EC78BB" w:rsidRPr="00EC78BB" w:rsidRDefault="00EC78BB" w:rsidP="00862F10">
      <w:pPr>
        <w:pStyle w:val="MDPI71References"/>
        <w:numPr>
          <w:ilvl w:val="0"/>
          <w:numId w:val="1"/>
        </w:numPr>
        <w:ind w:left="425" w:hanging="425"/>
        <w:rPr>
          <w:color w:val="auto"/>
          <w:lang w:val="en-GB"/>
        </w:rPr>
      </w:pPr>
      <w:r w:rsidRPr="00647E1F">
        <w:rPr>
          <w:color w:val="auto"/>
        </w:rPr>
        <w:t>Frade, P.; Shafie-khah, M.; Santana, J.; Catalão, J. Cooperation in ancillary services: Portuguese strategic perspective on replacement reserves. </w:t>
      </w:r>
      <w:r w:rsidRPr="00647E1F">
        <w:rPr>
          <w:i/>
          <w:iCs/>
          <w:color w:val="auto"/>
        </w:rPr>
        <w:t>Energy Strategy Rev.</w:t>
      </w:r>
      <w:r w:rsidRPr="00647E1F">
        <w:rPr>
          <w:color w:val="auto"/>
        </w:rPr>
        <w:t> </w:t>
      </w:r>
      <w:r w:rsidRPr="00647E1F">
        <w:rPr>
          <w:b/>
          <w:bCs/>
          <w:color w:val="auto"/>
        </w:rPr>
        <w:t>2019</w:t>
      </w:r>
      <w:r w:rsidRPr="00647E1F">
        <w:rPr>
          <w:color w:val="auto"/>
        </w:rPr>
        <w:t>, </w:t>
      </w:r>
      <w:r w:rsidRPr="00647E1F">
        <w:rPr>
          <w:i/>
          <w:iCs/>
          <w:color w:val="auto"/>
        </w:rPr>
        <w:t>23</w:t>
      </w:r>
      <w:r w:rsidRPr="00647E1F">
        <w:rPr>
          <w:color w:val="auto"/>
        </w:rPr>
        <w:t>, 142–151.</w:t>
      </w:r>
    </w:p>
    <w:p w14:paraId="28047FAF" w14:textId="2BFDA39E" w:rsidR="0011753C" w:rsidRPr="00EC78BB" w:rsidRDefault="00EC78BB" w:rsidP="00862F10">
      <w:pPr>
        <w:pStyle w:val="MDPI71References"/>
        <w:numPr>
          <w:ilvl w:val="0"/>
          <w:numId w:val="1"/>
        </w:numPr>
        <w:ind w:left="425" w:hanging="425"/>
        <w:rPr>
          <w:color w:val="auto"/>
          <w:lang w:val="en-GB"/>
        </w:rPr>
      </w:pPr>
      <w:r w:rsidRPr="00EC78BB">
        <w:rPr>
          <w:rFonts w:cs="Helvetica"/>
          <w:color w:val="222222"/>
          <w:szCs w:val="18"/>
          <w:shd w:val="clear" w:color="auto" w:fill="FFFFFF"/>
        </w:rPr>
        <w:t>Algarvio, H.; Couto, A.; Estanqueiro, A. RES.Trade: An Open-Access Simulator to Assess the Impact of Different Designs on Balancing Electricity Markets. </w:t>
      </w:r>
      <w:r w:rsidRPr="00EC78BB">
        <w:rPr>
          <w:rStyle w:val="Emphasis"/>
          <w:rFonts w:cs="Helvetica"/>
          <w:color w:val="222222"/>
          <w:szCs w:val="18"/>
          <w:shd w:val="clear" w:color="auto" w:fill="FFFFFF"/>
        </w:rPr>
        <w:t>Energies</w:t>
      </w:r>
      <w:r w:rsidRPr="00EC78BB">
        <w:rPr>
          <w:rFonts w:cs="Helvetica"/>
          <w:color w:val="222222"/>
          <w:szCs w:val="18"/>
          <w:shd w:val="clear" w:color="auto" w:fill="FFFFFF"/>
        </w:rPr>
        <w:t> </w:t>
      </w:r>
      <w:r w:rsidRPr="00EC78BB">
        <w:rPr>
          <w:rFonts w:cs="Helvetica"/>
          <w:b/>
          <w:bCs/>
          <w:color w:val="222222"/>
          <w:szCs w:val="18"/>
          <w:shd w:val="clear" w:color="auto" w:fill="FFFFFF"/>
        </w:rPr>
        <w:t>2024</w:t>
      </w:r>
      <w:r w:rsidRPr="00EC78BB">
        <w:rPr>
          <w:rFonts w:cs="Helvetica"/>
          <w:color w:val="222222"/>
          <w:szCs w:val="18"/>
          <w:shd w:val="clear" w:color="auto" w:fill="FFFFFF"/>
        </w:rPr>
        <w:t>, </w:t>
      </w:r>
      <w:r w:rsidRPr="00EC78BB">
        <w:rPr>
          <w:rStyle w:val="Emphasis"/>
          <w:rFonts w:cs="Helvetica"/>
          <w:color w:val="222222"/>
          <w:szCs w:val="18"/>
          <w:shd w:val="clear" w:color="auto" w:fill="FFFFFF"/>
        </w:rPr>
        <w:t>17</w:t>
      </w:r>
      <w:r w:rsidRPr="00EC78BB">
        <w:rPr>
          <w:rFonts w:cs="Helvetica"/>
          <w:color w:val="222222"/>
          <w:szCs w:val="18"/>
          <w:shd w:val="clear" w:color="auto" w:fill="FFFFFF"/>
        </w:rPr>
        <w:t>, 6212.</w:t>
      </w:r>
    </w:p>
    <w:p w14:paraId="7320ED54" w14:textId="77777777" w:rsidR="00C9290D" w:rsidRPr="00647E1F" w:rsidRDefault="004946BF" w:rsidP="004946BF">
      <w:pPr>
        <w:pStyle w:val="MDPI63Notes"/>
        <w:rPr>
          <w:color w:val="auto"/>
        </w:rPr>
      </w:pPr>
      <w:r w:rsidRPr="00647E1F">
        <w:rPr>
          <w:b/>
          <w:color w:val="auto"/>
        </w:rPr>
        <w:t>Disclaimer/Publisher’s Note:</w:t>
      </w:r>
      <w:r w:rsidRPr="00647E1F">
        <w:rPr>
          <w:color w:val="auto"/>
        </w:rPr>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C9290D" w:rsidRPr="00647E1F" w:rsidSect="006E1A12">
      <w:headerReference w:type="even" r:id="rId24"/>
      <w:headerReference w:type="default" r:id="rId25"/>
      <w:footerReference w:type="default" r:id="rId26"/>
      <w:headerReference w:type="first" r:id="rId27"/>
      <w:footerReference w:type="first" r:id="rId28"/>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Hugo Algarvio" w:date="2025-02-21T13:28:00Z" w:initials="HA">
    <w:p w14:paraId="5A1235E3" w14:textId="3926543F" w:rsidR="00F80C2B" w:rsidRPr="00F80C2B" w:rsidRDefault="00F80C2B">
      <w:pPr>
        <w:pStyle w:val="CommentText"/>
        <w:rPr>
          <w:lang w:val="pt-PT"/>
        </w:rPr>
      </w:pPr>
      <w:r>
        <w:rPr>
          <w:rStyle w:val="CommentReference"/>
        </w:rPr>
        <w:annotationRef/>
      </w:r>
      <w:r w:rsidRPr="00A72CF9">
        <w:rPr>
          <w:lang w:val="pt-PT"/>
        </w:rPr>
        <w:t>Onde está “3h” passa só a “h”</w:t>
      </w:r>
      <w:r>
        <w:rPr>
          <w:lang w:val="pt-PT"/>
        </w:rPr>
        <w:t xml:space="preserve"> e retirar “-S7”</w:t>
      </w:r>
    </w:p>
  </w:comment>
  <w:comment w:id="5" w:author="Hugo Algarvio" w:date="2025-02-25T11:18:00Z" w:initials="HA">
    <w:p w14:paraId="425A1A92" w14:textId="09D000B4" w:rsidR="005D51A1" w:rsidRPr="005D51A1" w:rsidRDefault="005D51A1">
      <w:pPr>
        <w:pStyle w:val="CommentText"/>
        <w:rPr>
          <w:lang w:val="pt-PT"/>
        </w:rPr>
      </w:pPr>
      <w:r>
        <w:rPr>
          <w:rStyle w:val="CommentReference"/>
        </w:rPr>
        <w:annotationRef/>
      </w:r>
      <w:r w:rsidRPr="005D51A1">
        <w:rPr>
          <w:lang w:val="pt-PT"/>
        </w:rPr>
        <w:t>Onde está “3h” mudar para “4-9h” ou “hours”</w:t>
      </w:r>
    </w:p>
  </w:comment>
  <w:comment w:id="13" w:author="Hugo Algarvio" w:date="2025-02-21T13:30:00Z" w:initials="HA">
    <w:p w14:paraId="15D992DC" w14:textId="50005806" w:rsidR="00F80C2B" w:rsidRPr="00F80C2B" w:rsidRDefault="00F80C2B">
      <w:pPr>
        <w:pStyle w:val="CommentText"/>
        <w:rPr>
          <w:lang w:val="pt-PT"/>
        </w:rPr>
      </w:pPr>
      <w:r>
        <w:rPr>
          <w:rStyle w:val="CommentReference"/>
        </w:rPr>
        <w:annotationRef/>
      </w:r>
      <w:r w:rsidRPr="00F80C2B">
        <w:rPr>
          <w:lang w:val="pt-PT"/>
        </w:rPr>
        <w:t>Tirar resultados de S4 a S7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A1235E3" w15:done="0"/>
  <w15:commentEx w15:paraId="425A1A92" w15:done="0"/>
  <w15:commentEx w15:paraId="15D992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A1235E3">
    <w16cex:extLst>
      <w16:ext w16:uri="{CE6994B0-6A32-4C9F-8C6B-6E91EDA988CE}">
        <cr:reactions xmlns:cr="http://schemas.microsoft.com/office/comments/2020/reactions">
          <cr:reaction reactionType="1">
            <cr:reactionInfo dateUtc="2025-02-25T15:16:10Z">
              <cr:user userId="S::fc51519@alunos.fc.ul.pt::31210299-4ff6-46b4-82f3-f636ea65ef26" userProvider="AD" userName="fc51519"/>
            </cr:reactionInfo>
          </cr:reaction>
        </cr:reactions>
      </w16:ext>
    </w16cex:extLst>
  </w16cex:commentExtensible>
  <w16cex:commentExtensible w16cex:durableId="425A1A92">
    <w16cex:extLst>
      <w16:ext w16:uri="{CE6994B0-6A32-4C9F-8C6B-6E91EDA988CE}">
        <cr:reactions xmlns:cr="http://schemas.microsoft.com/office/comments/2020/reactions">
          <cr:reaction reactionType="1">
            <cr:reactionInfo dateUtc="2025-03-10T08:36:16Z">
              <cr:user userId="S::fc51519@alunos.fc.ul.pt::31210299-4ff6-46b4-82f3-f636ea65ef26" userProvider="AD" userName="fc51519"/>
            </cr:reactionInfo>
          </cr:reaction>
        </cr:reactions>
      </w16:ext>
    </w16cex:extLst>
  </w16cex:commentExtensible>
  <w16cex:commentExtensible w16cex:durableId="15D992DC">
    <w16cex:extLst>
      <w16:ext w16:uri="{CE6994B0-6A32-4C9F-8C6B-6E91EDA988CE}">
        <cr:reactions xmlns:cr="http://schemas.microsoft.com/office/comments/2020/reactions">
          <cr:reaction reactionType="1">
            <cr:reactionInfo dateUtc="2025-03-10T08:36:24Z">
              <cr:user userId="S::fc51519@alunos.fc.ul.pt::31210299-4ff6-46b4-82f3-f636ea65ef26" userProvider="AD" userName="fc51519"/>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A1235E3" w16cid:durableId="5A1235E3"/>
  <w16cid:commentId w16cid:paraId="425A1A92" w16cid:durableId="425A1A92"/>
  <w16cid:commentId w16cid:paraId="15D992DC" w16cid:durableId="15D992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71EDB" w14:textId="77777777" w:rsidR="00286251" w:rsidRDefault="00286251">
      <w:pPr>
        <w:spacing w:line="240" w:lineRule="auto"/>
      </w:pPr>
      <w:r>
        <w:separator/>
      </w:r>
    </w:p>
  </w:endnote>
  <w:endnote w:type="continuationSeparator" w:id="0">
    <w:p w14:paraId="018104E3" w14:textId="77777777" w:rsidR="00286251" w:rsidRDefault="002862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URWPalladioL-Roma">
    <w:panose1 w:val="00000000000000000000"/>
    <w:charset w:val="00"/>
    <w:family w:val="auto"/>
    <w:notTrueType/>
    <w:pitch w:val="default"/>
    <w:sig w:usb0="00000003" w:usb1="08070000" w:usb2="00000010" w:usb3="00000000" w:csb0="00020001" w:csb1="00000000"/>
  </w:font>
  <w:font w:name="URWPalladioL-Ital">
    <w:altName w:val="MS PMincho"/>
    <w:panose1 w:val="00000000000000000000"/>
    <w:charset w:val="80"/>
    <w:family w:val="auto"/>
    <w:notTrueType/>
    <w:pitch w:val="default"/>
    <w:sig w:usb0="00000001" w:usb1="08070000" w:usb2="00000010" w:usb3="00000000" w:csb0="00020000" w:csb1="00000000"/>
  </w:font>
  <w:font w:name="URWPalladioL-Bold">
    <w:altName w:val="MS PMincho"/>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0C039" w14:textId="77777777" w:rsidR="002414DF" w:rsidRPr="00717E37" w:rsidRDefault="002414DF" w:rsidP="00922B1F">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BF5D0" w14:textId="77777777" w:rsidR="002414DF" w:rsidRDefault="002414DF" w:rsidP="00EC0B89">
    <w:pPr>
      <w:pStyle w:val="MDPIfooterfirstpage"/>
      <w:pBdr>
        <w:top w:val="single" w:sz="4" w:space="0" w:color="000000"/>
      </w:pBdr>
      <w:adjustRightInd w:val="0"/>
      <w:snapToGrid w:val="0"/>
      <w:spacing w:before="480" w:line="100" w:lineRule="exact"/>
      <w:rPr>
        <w:i/>
      </w:rPr>
    </w:pPr>
  </w:p>
  <w:p w14:paraId="72321F20" w14:textId="77777777" w:rsidR="002414DF" w:rsidRPr="008B308E" w:rsidRDefault="002414DF" w:rsidP="007E3D17">
    <w:pPr>
      <w:pStyle w:val="MDPIfooterfirstpage"/>
      <w:tabs>
        <w:tab w:val="clear" w:pos="8845"/>
        <w:tab w:val="right" w:pos="10466"/>
      </w:tabs>
      <w:spacing w:line="240" w:lineRule="auto"/>
      <w:jc w:val="both"/>
      <w:rPr>
        <w:lang w:val="fr-CH"/>
      </w:rPr>
    </w:pPr>
    <w:r w:rsidRPr="00B477C7">
      <w:rPr>
        <w:i/>
        <w:lang w:val="pt-PT"/>
      </w:rPr>
      <w:t>Energies</w:t>
    </w:r>
    <w:r>
      <w:rPr>
        <w:iCs/>
        <w:lang w:val="fr-FR"/>
      </w:rPr>
      <w:t xml:space="preserve"> </w:t>
    </w:r>
    <w:r w:rsidRPr="00B477C7">
      <w:rPr>
        <w:b/>
        <w:lang w:val="pt-PT"/>
      </w:rPr>
      <w:t>2024</w:t>
    </w:r>
    <w:r w:rsidRPr="00B477C7">
      <w:rPr>
        <w:lang w:val="pt-PT"/>
      </w:rPr>
      <w:t>,</w:t>
    </w:r>
    <w:r w:rsidRPr="00B477C7">
      <w:rPr>
        <w:i/>
        <w:lang w:val="pt-PT"/>
      </w:rPr>
      <w:t xml:space="preserve"> 17</w:t>
    </w:r>
    <w:r w:rsidRPr="00B477C7">
      <w:rPr>
        <w:lang w:val="pt-PT"/>
      </w:rPr>
      <w:t>, x. https://doi.org/10.3390/xxxxx</w:t>
    </w:r>
    <w:r w:rsidRPr="008B308E">
      <w:rPr>
        <w:lang w:val="fr-CH"/>
      </w:rPr>
      <w:tab/>
      <w:t>www.mdpi.com/journal/</w:t>
    </w:r>
    <w:r w:rsidRPr="004D575B">
      <w:rPr>
        <w:lang w:val="de-CH"/>
      </w:rPr>
      <w:t>energies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756FC" w14:textId="77777777" w:rsidR="00286251" w:rsidRDefault="00286251">
      <w:pPr>
        <w:spacing w:line="240" w:lineRule="auto"/>
      </w:pPr>
      <w:r>
        <w:separator/>
      </w:r>
    </w:p>
  </w:footnote>
  <w:footnote w:type="continuationSeparator" w:id="0">
    <w:p w14:paraId="193D3263" w14:textId="77777777" w:rsidR="00286251" w:rsidRDefault="002862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5230B" w14:textId="77777777" w:rsidR="002414DF" w:rsidRDefault="002414DF" w:rsidP="00922B1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E8FF5" w14:textId="5AE6FD2D" w:rsidR="002414DF" w:rsidRDefault="002414DF" w:rsidP="007E3D17">
    <w:pPr>
      <w:tabs>
        <w:tab w:val="right" w:pos="10466"/>
      </w:tabs>
      <w:adjustRightInd w:val="0"/>
      <w:snapToGrid w:val="0"/>
      <w:spacing w:line="240" w:lineRule="auto"/>
      <w:rPr>
        <w:sz w:val="16"/>
      </w:rPr>
    </w:pPr>
    <w:r>
      <w:rPr>
        <w:i/>
        <w:sz w:val="16"/>
      </w:rPr>
      <w:t xml:space="preserve">Energies </w:t>
    </w:r>
    <w:r>
      <w:rPr>
        <w:b/>
        <w:sz w:val="16"/>
      </w:rPr>
      <w:t>2024</w:t>
    </w:r>
    <w:r w:rsidRPr="00E847BE">
      <w:rPr>
        <w:sz w:val="16"/>
      </w:rPr>
      <w:t>,</w:t>
    </w:r>
    <w:r>
      <w:rPr>
        <w:i/>
        <w:sz w:val="16"/>
      </w:rPr>
      <w:t xml:space="preserve"> 17</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sidR="005C0F64">
      <w:rPr>
        <w:sz w:val="16"/>
      </w:rPr>
      <w:t>2</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5C0F64">
      <w:rPr>
        <w:sz w:val="16"/>
      </w:rPr>
      <w:t>18</w:t>
    </w:r>
    <w:r>
      <w:rPr>
        <w:sz w:val="16"/>
      </w:rPr>
      <w:fldChar w:fldCharType="end"/>
    </w:r>
  </w:p>
  <w:p w14:paraId="28957023" w14:textId="77777777" w:rsidR="002414DF" w:rsidRPr="00B913EA" w:rsidRDefault="002414DF" w:rsidP="00EC0B89">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2414DF" w:rsidRPr="007E3D17" w14:paraId="38C8FF59" w14:textId="77777777" w:rsidTr="000A7CBE">
      <w:trPr>
        <w:trHeight w:val="686"/>
      </w:trPr>
      <w:tc>
        <w:tcPr>
          <w:tcW w:w="3679" w:type="dxa"/>
          <w:shd w:val="clear" w:color="auto" w:fill="auto"/>
          <w:vAlign w:val="center"/>
        </w:tcPr>
        <w:p w14:paraId="423397FF" w14:textId="77777777" w:rsidR="002414DF" w:rsidRPr="00661D1F" w:rsidRDefault="002414DF" w:rsidP="007E3D17">
          <w:pPr>
            <w:pStyle w:val="Header"/>
            <w:pBdr>
              <w:bottom w:val="none" w:sz="0" w:space="0" w:color="auto"/>
            </w:pBdr>
            <w:jc w:val="left"/>
            <w:rPr>
              <w:rFonts w:eastAsia="DengXian"/>
              <w:b/>
              <w:bCs/>
            </w:rPr>
          </w:pPr>
          <w:r w:rsidRPr="00661D1F">
            <w:rPr>
              <w:rFonts w:eastAsia="DengXian"/>
              <w:b/>
              <w:bCs/>
              <w:lang w:eastAsia="en-US"/>
            </w:rPr>
            <w:drawing>
              <wp:inline distT="0" distB="0" distL="0" distR="0" wp14:anchorId="47469287" wp14:editId="79700F38">
                <wp:extent cx="1683385" cy="429260"/>
                <wp:effectExtent l="0" t="0" r="0" b="0"/>
                <wp:docPr id="1449839767" name="Picture 3" descr="C:\Users\home\Desktop\logos\energi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energi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385" cy="429260"/>
                        </a:xfrm>
                        <a:prstGeom prst="rect">
                          <a:avLst/>
                        </a:prstGeom>
                        <a:noFill/>
                        <a:ln>
                          <a:noFill/>
                        </a:ln>
                      </pic:spPr>
                    </pic:pic>
                  </a:graphicData>
                </a:graphic>
              </wp:inline>
            </w:drawing>
          </w:r>
        </w:p>
      </w:tc>
      <w:tc>
        <w:tcPr>
          <w:tcW w:w="4535" w:type="dxa"/>
          <w:shd w:val="clear" w:color="auto" w:fill="auto"/>
          <w:vAlign w:val="center"/>
        </w:tcPr>
        <w:p w14:paraId="505AE794" w14:textId="77777777" w:rsidR="002414DF" w:rsidRPr="00661D1F" w:rsidRDefault="002414DF" w:rsidP="007E3D17">
          <w:pPr>
            <w:pStyle w:val="Header"/>
            <w:pBdr>
              <w:bottom w:val="none" w:sz="0" w:space="0" w:color="auto"/>
            </w:pBdr>
            <w:rPr>
              <w:rFonts w:eastAsia="DengXian"/>
              <w:b/>
              <w:bCs/>
            </w:rPr>
          </w:pPr>
        </w:p>
      </w:tc>
      <w:tc>
        <w:tcPr>
          <w:tcW w:w="2273" w:type="dxa"/>
          <w:shd w:val="clear" w:color="auto" w:fill="auto"/>
          <w:vAlign w:val="center"/>
        </w:tcPr>
        <w:p w14:paraId="4A72FFB7" w14:textId="77777777" w:rsidR="002414DF" w:rsidRPr="00661D1F" w:rsidRDefault="002414DF" w:rsidP="000A7CBE">
          <w:pPr>
            <w:pStyle w:val="Header"/>
            <w:pBdr>
              <w:bottom w:val="none" w:sz="0" w:space="0" w:color="auto"/>
            </w:pBdr>
            <w:jc w:val="right"/>
            <w:rPr>
              <w:rFonts w:eastAsia="DengXian"/>
              <w:b/>
              <w:bCs/>
            </w:rPr>
          </w:pPr>
          <w:r>
            <w:rPr>
              <w:rFonts w:eastAsia="DengXian"/>
              <w:b/>
              <w:bCs/>
              <w:lang w:eastAsia="en-US"/>
            </w:rPr>
            <w:drawing>
              <wp:inline distT="0" distB="0" distL="0" distR="0" wp14:anchorId="074F99FC" wp14:editId="24B5098B">
                <wp:extent cx="540000" cy="360000"/>
                <wp:effectExtent l="0" t="0" r="0" b="2540"/>
                <wp:docPr id="1341236126" name="Picture 1"/>
                <wp:cNvGraphicFramePr/>
                <a:graphic xmlns:a="http://schemas.openxmlformats.org/drawingml/2006/main">
                  <a:graphicData uri="http://schemas.openxmlformats.org/drawingml/2006/picture">
                    <pic:pic xmlns:pic="http://schemas.openxmlformats.org/drawingml/2006/picture">
                      <pic:nvPicPr>
                        <pic:cNvPr id="1876780268" name=""/>
                        <pic:cNvPicPr/>
                      </pic:nvPicPr>
                      <pic:blipFill>
                        <a:blip r:embed="rId2"/>
                        <a:stretch>
                          <a:fillRect/>
                        </a:stretch>
                      </pic:blipFill>
                      <pic:spPr>
                        <a:xfrm>
                          <a:off x="0" y="0"/>
                          <a:ext cx="540000" cy="360000"/>
                        </a:xfrm>
                        <a:prstGeom prst="rect">
                          <a:avLst/>
                        </a:prstGeom>
                      </pic:spPr>
                    </pic:pic>
                  </a:graphicData>
                </a:graphic>
              </wp:inline>
            </w:drawing>
          </w:r>
        </w:p>
      </w:tc>
    </w:tr>
  </w:tbl>
  <w:p w14:paraId="11F8DA71" w14:textId="77777777" w:rsidR="002414DF" w:rsidRPr="00DE4709" w:rsidRDefault="002414DF" w:rsidP="00EC0B89">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750D0"/>
    <w:multiLevelType w:val="hybridMultilevel"/>
    <w:tmpl w:val="0AB66356"/>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1" w15:restartNumberingAfterBreak="0">
    <w:nsid w:val="09430A1E"/>
    <w:multiLevelType w:val="hybridMultilevel"/>
    <w:tmpl w:val="D4DCACDE"/>
    <w:lvl w:ilvl="0" w:tplc="0409000F">
      <w:start w:val="1"/>
      <w:numFmt w:val="decimal"/>
      <w:lvlText w:val="%1."/>
      <w:lvlJc w:val="left"/>
      <w:pPr>
        <w:ind w:left="3753" w:hanging="360"/>
      </w:pPr>
    </w:lvl>
    <w:lvl w:ilvl="1" w:tplc="04090001">
      <w:start w:val="1"/>
      <w:numFmt w:val="bullet"/>
      <w:lvlText w:val=""/>
      <w:lvlJc w:val="left"/>
      <w:pPr>
        <w:ind w:left="4473" w:hanging="360"/>
      </w:pPr>
      <w:rPr>
        <w:rFonts w:ascii="Symbol" w:hAnsi="Symbol" w:hint="default"/>
      </w:rPr>
    </w:lvl>
    <w:lvl w:ilvl="2" w:tplc="0409001B" w:tentative="1">
      <w:start w:val="1"/>
      <w:numFmt w:val="lowerRoman"/>
      <w:lvlText w:val="%3."/>
      <w:lvlJc w:val="right"/>
      <w:pPr>
        <w:ind w:left="5193" w:hanging="180"/>
      </w:pPr>
    </w:lvl>
    <w:lvl w:ilvl="3" w:tplc="0409000F" w:tentative="1">
      <w:start w:val="1"/>
      <w:numFmt w:val="decimal"/>
      <w:lvlText w:val="%4."/>
      <w:lvlJc w:val="left"/>
      <w:pPr>
        <w:ind w:left="5913" w:hanging="360"/>
      </w:pPr>
    </w:lvl>
    <w:lvl w:ilvl="4" w:tplc="04090019" w:tentative="1">
      <w:start w:val="1"/>
      <w:numFmt w:val="lowerLetter"/>
      <w:lvlText w:val="%5."/>
      <w:lvlJc w:val="left"/>
      <w:pPr>
        <w:ind w:left="6633" w:hanging="360"/>
      </w:pPr>
    </w:lvl>
    <w:lvl w:ilvl="5" w:tplc="0409001B" w:tentative="1">
      <w:start w:val="1"/>
      <w:numFmt w:val="lowerRoman"/>
      <w:lvlText w:val="%6."/>
      <w:lvlJc w:val="right"/>
      <w:pPr>
        <w:ind w:left="7353" w:hanging="180"/>
      </w:pPr>
    </w:lvl>
    <w:lvl w:ilvl="6" w:tplc="0409000F" w:tentative="1">
      <w:start w:val="1"/>
      <w:numFmt w:val="decimal"/>
      <w:lvlText w:val="%7."/>
      <w:lvlJc w:val="left"/>
      <w:pPr>
        <w:ind w:left="8073" w:hanging="360"/>
      </w:pPr>
    </w:lvl>
    <w:lvl w:ilvl="7" w:tplc="04090019" w:tentative="1">
      <w:start w:val="1"/>
      <w:numFmt w:val="lowerLetter"/>
      <w:lvlText w:val="%8."/>
      <w:lvlJc w:val="left"/>
      <w:pPr>
        <w:ind w:left="8793" w:hanging="360"/>
      </w:pPr>
    </w:lvl>
    <w:lvl w:ilvl="8" w:tplc="0409001B" w:tentative="1">
      <w:start w:val="1"/>
      <w:numFmt w:val="lowerRoman"/>
      <w:lvlText w:val="%9."/>
      <w:lvlJc w:val="right"/>
      <w:pPr>
        <w:ind w:left="9513" w:hanging="180"/>
      </w:pPr>
    </w:lvl>
  </w:abstractNum>
  <w:abstractNum w:abstractNumId="2" w15:restartNumberingAfterBreak="0">
    <w:nsid w:val="096A6B44"/>
    <w:multiLevelType w:val="hybridMultilevel"/>
    <w:tmpl w:val="B394BEBE"/>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3" w15:restartNumberingAfterBreak="0">
    <w:nsid w:val="18150187"/>
    <w:multiLevelType w:val="hybridMultilevel"/>
    <w:tmpl w:val="A992C65E"/>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4" w15:restartNumberingAfterBreak="0">
    <w:nsid w:val="18B468F5"/>
    <w:multiLevelType w:val="hybridMultilevel"/>
    <w:tmpl w:val="11B4802E"/>
    <w:lvl w:ilvl="0" w:tplc="8340D3E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E51F4"/>
    <w:multiLevelType w:val="hybridMultilevel"/>
    <w:tmpl w:val="6DA8462A"/>
    <w:lvl w:ilvl="0" w:tplc="04090001">
      <w:start w:val="1"/>
      <w:numFmt w:val="bullet"/>
      <w:lvlText w:val=""/>
      <w:lvlJc w:val="left"/>
      <w:pPr>
        <w:ind w:left="3328" w:hanging="360"/>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1DEF0EBD"/>
    <w:multiLevelType w:val="hybridMultilevel"/>
    <w:tmpl w:val="2EC21E42"/>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D774ED"/>
    <w:multiLevelType w:val="hybridMultilevel"/>
    <w:tmpl w:val="FDDA434A"/>
    <w:lvl w:ilvl="0" w:tplc="0409000F">
      <w:start w:val="1"/>
      <w:numFmt w:val="decimal"/>
      <w:lvlText w:val="%1."/>
      <w:lvlJc w:val="left"/>
      <w:pPr>
        <w:ind w:left="3753" w:hanging="360"/>
      </w:pPr>
    </w:lvl>
    <w:lvl w:ilvl="1" w:tplc="04090001">
      <w:start w:val="1"/>
      <w:numFmt w:val="bullet"/>
      <w:lvlText w:val=""/>
      <w:lvlJc w:val="left"/>
      <w:pPr>
        <w:ind w:left="4473" w:hanging="360"/>
      </w:pPr>
      <w:rPr>
        <w:rFonts w:ascii="Symbol" w:hAnsi="Symbol" w:hint="default"/>
      </w:rPr>
    </w:lvl>
    <w:lvl w:ilvl="2" w:tplc="0409001B" w:tentative="1">
      <w:start w:val="1"/>
      <w:numFmt w:val="lowerRoman"/>
      <w:lvlText w:val="%3."/>
      <w:lvlJc w:val="right"/>
      <w:pPr>
        <w:ind w:left="5193" w:hanging="180"/>
      </w:pPr>
    </w:lvl>
    <w:lvl w:ilvl="3" w:tplc="0409000F" w:tentative="1">
      <w:start w:val="1"/>
      <w:numFmt w:val="decimal"/>
      <w:lvlText w:val="%4."/>
      <w:lvlJc w:val="left"/>
      <w:pPr>
        <w:ind w:left="5913" w:hanging="360"/>
      </w:pPr>
    </w:lvl>
    <w:lvl w:ilvl="4" w:tplc="04090019" w:tentative="1">
      <w:start w:val="1"/>
      <w:numFmt w:val="lowerLetter"/>
      <w:lvlText w:val="%5."/>
      <w:lvlJc w:val="left"/>
      <w:pPr>
        <w:ind w:left="6633" w:hanging="360"/>
      </w:pPr>
    </w:lvl>
    <w:lvl w:ilvl="5" w:tplc="0409001B" w:tentative="1">
      <w:start w:val="1"/>
      <w:numFmt w:val="lowerRoman"/>
      <w:lvlText w:val="%6."/>
      <w:lvlJc w:val="right"/>
      <w:pPr>
        <w:ind w:left="7353" w:hanging="180"/>
      </w:pPr>
    </w:lvl>
    <w:lvl w:ilvl="6" w:tplc="0409000F" w:tentative="1">
      <w:start w:val="1"/>
      <w:numFmt w:val="decimal"/>
      <w:lvlText w:val="%7."/>
      <w:lvlJc w:val="left"/>
      <w:pPr>
        <w:ind w:left="8073" w:hanging="360"/>
      </w:pPr>
    </w:lvl>
    <w:lvl w:ilvl="7" w:tplc="04090019" w:tentative="1">
      <w:start w:val="1"/>
      <w:numFmt w:val="lowerLetter"/>
      <w:lvlText w:val="%8."/>
      <w:lvlJc w:val="left"/>
      <w:pPr>
        <w:ind w:left="8793" w:hanging="360"/>
      </w:pPr>
    </w:lvl>
    <w:lvl w:ilvl="8" w:tplc="0409001B" w:tentative="1">
      <w:start w:val="1"/>
      <w:numFmt w:val="lowerRoman"/>
      <w:lvlText w:val="%9."/>
      <w:lvlJc w:val="right"/>
      <w:pPr>
        <w:ind w:left="9513" w:hanging="180"/>
      </w:pPr>
    </w:lvl>
  </w:abstractNum>
  <w:abstractNum w:abstractNumId="9" w15:restartNumberingAfterBreak="0">
    <w:nsid w:val="34CF232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0D3C19"/>
    <w:multiLevelType w:val="hybridMultilevel"/>
    <w:tmpl w:val="B5620A52"/>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11" w15:restartNumberingAfterBreak="0">
    <w:nsid w:val="49B01A21"/>
    <w:multiLevelType w:val="hybridMultilevel"/>
    <w:tmpl w:val="55028DC2"/>
    <w:lvl w:ilvl="0" w:tplc="0409000F">
      <w:start w:val="1"/>
      <w:numFmt w:val="decimal"/>
      <w:lvlText w:val="%1."/>
      <w:lvlJc w:val="left"/>
      <w:pPr>
        <w:ind w:left="3753" w:hanging="360"/>
      </w:pPr>
    </w:lvl>
    <w:lvl w:ilvl="1" w:tplc="04090019" w:tentative="1">
      <w:start w:val="1"/>
      <w:numFmt w:val="lowerLetter"/>
      <w:lvlText w:val="%2."/>
      <w:lvlJc w:val="left"/>
      <w:pPr>
        <w:ind w:left="4473" w:hanging="360"/>
      </w:pPr>
    </w:lvl>
    <w:lvl w:ilvl="2" w:tplc="0409001B" w:tentative="1">
      <w:start w:val="1"/>
      <w:numFmt w:val="lowerRoman"/>
      <w:lvlText w:val="%3."/>
      <w:lvlJc w:val="right"/>
      <w:pPr>
        <w:ind w:left="5193" w:hanging="180"/>
      </w:pPr>
    </w:lvl>
    <w:lvl w:ilvl="3" w:tplc="0409000F" w:tentative="1">
      <w:start w:val="1"/>
      <w:numFmt w:val="decimal"/>
      <w:lvlText w:val="%4."/>
      <w:lvlJc w:val="left"/>
      <w:pPr>
        <w:ind w:left="5913" w:hanging="360"/>
      </w:pPr>
    </w:lvl>
    <w:lvl w:ilvl="4" w:tplc="04090019" w:tentative="1">
      <w:start w:val="1"/>
      <w:numFmt w:val="lowerLetter"/>
      <w:lvlText w:val="%5."/>
      <w:lvlJc w:val="left"/>
      <w:pPr>
        <w:ind w:left="6633" w:hanging="360"/>
      </w:pPr>
    </w:lvl>
    <w:lvl w:ilvl="5" w:tplc="0409001B" w:tentative="1">
      <w:start w:val="1"/>
      <w:numFmt w:val="lowerRoman"/>
      <w:lvlText w:val="%6."/>
      <w:lvlJc w:val="right"/>
      <w:pPr>
        <w:ind w:left="7353" w:hanging="180"/>
      </w:pPr>
    </w:lvl>
    <w:lvl w:ilvl="6" w:tplc="0409000F" w:tentative="1">
      <w:start w:val="1"/>
      <w:numFmt w:val="decimal"/>
      <w:lvlText w:val="%7."/>
      <w:lvlJc w:val="left"/>
      <w:pPr>
        <w:ind w:left="8073" w:hanging="360"/>
      </w:pPr>
    </w:lvl>
    <w:lvl w:ilvl="7" w:tplc="04090019" w:tentative="1">
      <w:start w:val="1"/>
      <w:numFmt w:val="lowerLetter"/>
      <w:lvlText w:val="%8."/>
      <w:lvlJc w:val="left"/>
      <w:pPr>
        <w:ind w:left="8793" w:hanging="360"/>
      </w:pPr>
    </w:lvl>
    <w:lvl w:ilvl="8" w:tplc="0409001B" w:tentative="1">
      <w:start w:val="1"/>
      <w:numFmt w:val="lowerRoman"/>
      <w:lvlText w:val="%9."/>
      <w:lvlJc w:val="right"/>
      <w:pPr>
        <w:ind w:left="9513" w:hanging="180"/>
      </w:pPr>
    </w:lvl>
  </w:abstractNum>
  <w:abstractNum w:abstractNumId="12" w15:restartNumberingAfterBreak="0">
    <w:nsid w:val="4C842B49"/>
    <w:multiLevelType w:val="hybridMultilevel"/>
    <w:tmpl w:val="A348B1C6"/>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13" w15:restartNumberingAfterBreak="0">
    <w:nsid w:val="516F48C3"/>
    <w:multiLevelType w:val="hybridMultilevel"/>
    <w:tmpl w:val="5B623FDC"/>
    <w:lvl w:ilvl="0" w:tplc="0409000F">
      <w:start w:val="1"/>
      <w:numFmt w:val="decimal"/>
      <w:lvlText w:val="%1."/>
      <w:lvlJc w:val="left"/>
      <w:pPr>
        <w:ind w:left="3479" w:hanging="360"/>
      </w:pPr>
    </w:lvl>
    <w:lvl w:ilvl="1" w:tplc="04090019" w:tentative="1">
      <w:start w:val="1"/>
      <w:numFmt w:val="lowerLetter"/>
      <w:lvlText w:val="%2."/>
      <w:lvlJc w:val="left"/>
      <w:pPr>
        <w:ind w:left="4473" w:hanging="360"/>
      </w:pPr>
    </w:lvl>
    <w:lvl w:ilvl="2" w:tplc="0409001B" w:tentative="1">
      <w:start w:val="1"/>
      <w:numFmt w:val="lowerRoman"/>
      <w:lvlText w:val="%3."/>
      <w:lvlJc w:val="right"/>
      <w:pPr>
        <w:ind w:left="5193" w:hanging="180"/>
      </w:pPr>
    </w:lvl>
    <w:lvl w:ilvl="3" w:tplc="0409000F" w:tentative="1">
      <w:start w:val="1"/>
      <w:numFmt w:val="decimal"/>
      <w:lvlText w:val="%4."/>
      <w:lvlJc w:val="left"/>
      <w:pPr>
        <w:ind w:left="5913" w:hanging="360"/>
      </w:pPr>
    </w:lvl>
    <w:lvl w:ilvl="4" w:tplc="04090019" w:tentative="1">
      <w:start w:val="1"/>
      <w:numFmt w:val="lowerLetter"/>
      <w:lvlText w:val="%5."/>
      <w:lvlJc w:val="left"/>
      <w:pPr>
        <w:ind w:left="6633" w:hanging="360"/>
      </w:pPr>
    </w:lvl>
    <w:lvl w:ilvl="5" w:tplc="0409001B" w:tentative="1">
      <w:start w:val="1"/>
      <w:numFmt w:val="lowerRoman"/>
      <w:lvlText w:val="%6."/>
      <w:lvlJc w:val="right"/>
      <w:pPr>
        <w:ind w:left="7353" w:hanging="180"/>
      </w:pPr>
    </w:lvl>
    <w:lvl w:ilvl="6" w:tplc="0409000F" w:tentative="1">
      <w:start w:val="1"/>
      <w:numFmt w:val="decimal"/>
      <w:lvlText w:val="%7."/>
      <w:lvlJc w:val="left"/>
      <w:pPr>
        <w:ind w:left="8073" w:hanging="360"/>
      </w:pPr>
    </w:lvl>
    <w:lvl w:ilvl="7" w:tplc="04090019" w:tentative="1">
      <w:start w:val="1"/>
      <w:numFmt w:val="lowerLetter"/>
      <w:lvlText w:val="%8."/>
      <w:lvlJc w:val="left"/>
      <w:pPr>
        <w:ind w:left="8793" w:hanging="360"/>
      </w:pPr>
    </w:lvl>
    <w:lvl w:ilvl="8" w:tplc="0409001B" w:tentative="1">
      <w:start w:val="1"/>
      <w:numFmt w:val="lowerRoman"/>
      <w:lvlText w:val="%9."/>
      <w:lvlJc w:val="right"/>
      <w:pPr>
        <w:ind w:left="9513" w:hanging="180"/>
      </w:pPr>
    </w:lvl>
  </w:abstractNum>
  <w:abstractNum w:abstractNumId="14" w15:restartNumberingAfterBreak="0">
    <w:nsid w:val="56054540"/>
    <w:multiLevelType w:val="hybridMultilevel"/>
    <w:tmpl w:val="2BFE33BC"/>
    <w:lvl w:ilvl="0" w:tplc="D9563CC2">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4A129A"/>
    <w:multiLevelType w:val="hybridMultilevel"/>
    <w:tmpl w:val="5B623FDC"/>
    <w:lvl w:ilvl="0" w:tplc="0409000F">
      <w:start w:val="1"/>
      <w:numFmt w:val="decimal"/>
      <w:lvlText w:val="%1."/>
      <w:lvlJc w:val="left"/>
      <w:pPr>
        <w:ind w:left="3479" w:hanging="360"/>
      </w:pPr>
    </w:lvl>
    <w:lvl w:ilvl="1" w:tplc="04090019" w:tentative="1">
      <w:start w:val="1"/>
      <w:numFmt w:val="lowerLetter"/>
      <w:lvlText w:val="%2."/>
      <w:lvlJc w:val="left"/>
      <w:pPr>
        <w:ind w:left="4473" w:hanging="360"/>
      </w:pPr>
    </w:lvl>
    <w:lvl w:ilvl="2" w:tplc="0409001B" w:tentative="1">
      <w:start w:val="1"/>
      <w:numFmt w:val="lowerRoman"/>
      <w:lvlText w:val="%3."/>
      <w:lvlJc w:val="right"/>
      <w:pPr>
        <w:ind w:left="5193" w:hanging="180"/>
      </w:pPr>
    </w:lvl>
    <w:lvl w:ilvl="3" w:tplc="0409000F" w:tentative="1">
      <w:start w:val="1"/>
      <w:numFmt w:val="decimal"/>
      <w:lvlText w:val="%4."/>
      <w:lvlJc w:val="left"/>
      <w:pPr>
        <w:ind w:left="5913" w:hanging="360"/>
      </w:pPr>
    </w:lvl>
    <w:lvl w:ilvl="4" w:tplc="04090019" w:tentative="1">
      <w:start w:val="1"/>
      <w:numFmt w:val="lowerLetter"/>
      <w:lvlText w:val="%5."/>
      <w:lvlJc w:val="left"/>
      <w:pPr>
        <w:ind w:left="6633" w:hanging="360"/>
      </w:pPr>
    </w:lvl>
    <w:lvl w:ilvl="5" w:tplc="0409001B" w:tentative="1">
      <w:start w:val="1"/>
      <w:numFmt w:val="lowerRoman"/>
      <w:lvlText w:val="%6."/>
      <w:lvlJc w:val="right"/>
      <w:pPr>
        <w:ind w:left="7353" w:hanging="180"/>
      </w:pPr>
    </w:lvl>
    <w:lvl w:ilvl="6" w:tplc="0409000F" w:tentative="1">
      <w:start w:val="1"/>
      <w:numFmt w:val="decimal"/>
      <w:lvlText w:val="%7."/>
      <w:lvlJc w:val="left"/>
      <w:pPr>
        <w:ind w:left="8073" w:hanging="360"/>
      </w:pPr>
    </w:lvl>
    <w:lvl w:ilvl="7" w:tplc="04090019" w:tentative="1">
      <w:start w:val="1"/>
      <w:numFmt w:val="lowerLetter"/>
      <w:lvlText w:val="%8."/>
      <w:lvlJc w:val="left"/>
      <w:pPr>
        <w:ind w:left="8793" w:hanging="360"/>
      </w:pPr>
    </w:lvl>
    <w:lvl w:ilvl="8" w:tplc="0409001B" w:tentative="1">
      <w:start w:val="1"/>
      <w:numFmt w:val="lowerRoman"/>
      <w:lvlText w:val="%9."/>
      <w:lvlJc w:val="right"/>
      <w:pPr>
        <w:ind w:left="9513" w:hanging="180"/>
      </w:pPr>
    </w:lvl>
  </w:abstractNum>
  <w:abstractNum w:abstractNumId="16" w15:restartNumberingAfterBreak="0">
    <w:nsid w:val="5E1E60FC"/>
    <w:multiLevelType w:val="hybridMultilevel"/>
    <w:tmpl w:val="F7C0263A"/>
    <w:lvl w:ilvl="0" w:tplc="C200EA60">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7" w15:restartNumberingAfterBreak="0">
    <w:nsid w:val="7F0E1980"/>
    <w:multiLevelType w:val="hybridMultilevel"/>
    <w:tmpl w:val="889A1976"/>
    <w:lvl w:ilvl="0" w:tplc="878EC84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6B7F5F"/>
    <w:multiLevelType w:val="hybridMultilevel"/>
    <w:tmpl w:val="589A99AC"/>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num w:numId="1" w16cid:durableId="198250728">
    <w:abstractNumId w:val="7"/>
  </w:num>
  <w:num w:numId="2" w16cid:durableId="7175576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58351003">
    <w:abstractNumId w:val="4"/>
  </w:num>
  <w:num w:numId="4" w16cid:durableId="1252592709">
    <w:abstractNumId w:val="17"/>
  </w:num>
  <w:num w:numId="5" w16cid:durableId="780225493">
    <w:abstractNumId w:val="16"/>
  </w:num>
  <w:num w:numId="6" w16cid:durableId="562300650">
    <w:abstractNumId w:val="14"/>
  </w:num>
  <w:num w:numId="7" w16cid:durableId="2096240858">
    <w:abstractNumId w:val="9"/>
  </w:num>
  <w:num w:numId="8" w16cid:durableId="1102844064">
    <w:abstractNumId w:val="12"/>
  </w:num>
  <w:num w:numId="9" w16cid:durableId="1502424704">
    <w:abstractNumId w:val="5"/>
  </w:num>
  <w:num w:numId="10" w16cid:durableId="551117105">
    <w:abstractNumId w:val="3"/>
  </w:num>
  <w:num w:numId="11" w16cid:durableId="920067691">
    <w:abstractNumId w:val="6"/>
  </w:num>
  <w:num w:numId="12" w16cid:durableId="1113787557">
    <w:abstractNumId w:val="0"/>
  </w:num>
  <w:num w:numId="13" w16cid:durableId="1254171135">
    <w:abstractNumId w:val="2"/>
  </w:num>
  <w:num w:numId="14" w16cid:durableId="640503420">
    <w:abstractNumId w:val="10"/>
  </w:num>
  <w:num w:numId="15" w16cid:durableId="1610240693">
    <w:abstractNumId w:val="18"/>
  </w:num>
  <w:num w:numId="16" w16cid:durableId="2031712577">
    <w:abstractNumId w:val="11"/>
  </w:num>
  <w:num w:numId="17" w16cid:durableId="195125511">
    <w:abstractNumId w:val="13"/>
  </w:num>
  <w:num w:numId="18" w16cid:durableId="581574442">
    <w:abstractNumId w:val="15"/>
  </w:num>
  <w:num w:numId="19" w16cid:durableId="1862352882">
    <w:abstractNumId w:val="1"/>
  </w:num>
  <w:num w:numId="20" w16cid:durableId="42602018">
    <w:abstractNumId w:val="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ugo Algarvio">
    <w15:presenceInfo w15:providerId="None" w15:userId="Hugo Algarv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C7"/>
    <w:rsid w:val="00001B6C"/>
    <w:rsid w:val="00005609"/>
    <w:rsid w:val="00005929"/>
    <w:rsid w:val="000067EA"/>
    <w:rsid w:val="00012763"/>
    <w:rsid w:val="0001438B"/>
    <w:rsid w:val="0001703B"/>
    <w:rsid w:val="00020016"/>
    <w:rsid w:val="00022026"/>
    <w:rsid w:val="00027242"/>
    <w:rsid w:val="00031268"/>
    <w:rsid w:val="00032AA5"/>
    <w:rsid w:val="000339E8"/>
    <w:rsid w:val="00033B80"/>
    <w:rsid w:val="000351E6"/>
    <w:rsid w:val="0003783F"/>
    <w:rsid w:val="00037A02"/>
    <w:rsid w:val="0004194B"/>
    <w:rsid w:val="000420D3"/>
    <w:rsid w:val="00043042"/>
    <w:rsid w:val="000451AF"/>
    <w:rsid w:val="000451FE"/>
    <w:rsid w:val="000459AC"/>
    <w:rsid w:val="00045DFE"/>
    <w:rsid w:val="000462F3"/>
    <w:rsid w:val="000519C8"/>
    <w:rsid w:val="00051EA6"/>
    <w:rsid w:val="00052350"/>
    <w:rsid w:val="00053B65"/>
    <w:rsid w:val="00055D88"/>
    <w:rsid w:val="00063408"/>
    <w:rsid w:val="00066AE0"/>
    <w:rsid w:val="00067869"/>
    <w:rsid w:val="0007067B"/>
    <w:rsid w:val="00070D96"/>
    <w:rsid w:val="00072B89"/>
    <w:rsid w:val="00073845"/>
    <w:rsid w:val="00075969"/>
    <w:rsid w:val="00080071"/>
    <w:rsid w:val="00080431"/>
    <w:rsid w:val="00082494"/>
    <w:rsid w:val="00082A9F"/>
    <w:rsid w:val="00083582"/>
    <w:rsid w:val="000844D4"/>
    <w:rsid w:val="000846F5"/>
    <w:rsid w:val="00092BFB"/>
    <w:rsid w:val="00093D38"/>
    <w:rsid w:val="00094B7E"/>
    <w:rsid w:val="00094FC2"/>
    <w:rsid w:val="0009574A"/>
    <w:rsid w:val="00095AB5"/>
    <w:rsid w:val="0009600E"/>
    <w:rsid w:val="00097783"/>
    <w:rsid w:val="0009790F"/>
    <w:rsid w:val="00097E78"/>
    <w:rsid w:val="000A0F10"/>
    <w:rsid w:val="000A277A"/>
    <w:rsid w:val="000A2829"/>
    <w:rsid w:val="000A37C5"/>
    <w:rsid w:val="000A4537"/>
    <w:rsid w:val="000A458B"/>
    <w:rsid w:val="000A5505"/>
    <w:rsid w:val="000A5650"/>
    <w:rsid w:val="000A6157"/>
    <w:rsid w:val="000A7CBE"/>
    <w:rsid w:val="000B3623"/>
    <w:rsid w:val="000B3F35"/>
    <w:rsid w:val="000B586F"/>
    <w:rsid w:val="000B619A"/>
    <w:rsid w:val="000B61F7"/>
    <w:rsid w:val="000B7D9E"/>
    <w:rsid w:val="000C14BD"/>
    <w:rsid w:val="000C638D"/>
    <w:rsid w:val="000C67DF"/>
    <w:rsid w:val="000D0E26"/>
    <w:rsid w:val="000D1C10"/>
    <w:rsid w:val="000D2E99"/>
    <w:rsid w:val="000D4605"/>
    <w:rsid w:val="000D4A24"/>
    <w:rsid w:val="000D5F02"/>
    <w:rsid w:val="000D6A84"/>
    <w:rsid w:val="000E1C6D"/>
    <w:rsid w:val="000E6ADA"/>
    <w:rsid w:val="000E7694"/>
    <w:rsid w:val="000F0307"/>
    <w:rsid w:val="000F28C8"/>
    <w:rsid w:val="000F3875"/>
    <w:rsid w:val="000F4D10"/>
    <w:rsid w:val="000F522C"/>
    <w:rsid w:val="000F52FB"/>
    <w:rsid w:val="000F5661"/>
    <w:rsid w:val="000F570D"/>
    <w:rsid w:val="000F5AAB"/>
    <w:rsid w:val="000F665A"/>
    <w:rsid w:val="000F7FB0"/>
    <w:rsid w:val="001034B9"/>
    <w:rsid w:val="00103D02"/>
    <w:rsid w:val="00106619"/>
    <w:rsid w:val="00107957"/>
    <w:rsid w:val="00110EB0"/>
    <w:rsid w:val="001117DA"/>
    <w:rsid w:val="00111FA6"/>
    <w:rsid w:val="00112020"/>
    <w:rsid w:val="00112BEF"/>
    <w:rsid w:val="0011750B"/>
    <w:rsid w:val="0011753C"/>
    <w:rsid w:val="00117E34"/>
    <w:rsid w:val="00120E6A"/>
    <w:rsid w:val="00120FCE"/>
    <w:rsid w:val="00121018"/>
    <w:rsid w:val="00121953"/>
    <w:rsid w:val="001225DA"/>
    <w:rsid w:val="00123C32"/>
    <w:rsid w:val="00125642"/>
    <w:rsid w:val="00126234"/>
    <w:rsid w:val="001264B1"/>
    <w:rsid w:val="00127769"/>
    <w:rsid w:val="00130559"/>
    <w:rsid w:val="001318FF"/>
    <w:rsid w:val="00131FDF"/>
    <w:rsid w:val="001333D0"/>
    <w:rsid w:val="0013715F"/>
    <w:rsid w:val="0013797A"/>
    <w:rsid w:val="00142EBB"/>
    <w:rsid w:val="00144F95"/>
    <w:rsid w:val="001461D6"/>
    <w:rsid w:val="00153213"/>
    <w:rsid w:val="00154030"/>
    <w:rsid w:val="00154448"/>
    <w:rsid w:val="001545F5"/>
    <w:rsid w:val="001549DD"/>
    <w:rsid w:val="00154E9E"/>
    <w:rsid w:val="0015621B"/>
    <w:rsid w:val="001575B0"/>
    <w:rsid w:val="00157A1A"/>
    <w:rsid w:val="00161C62"/>
    <w:rsid w:val="00162CF6"/>
    <w:rsid w:val="001630E5"/>
    <w:rsid w:val="00164900"/>
    <w:rsid w:val="00166425"/>
    <w:rsid w:val="00166888"/>
    <w:rsid w:val="001668F8"/>
    <w:rsid w:val="00167BCF"/>
    <w:rsid w:val="00167EFF"/>
    <w:rsid w:val="00171333"/>
    <w:rsid w:val="00171A54"/>
    <w:rsid w:val="001734B6"/>
    <w:rsid w:val="00174FED"/>
    <w:rsid w:val="00175254"/>
    <w:rsid w:val="001778AD"/>
    <w:rsid w:val="00183887"/>
    <w:rsid w:val="00183A33"/>
    <w:rsid w:val="00183D02"/>
    <w:rsid w:val="00187B01"/>
    <w:rsid w:val="00190FE8"/>
    <w:rsid w:val="001913CC"/>
    <w:rsid w:val="001923BA"/>
    <w:rsid w:val="0019423A"/>
    <w:rsid w:val="00194E39"/>
    <w:rsid w:val="00195DF9"/>
    <w:rsid w:val="00197214"/>
    <w:rsid w:val="00197E15"/>
    <w:rsid w:val="001A153D"/>
    <w:rsid w:val="001A4E3F"/>
    <w:rsid w:val="001A7834"/>
    <w:rsid w:val="001B03D9"/>
    <w:rsid w:val="001B3526"/>
    <w:rsid w:val="001B3EC8"/>
    <w:rsid w:val="001B4C80"/>
    <w:rsid w:val="001B6D99"/>
    <w:rsid w:val="001C1582"/>
    <w:rsid w:val="001C274B"/>
    <w:rsid w:val="001C341E"/>
    <w:rsid w:val="001C3A2C"/>
    <w:rsid w:val="001C431A"/>
    <w:rsid w:val="001C5384"/>
    <w:rsid w:val="001C5A5F"/>
    <w:rsid w:val="001C5ED8"/>
    <w:rsid w:val="001C638D"/>
    <w:rsid w:val="001C7392"/>
    <w:rsid w:val="001C73ED"/>
    <w:rsid w:val="001D12DF"/>
    <w:rsid w:val="001D16AF"/>
    <w:rsid w:val="001D1756"/>
    <w:rsid w:val="001D2700"/>
    <w:rsid w:val="001D2B79"/>
    <w:rsid w:val="001D3076"/>
    <w:rsid w:val="001D3294"/>
    <w:rsid w:val="001D7640"/>
    <w:rsid w:val="001E0CA4"/>
    <w:rsid w:val="001E2AEB"/>
    <w:rsid w:val="001E307E"/>
    <w:rsid w:val="001E371A"/>
    <w:rsid w:val="001E3732"/>
    <w:rsid w:val="001E4A8E"/>
    <w:rsid w:val="001E597E"/>
    <w:rsid w:val="001E65E5"/>
    <w:rsid w:val="001E6D17"/>
    <w:rsid w:val="001E7276"/>
    <w:rsid w:val="001E792B"/>
    <w:rsid w:val="001F2068"/>
    <w:rsid w:val="001F25CA"/>
    <w:rsid w:val="001F290C"/>
    <w:rsid w:val="001F36E1"/>
    <w:rsid w:val="001F5882"/>
    <w:rsid w:val="001F5F54"/>
    <w:rsid w:val="001F6D70"/>
    <w:rsid w:val="0020058A"/>
    <w:rsid w:val="002042EE"/>
    <w:rsid w:val="00206D42"/>
    <w:rsid w:val="00207334"/>
    <w:rsid w:val="00210354"/>
    <w:rsid w:val="0021417C"/>
    <w:rsid w:val="002152FE"/>
    <w:rsid w:val="0021748A"/>
    <w:rsid w:val="00217E98"/>
    <w:rsid w:val="00217FCD"/>
    <w:rsid w:val="002219BE"/>
    <w:rsid w:val="002264CE"/>
    <w:rsid w:val="00226D46"/>
    <w:rsid w:val="0022792B"/>
    <w:rsid w:val="00230450"/>
    <w:rsid w:val="00230F07"/>
    <w:rsid w:val="00232C29"/>
    <w:rsid w:val="00233171"/>
    <w:rsid w:val="00237F57"/>
    <w:rsid w:val="00240549"/>
    <w:rsid w:val="0024109D"/>
    <w:rsid w:val="002414DF"/>
    <w:rsid w:val="0024411A"/>
    <w:rsid w:val="0024523A"/>
    <w:rsid w:val="00250D36"/>
    <w:rsid w:val="00251274"/>
    <w:rsid w:val="00257E1B"/>
    <w:rsid w:val="00260087"/>
    <w:rsid w:val="002613F0"/>
    <w:rsid w:val="002640B5"/>
    <w:rsid w:val="00264FED"/>
    <w:rsid w:val="002673F7"/>
    <w:rsid w:val="002705C0"/>
    <w:rsid w:val="0027081E"/>
    <w:rsid w:val="002749FA"/>
    <w:rsid w:val="00274AB2"/>
    <w:rsid w:val="00274FE0"/>
    <w:rsid w:val="00275390"/>
    <w:rsid w:val="0027668F"/>
    <w:rsid w:val="002767A5"/>
    <w:rsid w:val="00277724"/>
    <w:rsid w:val="00277CAB"/>
    <w:rsid w:val="002836EB"/>
    <w:rsid w:val="0028559D"/>
    <w:rsid w:val="00285900"/>
    <w:rsid w:val="002861B6"/>
    <w:rsid w:val="00286251"/>
    <w:rsid w:val="0028654D"/>
    <w:rsid w:val="00286E7D"/>
    <w:rsid w:val="002903E2"/>
    <w:rsid w:val="002903F6"/>
    <w:rsid w:val="00292932"/>
    <w:rsid w:val="00294519"/>
    <w:rsid w:val="00295ADF"/>
    <w:rsid w:val="00297567"/>
    <w:rsid w:val="00297A2F"/>
    <w:rsid w:val="00297E90"/>
    <w:rsid w:val="002A3D2D"/>
    <w:rsid w:val="002A4303"/>
    <w:rsid w:val="002A49D8"/>
    <w:rsid w:val="002A570B"/>
    <w:rsid w:val="002A5A9D"/>
    <w:rsid w:val="002A5DA7"/>
    <w:rsid w:val="002A648E"/>
    <w:rsid w:val="002A6908"/>
    <w:rsid w:val="002A7627"/>
    <w:rsid w:val="002B11FB"/>
    <w:rsid w:val="002B2F6F"/>
    <w:rsid w:val="002B34AC"/>
    <w:rsid w:val="002B3F5B"/>
    <w:rsid w:val="002B5943"/>
    <w:rsid w:val="002B7D35"/>
    <w:rsid w:val="002C06A7"/>
    <w:rsid w:val="002C0D43"/>
    <w:rsid w:val="002C12EE"/>
    <w:rsid w:val="002C31A2"/>
    <w:rsid w:val="002C4834"/>
    <w:rsid w:val="002C5768"/>
    <w:rsid w:val="002C65A2"/>
    <w:rsid w:val="002D0035"/>
    <w:rsid w:val="002D116F"/>
    <w:rsid w:val="002D5FEC"/>
    <w:rsid w:val="002D68D5"/>
    <w:rsid w:val="002D6DA3"/>
    <w:rsid w:val="002E0C17"/>
    <w:rsid w:val="002E27D0"/>
    <w:rsid w:val="002E2C1D"/>
    <w:rsid w:val="002E351E"/>
    <w:rsid w:val="002E5226"/>
    <w:rsid w:val="002E6101"/>
    <w:rsid w:val="002E7A23"/>
    <w:rsid w:val="002E7B75"/>
    <w:rsid w:val="002F21AC"/>
    <w:rsid w:val="002F30F2"/>
    <w:rsid w:val="002F3558"/>
    <w:rsid w:val="002F3F02"/>
    <w:rsid w:val="002F5365"/>
    <w:rsid w:val="002F578E"/>
    <w:rsid w:val="002F5C26"/>
    <w:rsid w:val="00303C60"/>
    <w:rsid w:val="00303D7B"/>
    <w:rsid w:val="00306464"/>
    <w:rsid w:val="003074CE"/>
    <w:rsid w:val="0031138D"/>
    <w:rsid w:val="003129C1"/>
    <w:rsid w:val="00315790"/>
    <w:rsid w:val="003160FC"/>
    <w:rsid w:val="00320AA1"/>
    <w:rsid w:val="00321D23"/>
    <w:rsid w:val="0032263E"/>
    <w:rsid w:val="00322685"/>
    <w:rsid w:val="003236E6"/>
    <w:rsid w:val="00323B66"/>
    <w:rsid w:val="00324103"/>
    <w:rsid w:val="003242AD"/>
    <w:rsid w:val="00324E4E"/>
    <w:rsid w:val="0032524A"/>
    <w:rsid w:val="00326141"/>
    <w:rsid w:val="00327A3C"/>
    <w:rsid w:val="0033082C"/>
    <w:rsid w:val="00336248"/>
    <w:rsid w:val="00337F30"/>
    <w:rsid w:val="00340B23"/>
    <w:rsid w:val="00342A6C"/>
    <w:rsid w:val="00343D3A"/>
    <w:rsid w:val="00345776"/>
    <w:rsid w:val="00347437"/>
    <w:rsid w:val="00347984"/>
    <w:rsid w:val="00350B81"/>
    <w:rsid w:val="00351F2B"/>
    <w:rsid w:val="003557EE"/>
    <w:rsid w:val="0036085F"/>
    <w:rsid w:val="00360C7E"/>
    <w:rsid w:val="00364A75"/>
    <w:rsid w:val="0036572B"/>
    <w:rsid w:val="00366153"/>
    <w:rsid w:val="00370420"/>
    <w:rsid w:val="003715F3"/>
    <w:rsid w:val="003720F4"/>
    <w:rsid w:val="0037218F"/>
    <w:rsid w:val="00372D60"/>
    <w:rsid w:val="003733A6"/>
    <w:rsid w:val="00376888"/>
    <w:rsid w:val="00376CE5"/>
    <w:rsid w:val="00376F28"/>
    <w:rsid w:val="00377758"/>
    <w:rsid w:val="00381819"/>
    <w:rsid w:val="00382E4E"/>
    <w:rsid w:val="003839B0"/>
    <w:rsid w:val="00383FD0"/>
    <w:rsid w:val="00385797"/>
    <w:rsid w:val="003866A5"/>
    <w:rsid w:val="00386A0C"/>
    <w:rsid w:val="00390542"/>
    <w:rsid w:val="003929EE"/>
    <w:rsid w:val="00392F5F"/>
    <w:rsid w:val="00394103"/>
    <w:rsid w:val="003943CB"/>
    <w:rsid w:val="00396D36"/>
    <w:rsid w:val="003A3371"/>
    <w:rsid w:val="003A5F00"/>
    <w:rsid w:val="003A7C5C"/>
    <w:rsid w:val="003B0223"/>
    <w:rsid w:val="003B04E9"/>
    <w:rsid w:val="003B13A7"/>
    <w:rsid w:val="003B30BE"/>
    <w:rsid w:val="003B36A5"/>
    <w:rsid w:val="003B6050"/>
    <w:rsid w:val="003B6C00"/>
    <w:rsid w:val="003C03D1"/>
    <w:rsid w:val="003C10CD"/>
    <w:rsid w:val="003C1F2B"/>
    <w:rsid w:val="003C20B6"/>
    <w:rsid w:val="003C5C02"/>
    <w:rsid w:val="003C691D"/>
    <w:rsid w:val="003C6DCE"/>
    <w:rsid w:val="003D0B10"/>
    <w:rsid w:val="003D0EA6"/>
    <w:rsid w:val="003D1580"/>
    <w:rsid w:val="003D1B58"/>
    <w:rsid w:val="003D3E1F"/>
    <w:rsid w:val="003D509F"/>
    <w:rsid w:val="003E0E98"/>
    <w:rsid w:val="003E0EF6"/>
    <w:rsid w:val="003E191E"/>
    <w:rsid w:val="003E1F0D"/>
    <w:rsid w:val="003E28F0"/>
    <w:rsid w:val="003E362F"/>
    <w:rsid w:val="003E628E"/>
    <w:rsid w:val="003E7484"/>
    <w:rsid w:val="003E7E57"/>
    <w:rsid w:val="003E7FE6"/>
    <w:rsid w:val="003F1FC2"/>
    <w:rsid w:val="003F20DD"/>
    <w:rsid w:val="003F4AEB"/>
    <w:rsid w:val="003F55CA"/>
    <w:rsid w:val="003F63C9"/>
    <w:rsid w:val="0040117F"/>
    <w:rsid w:val="00401D30"/>
    <w:rsid w:val="00401E4F"/>
    <w:rsid w:val="00404359"/>
    <w:rsid w:val="00404B95"/>
    <w:rsid w:val="00404E0B"/>
    <w:rsid w:val="00406983"/>
    <w:rsid w:val="004072F1"/>
    <w:rsid w:val="00407C7D"/>
    <w:rsid w:val="00412976"/>
    <w:rsid w:val="004144FC"/>
    <w:rsid w:val="00414811"/>
    <w:rsid w:val="004172E7"/>
    <w:rsid w:val="00421CDB"/>
    <w:rsid w:val="00422DA6"/>
    <w:rsid w:val="0042339A"/>
    <w:rsid w:val="00424AC0"/>
    <w:rsid w:val="0042737D"/>
    <w:rsid w:val="00433FA1"/>
    <w:rsid w:val="004341D0"/>
    <w:rsid w:val="00435A91"/>
    <w:rsid w:val="004363A2"/>
    <w:rsid w:val="00437C5D"/>
    <w:rsid w:val="004424D6"/>
    <w:rsid w:val="00443D3E"/>
    <w:rsid w:val="00444965"/>
    <w:rsid w:val="00445F0A"/>
    <w:rsid w:val="004461C0"/>
    <w:rsid w:val="004473B5"/>
    <w:rsid w:val="00447E10"/>
    <w:rsid w:val="00450243"/>
    <w:rsid w:val="00450A42"/>
    <w:rsid w:val="00453182"/>
    <w:rsid w:val="00454BE1"/>
    <w:rsid w:val="00455B3A"/>
    <w:rsid w:val="004560F5"/>
    <w:rsid w:val="00456ABE"/>
    <w:rsid w:val="00456FB6"/>
    <w:rsid w:val="00460E8D"/>
    <w:rsid w:val="004617E0"/>
    <w:rsid w:val="00461DCF"/>
    <w:rsid w:val="00461F19"/>
    <w:rsid w:val="00465236"/>
    <w:rsid w:val="00470179"/>
    <w:rsid w:val="00470505"/>
    <w:rsid w:val="00472DE5"/>
    <w:rsid w:val="004743B6"/>
    <w:rsid w:val="00474448"/>
    <w:rsid w:val="00474639"/>
    <w:rsid w:val="004752BD"/>
    <w:rsid w:val="0047561C"/>
    <w:rsid w:val="00475770"/>
    <w:rsid w:val="00476B4A"/>
    <w:rsid w:val="0047731A"/>
    <w:rsid w:val="00477C87"/>
    <w:rsid w:val="00480B8C"/>
    <w:rsid w:val="00485399"/>
    <w:rsid w:val="00487046"/>
    <w:rsid w:val="00490D16"/>
    <w:rsid w:val="00491178"/>
    <w:rsid w:val="00492602"/>
    <w:rsid w:val="004937DB"/>
    <w:rsid w:val="004946BF"/>
    <w:rsid w:val="004961C3"/>
    <w:rsid w:val="0049735A"/>
    <w:rsid w:val="0049780E"/>
    <w:rsid w:val="00497DB4"/>
    <w:rsid w:val="004A0129"/>
    <w:rsid w:val="004A23A9"/>
    <w:rsid w:val="004A3396"/>
    <w:rsid w:val="004A41B0"/>
    <w:rsid w:val="004A4433"/>
    <w:rsid w:val="004A542E"/>
    <w:rsid w:val="004A7781"/>
    <w:rsid w:val="004A7A76"/>
    <w:rsid w:val="004B023E"/>
    <w:rsid w:val="004B3EF0"/>
    <w:rsid w:val="004B463D"/>
    <w:rsid w:val="004C22C9"/>
    <w:rsid w:val="004C5856"/>
    <w:rsid w:val="004C779C"/>
    <w:rsid w:val="004D6460"/>
    <w:rsid w:val="004E031E"/>
    <w:rsid w:val="004E1A39"/>
    <w:rsid w:val="004E491A"/>
    <w:rsid w:val="004E5A43"/>
    <w:rsid w:val="004E61C0"/>
    <w:rsid w:val="004F0EF8"/>
    <w:rsid w:val="004F2EB3"/>
    <w:rsid w:val="004F4186"/>
    <w:rsid w:val="004F43C8"/>
    <w:rsid w:val="004F4A2F"/>
    <w:rsid w:val="004F4E79"/>
    <w:rsid w:val="004F57D8"/>
    <w:rsid w:val="004F5A8D"/>
    <w:rsid w:val="004F5C2B"/>
    <w:rsid w:val="004F78CB"/>
    <w:rsid w:val="005010E2"/>
    <w:rsid w:val="005027A6"/>
    <w:rsid w:val="00502E4F"/>
    <w:rsid w:val="00505E5B"/>
    <w:rsid w:val="00510DC5"/>
    <w:rsid w:val="00512DC4"/>
    <w:rsid w:val="00513C54"/>
    <w:rsid w:val="00513FF3"/>
    <w:rsid w:val="00515FE5"/>
    <w:rsid w:val="00516A3E"/>
    <w:rsid w:val="005237D5"/>
    <w:rsid w:val="00526225"/>
    <w:rsid w:val="005266C2"/>
    <w:rsid w:val="00526E0B"/>
    <w:rsid w:val="00531C31"/>
    <w:rsid w:val="0053246B"/>
    <w:rsid w:val="00535D21"/>
    <w:rsid w:val="00535E4D"/>
    <w:rsid w:val="00540DF7"/>
    <w:rsid w:val="00540EE5"/>
    <w:rsid w:val="00541FA5"/>
    <w:rsid w:val="00542E12"/>
    <w:rsid w:val="00542FFD"/>
    <w:rsid w:val="00544F46"/>
    <w:rsid w:val="00547A97"/>
    <w:rsid w:val="00547F6C"/>
    <w:rsid w:val="00550126"/>
    <w:rsid w:val="005501CC"/>
    <w:rsid w:val="00550D23"/>
    <w:rsid w:val="00551571"/>
    <w:rsid w:val="00552A4C"/>
    <w:rsid w:val="00552F23"/>
    <w:rsid w:val="005531CC"/>
    <w:rsid w:val="00554CE7"/>
    <w:rsid w:val="00556EB7"/>
    <w:rsid w:val="005571D1"/>
    <w:rsid w:val="005625B6"/>
    <w:rsid w:val="00562C8B"/>
    <w:rsid w:val="00564209"/>
    <w:rsid w:val="0056553B"/>
    <w:rsid w:val="00566275"/>
    <w:rsid w:val="00567523"/>
    <w:rsid w:val="00567B2B"/>
    <w:rsid w:val="00570AB8"/>
    <w:rsid w:val="0057292E"/>
    <w:rsid w:val="0057327D"/>
    <w:rsid w:val="00573DA7"/>
    <w:rsid w:val="00575AB9"/>
    <w:rsid w:val="00577C9F"/>
    <w:rsid w:val="00580080"/>
    <w:rsid w:val="00583CA0"/>
    <w:rsid w:val="00584725"/>
    <w:rsid w:val="00584FA7"/>
    <w:rsid w:val="00585001"/>
    <w:rsid w:val="00586E88"/>
    <w:rsid w:val="005874CE"/>
    <w:rsid w:val="0059053A"/>
    <w:rsid w:val="00594166"/>
    <w:rsid w:val="00595146"/>
    <w:rsid w:val="00595DA1"/>
    <w:rsid w:val="00596E92"/>
    <w:rsid w:val="00597CE4"/>
    <w:rsid w:val="005A0CC0"/>
    <w:rsid w:val="005A3F61"/>
    <w:rsid w:val="005A477F"/>
    <w:rsid w:val="005A4784"/>
    <w:rsid w:val="005A5401"/>
    <w:rsid w:val="005B0592"/>
    <w:rsid w:val="005B06F7"/>
    <w:rsid w:val="005B2B1D"/>
    <w:rsid w:val="005B4F75"/>
    <w:rsid w:val="005B562B"/>
    <w:rsid w:val="005B5A2B"/>
    <w:rsid w:val="005B5D1A"/>
    <w:rsid w:val="005B65A4"/>
    <w:rsid w:val="005B6B6A"/>
    <w:rsid w:val="005C034D"/>
    <w:rsid w:val="005C0F64"/>
    <w:rsid w:val="005C181D"/>
    <w:rsid w:val="005C2357"/>
    <w:rsid w:val="005C3025"/>
    <w:rsid w:val="005C36B3"/>
    <w:rsid w:val="005C4100"/>
    <w:rsid w:val="005C4FEA"/>
    <w:rsid w:val="005C6D00"/>
    <w:rsid w:val="005C7F05"/>
    <w:rsid w:val="005D01DF"/>
    <w:rsid w:val="005D059B"/>
    <w:rsid w:val="005D1335"/>
    <w:rsid w:val="005D1B63"/>
    <w:rsid w:val="005D2449"/>
    <w:rsid w:val="005D326F"/>
    <w:rsid w:val="005D3661"/>
    <w:rsid w:val="005D378B"/>
    <w:rsid w:val="005D51A1"/>
    <w:rsid w:val="005D55C0"/>
    <w:rsid w:val="005D6E94"/>
    <w:rsid w:val="005E0D9A"/>
    <w:rsid w:val="005E0ED6"/>
    <w:rsid w:val="005E1B74"/>
    <w:rsid w:val="005E25BB"/>
    <w:rsid w:val="005E2BEC"/>
    <w:rsid w:val="005E2C13"/>
    <w:rsid w:val="005E3E88"/>
    <w:rsid w:val="005E4487"/>
    <w:rsid w:val="005E5D9F"/>
    <w:rsid w:val="005E7795"/>
    <w:rsid w:val="005F06C4"/>
    <w:rsid w:val="005F1661"/>
    <w:rsid w:val="005F35AE"/>
    <w:rsid w:val="005F6139"/>
    <w:rsid w:val="005F7356"/>
    <w:rsid w:val="00600300"/>
    <w:rsid w:val="006015E2"/>
    <w:rsid w:val="00601648"/>
    <w:rsid w:val="00602973"/>
    <w:rsid w:val="006030B9"/>
    <w:rsid w:val="006076CA"/>
    <w:rsid w:val="006166BB"/>
    <w:rsid w:val="00616732"/>
    <w:rsid w:val="006172BB"/>
    <w:rsid w:val="00617338"/>
    <w:rsid w:val="006204CF"/>
    <w:rsid w:val="006208E3"/>
    <w:rsid w:val="006216A2"/>
    <w:rsid w:val="006218DA"/>
    <w:rsid w:val="0062368E"/>
    <w:rsid w:val="00625691"/>
    <w:rsid w:val="00625917"/>
    <w:rsid w:val="006270CD"/>
    <w:rsid w:val="00631A35"/>
    <w:rsid w:val="00632979"/>
    <w:rsid w:val="0063395E"/>
    <w:rsid w:val="006340E9"/>
    <w:rsid w:val="00635B92"/>
    <w:rsid w:val="00637FD1"/>
    <w:rsid w:val="006404CC"/>
    <w:rsid w:val="0064064D"/>
    <w:rsid w:val="00641EF8"/>
    <w:rsid w:val="00643F43"/>
    <w:rsid w:val="00645908"/>
    <w:rsid w:val="006475DD"/>
    <w:rsid w:val="006478A9"/>
    <w:rsid w:val="00647E1F"/>
    <w:rsid w:val="00650332"/>
    <w:rsid w:val="00650416"/>
    <w:rsid w:val="00651D3D"/>
    <w:rsid w:val="006554E6"/>
    <w:rsid w:val="00656EC6"/>
    <w:rsid w:val="006579BA"/>
    <w:rsid w:val="00657D77"/>
    <w:rsid w:val="00661805"/>
    <w:rsid w:val="00661D1F"/>
    <w:rsid w:val="006664BC"/>
    <w:rsid w:val="00670931"/>
    <w:rsid w:val="00670B77"/>
    <w:rsid w:val="00670EE9"/>
    <w:rsid w:val="00671C26"/>
    <w:rsid w:val="00671D70"/>
    <w:rsid w:val="006755DE"/>
    <w:rsid w:val="0067563F"/>
    <w:rsid w:val="00675A3F"/>
    <w:rsid w:val="00676BC8"/>
    <w:rsid w:val="00676D62"/>
    <w:rsid w:val="006772BE"/>
    <w:rsid w:val="006776D3"/>
    <w:rsid w:val="00680BEB"/>
    <w:rsid w:val="00681036"/>
    <w:rsid w:val="0068192A"/>
    <w:rsid w:val="006829E2"/>
    <w:rsid w:val="006856BA"/>
    <w:rsid w:val="00686232"/>
    <w:rsid w:val="00686545"/>
    <w:rsid w:val="00687B19"/>
    <w:rsid w:val="006917AD"/>
    <w:rsid w:val="00692393"/>
    <w:rsid w:val="00692C2C"/>
    <w:rsid w:val="006931FD"/>
    <w:rsid w:val="00693292"/>
    <w:rsid w:val="006958B4"/>
    <w:rsid w:val="0069636B"/>
    <w:rsid w:val="00697775"/>
    <w:rsid w:val="006A0052"/>
    <w:rsid w:val="006A0458"/>
    <w:rsid w:val="006A0996"/>
    <w:rsid w:val="006A1739"/>
    <w:rsid w:val="006A20D0"/>
    <w:rsid w:val="006A3A80"/>
    <w:rsid w:val="006A4F34"/>
    <w:rsid w:val="006A5881"/>
    <w:rsid w:val="006B37EC"/>
    <w:rsid w:val="006B7624"/>
    <w:rsid w:val="006C08F3"/>
    <w:rsid w:val="006D0890"/>
    <w:rsid w:val="006D2A80"/>
    <w:rsid w:val="006D3293"/>
    <w:rsid w:val="006D3EC2"/>
    <w:rsid w:val="006E1A12"/>
    <w:rsid w:val="006E6CB4"/>
    <w:rsid w:val="006E706F"/>
    <w:rsid w:val="006F0227"/>
    <w:rsid w:val="006F058B"/>
    <w:rsid w:val="006F1802"/>
    <w:rsid w:val="006F1D6F"/>
    <w:rsid w:val="006F2218"/>
    <w:rsid w:val="006F39BA"/>
    <w:rsid w:val="006F55D5"/>
    <w:rsid w:val="00701FD5"/>
    <w:rsid w:val="00703448"/>
    <w:rsid w:val="00703D07"/>
    <w:rsid w:val="00703E51"/>
    <w:rsid w:val="007059C6"/>
    <w:rsid w:val="00706B5A"/>
    <w:rsid w:val="00711A63"/>
    <w:rsid w:val="00711D4D"/>
    <w:rsid w:val="00713E64"/>
    <w:rsid w:val="0071503B"/>
    <w:rsid w:val="007154F9"/>
    <w:rsid w:val="00720411"/>
    <w:rsid w:val="007207D8"/>
    <w:rsid w:val="0072291F"/>
    <w:rsid w:val="00724177"/>
    <w:rsid w:val="007258EA"/>
    <w:rsid w:val="0072649E"/>
    <w:rsid w:val="00730891"/>
    <w:rsid w:val="00730E71"/>
    <w:rsid w:val="00731599"/>
    <w:rsid w:val="00733822"/>
    <w:rsid w:val="0073484C"/>
    <w:rsid w:val="00735F9F"/>
    <w:rsid w:val="00736264"/>
    <w:rsid w:val="0074073F"/>
    <w:rsid w:val="00742332"/>
    <w:rsid w:val="0074278C"/>
    <w:rsid w:val="00743D83"/>
    <w:rsid w:val="00745445"/>
    <w:rsid w:val="00745AD1"/>
    <w:rsid w:val="00745B15"/>
    <w:rsid w:val="00746A49"/>
    <w:rsid w:val="007471AA"/>
    <w:rsid w:val="007478FC"/>
    <w:rsid w:val="0075010C"/>
    <w:rsid w:val="00751AB3"/>
    <w:rsid w:val="007522E5"/>
    <w:rsid w:val="00754E65"/>
    <w:rsid w:val="00755317"/>
    <w:rsid w:val="0075552C"/>
    <w:rsid w:val="00755B69"/>
    <w:rsid w:val="00756AAD"/>
    <w:rsid w:val="0075715C"/>
    <w:rsid w:val="00761959"/>
    <w:rsid w:val="00762863"/>
    <w:rsid w:val="00764CD7"/>
    <w:rsid w:val="00766A0C"/>
    <w:rsid w:val="00766B20"/>
    <w:rsid w:val="00766E28"/>
    <w:rsid w:val="0076742C"/>
    <w:rsid w:val="00767A7A"/>
    <w:rsid w:val="007707A8"/>
    <w:rsid w:val="00770839"/>
    <w:rsid w:val="00772111"/>
    <w:rsid w:val="007728EF"/>
    <w:rsid w:val="007729F1"/>
    <w:rsid w:val="007732E5"/>
    <w:rsid w:val="00775C90"/>
    <w:rsid w:val="007766C5"/>
    <w:rsid w:val="00776C25"/>
    <w:rsid w:val="00781136"/>
    <w:rsid w:val="0078165B"/>
    <w:rsid w:val="00781B86"/>
    <w:rsid w:val="00781E55"/>
    <w:rsid w:val="00786F93"/>
    <w:rsid w:val="00787290"/>
    <w:rsid w:val="00790065"/>
    <w:rsid w:val="0079041E"/>
    <w:rsid w:val="00790B4B"/>
    <w:rsid w:val="00791A90"/>
    <w:rsid w:val="00795CA1"/>
    <w:rsid w:val="00795CC0"/>
    <w:rsid w:val="00796206"/>
    <w:rsid w:val="00796354"/>
    <w:rsid w:val="007A02D9"/>
    <w:rsid w:val="007A0845"/>
    <w:rsid w:val="007A09CE"/>
    <w:rsid w:val="007A132C"/>
    <w:rsid w:val="007A149A"/>
    <w:rsid w:val="007A157D"/>
    <w:rsid w:val="007A25DF"/>
    <w:rsid w:val="007A2CBB"/>
    <w:rsid w:val="007A3C21"/>
    <w:rsid w:val="007A52B3"/>
    <w:rsid w:val="007A53E9"/>
    <w:rsid w:val="007A5543"/>
    <w:rsid w:val="007A56C1"/>
    <w:rsid w:val="007A5C4C"/>
    <w:rsid w:val="007A6D54"/>
    <w:rsid w:val="007B062A"/>
    <w:rsid w:val="007B07AB"/>
    <w:rsid w:val="007B0B5E"/>
    <w:rsid w:val="007B1807"/>
    <w:rsid w:val="007B2113"/>
    <w:rsid w:val="007B24FD"/>
    <w:rsid w:val="007B5083"/>
    <w:rsid w:val="007B7A0A"/>
    <w:rsid w:val="007B7DFF"/>
    <w:rsid w:val="007C1DAC"/>
    <w:rsid w:val="007C1E91"/>
    <w:rsid w:val="007C33D3"/>
    <w:rsid w:val="007D0B58"/>
    <w:rsid w:val="007D2EBE"/>
    <w:rsid w:val="007D4587"/>
    <w:rsid w:val="007D5189"/>
    <w:rsid w:val="007D619B"/>
    <w:rsid w:val="007E122C"/>
    <w:rsid w:val="007E21FB"/>
    <w:rsid w:val="007E3D17"/>
    <w:rsid w:val="007E444B"/>
    <w:rsid w:val="007E4CD2"/>
    <w:rsid w:val="007E5EDE"/>
    <w:rsid w:val="007E612D"/>
    <w:rsid w:val="007F1186"/>
    <w:rsid w:val="007F1E88"/>
    <w:rsid w:val="007F260E"/>
    <w:rsid w:val="007F3D0D"/>
    <w:rsid w:val="007F55E4"/>
    <w:rsid w:val="007F5AA7"/>
    <w:rsid w:val="007F5F59"/>
    <w:rsid w:val="007F6E92"/>
    <w:rsid w:val="008003D7"/>
    <w:rsid w:val="008035B2"/>
    <w:rsid w:val="00803D9E"/>
    <w:rsid w:val="00805023"/>
    <w:rsid w:val="008057BF"/>
    <w:rsid w:val="00807520"/>
    <w:rsid w:val="00812997"/>
    <w:rsid w:val="008131ED"/>
    <w:rsid w:val="008135AD"/>
    <w:rsid w:val="00813755"/>
    <w:rsid w:val="00813A61"/>
    <w:rsid w:val="00822154"/>
    <w:rsid w:val="00822ABB"/>
    <w:rsid w:val="00824DCD"/>
    <w:rsid w:val="00827287"/>
    <w:rsid w:val="00827EA9"/>
    <w:rsid w:val="008310AA"/>
    <w:rsid w:val="00831331"/>
    <w:rsid w:val="00831678"/>
    <w:rsid w:val="0083399E"/>
    <w:rsid w:val="00834136"/>
    <w:rsid w:val="00834AE8"/>
    <w:rsid w:val="00834DD7"/>
    <w:rsid w:val="0083547D"/>
    <w:rsid w:val="00835858"/>
    <w:rsid w:val="00835DD4"/>
    <w:rsid w:val="0083730C"/>
    <w:rsid w:val="008410F7"/>
    <w:rsid w:val="00841753"/>
    <w:rsid w:val="0084247B"/>
    <w:rsid w:val="0084371E"/>
    <w:rsid w:val="00844871"/>
    <w:rsid w:val="00851D7C"/>
    <w:rsid w:val="008528FD"/>
    <w:rsid w:val="008568C0"/>
    <w:rsid w:val="00856D71"/>
    <w:rsid w:val="00862AFC"/>
    <w:rsid w:val="00862F10"/>
    <w:rsid w:val="008644D5"/>
    <w:rsid w:val="00865353"/>
    <w:rsid w:val="00871966"/>
    <w:rsid w:val="00873DB9"/>
    <w:rsid w:val="00874971"/>
    <w:rsid w:val="008775AD"/>
    <w:rsid w:val="008776CB"/>
    <w:rsid w:val="00881D35"/>
    <w:rsid w:val="00886C1B"/>
    <w:rsid w:val="00886F3B"/>
    <w:rsid w:val="00891ACF"/>
    <w:rsid w:val="00892650"/>
    <w:rsid w:val="00894C90"/>
    <w:rsid w:val="00896843"/>
    <w:rsid w:val="008974BD"/>
    <w:rsid w:val="008A0CD1"/>
    <w:rsid w:val="008A1312"/>
    <w:rsid w:val="008A2254"/>
    <w:rsid w:val="008A4436"/>
    <w:rsid w:val="008A56F6"/>
    <w:rsid w:val="008A5820"/>
    <w:rsid w:val="008A63E8"/>
    <w:rsid w:val="008A6CFA"/>
    <w:rsid w:val="008B00E1"/>
    <w:rsid w:val="008B0DF9"/>
    <w:rsid w:val="008B43D3"/>
    <w:rsid w:val="008B71D8"/>
    <w:rsid w:val="008C227E"/>
    <w:rsid w:val="008C3A1F"/>
    <w:rsid w:val="008C5700"/>
    <w:rsid w:val="008C5F06"/>
    <w:rsid w:val="008C7513"/>
    <w:rsid w:val="008C7A1C"/>
    <w:rsid w:val="008C7D22"/>
    <w:rsid w:val="008C7D91"/>
    <w:rsid w:val="008D10C5"/>
    <w:rsid w:val="008D1BB7"/>
    <w:rsid w:val="008D2215"/>
    <w:rsid w:val="008D4A26"/>
    <w:rsid w:val="008D63E0"/>
    <w:rsid w:val="008E14C5"/>
    <w:rsid w:val="008E30A6"/>
    <w:rsid w:val="008E3ACB"/>
    <w:rsid w:val="008E3FFB"/>
    <w:rsid w:val="008E5535"/>
    <w:rsid w:val="008E60C0"/>
    <w:rsid w:val="008E62C8"/>
    <w:rsid w:val="008F0474"/>
    <w:rsid w:val="008F167C"/>
    <w:rsid w:val="008F24BA"/>
    <w:rsid w:val="008F3647"/>
    <w:rsid w:val="008F4818"/>
    <w:rsid w:val="008F5AAA"/>
    <w:rsid w:val="008F5C56"/>
    <w:rsid w:val="008F6374"/>
    <w:rsid w:val="008F6ACF"/>
    <w:rsid w:val="008F6D7E"/>
    <w:rsid w:val="008F7826"/>
    <w:rsid w:val="00900334"/>
    <w:rsid w:val="009003D5"/>
    <w:rsid w:val="00905B3E"/>
    <w:rsid w:val="00906474"/>
    <w:rsid w:val="00906DF5"/>
    <w:rsid w:val="009102AD"/>
    <w:rsid w:val="00911FB5"/>
    <w:rsid w:val="009142CA"/>
    <w:rsid w:val="0091747A"/>
    <w:rsid w:val="009177C9"/>
    <w:rsid w:val="0092181B"/>
    <w:rsid w:val="0092242A"/>
    <w:rsid w:val="00922B1F"/>
    <w:rsid w:val="00923606"/>
    <w:rsid w:val="0092430E"/>
    <w:rsid w:val="0092435D"/>
    <w:rsid w:val="009245AD"/>
    <w:rsid w:val="009247B9"/>
    <w:rsid w:val="00924989"/>
    <w:rsid w:val="009266B7"/>
    <w:rsid w:val="00926A9F"/>
    <w:rsid w:val="00930A09"/>
    <w:rsid w:val="00931639"/>
    <w:rsid w:val="009331B2"/>
    <w:rsid w:val="00933951"/>
    <w:rsid w:val="00934F97"/>
    <w:rsid w:val="0093601A"/>
    <w:rsid w:val="00936336"/>
    <w:rsid w:val="0094009A"/>
    <w:rsid w:val="00944A86"/>
    <w:rsid w:val="00945987"/>
    <w:rsid w:val="0094633D"/>
    <w:rsid w:val="009532E4"/>
    <w:rsid w:val="009535A3"/>
    <w:rsid w:val="00954C19"/>
    <w:rsid w:val="00956681"/>
    <w:rsid w:val="00956B31"/>
    <w:rsid w:val="0096540A"/>
    <w:rsid w:val="00965D93"/>
    <w:rsid w:val="00966A38"/>
    <w:rsid w:val="00966E8F"/>
    <w:rsid w:val="00970753"/>
    <w:rsid w:val="0097194F"/>
    <w:rsid w:val="0097271C"/>
    <w:rsid w:val="00972E9D"/>
    <w:rsid w:val="00974FB4"/>
    <w:rsid w:val="009762DA"/>
    <w:rsid w:val="00976817"/>
    <w:rsid w:val="0098235C"/>
    <w:rsid w:val="009839B5"/>
    <w:rsid w:val="00984ACA"/>
    <w:rsid w:val="0098513A"/>
    <w:rsid w:val="0098707D"/>
    <w:rsid w:val="0098719D"/>
    <w:rsid w:val="00990361"/>
    <w:rsid w:val="00992C6A"/>
    <w:rsid w:val="00993276"/>
    <w:rsid w:val="009969AE"/>
    <w:rsid w:val="009A1574"/>
    <w:rsid w:val="009A2344"/>
    <w:rsid w:val="009A473F"/>
    <w:rsid w:val="009A4910"/>
    <w:rsid w:val="009A7A78"/>
    <w:rsid w:val="009B218C"/>
    <w:rsid w:val="009B2396"/>
    <w:rsid w:val="009B23EC"/>
    <w:rsid w:val="009B2EF7"/>
    <w:rsid w:val="009B300D"/>
    <w:rsid w:val="009B45AE"/>
    <w:rsid w:val="009B4A92"/>
    <w:rsid w:val="009B4FB9"/>
    <w:rsid w:val="009B5964"/>
    <w:rsid w:val="009B61F1"/>
    <w:rsid w:val="009B7164"/>
    <w:rsid w:val="009B78FD"/>
    <w:rsid w:val="009C2A35"/>
    <w:rsid w:val="009C367A"/>
    <w:rsid w:val="009C4FBE"/>
    <w:rsid w:val="009C57A1"/>
    <w:rsid w:val="009C5BD9"/>
    <w:rsid w:val="009C67CA"/>
    <w:rsid w:val="009C69D7"/>
    <w:rsid w:val="009C7E20"/>
    <w:rsid w:val="009D0533"/>
    <w:rsid w:val="009D0FFD"/>
    <w:rsid w:val="009D158C"/>
    <w:rsid w:val="009D191C"/>
    <w:rsid w:val="009D1C63"/>
    <w:rsid w:val="009D3AC0"/>
    <w:rsid w:val="009D4470"/>
    <w:rsid w:val="009D477F"/>
    <w:rsid w:val="009D5330"/>
    <w:rsid w:val="009D6031"/>
    <w:rsid w:val="009D6C1D"/>
    <w:rsid w:val="009D7183"/>
    <w:rsid w:val="009D7F56"/>
    <w:rsid w:val="009E160B"/>
    <w:rsid w:val="009E18F7"/>
    <w:rsid w:val="009E20F2"/>
    <w:rsid w:val="009E3EDC"/>
    <w:rsid w:val="009E57A6"/>
    <w:rsid w:val="009E5F39"/>
    <w:rsid w:val="009E602F"/>
    <w:rsid w:val="009E7B35"/>
    <w:rsid w:val="009F10F1"/>
    <w:rsid w:val="009F1474"/>
    <w:rsid w:val="009F2CA0"/>
    <w:rsid w:val="009F341B"/>
    <w:rsid w:val="009F4DEF"/>
    <w:rsid w:val="009F4FBA"/>
    <w:rsid w:val="009F6F7C"/>
    <w:rsid w:val="009F70E6"/>
    <w:rsid w:val="009F756C"/>
    <w:rsid w:val="00A01299"/>
    <w:rsid w:val="00A01888"/>
    <w:rsid w:val="00A018EF"/>
    <w:rsid w:val="00A01BC7"/>
    <w:rsid w:val="00A0317E"/>
    <w:rsid w:val="00A060BE"/>
    <w:rsid w:val="00A06494"/>
    <w:rsid w:val="00A06912"/>
    <w:rsid w:val="00A100EF"/>
    <w:rsid w:val="00A116F6"/>
    <w:rsid w:val="00A14F88"/>
    <w:rsid w:val="00A151CD"/>
    <w:rsid w:val="00A20A44"/>
    <w:rsid w:val="00A21471"/>
    <w:rsid w:val="00A22DE7"/>
    <w:rsid w:val="00A241FF"/>
    <w:rsid w:val="00A24F57"/>
    <w:rsid w:val="00A25312"/>
    <w:rsid w:val="00A273CD"/>
    <w:rsid w:val="00A33365"/>
    <w:rsid w:val="00A33937"/>
    <w:rsid w:val="00A35841"/>
    <w:rsid w:val="00A35C7E"/>
    <w:rsid w:val="00A37236"/>
    <w:rsid w:val="00A40599"/>
    <w:rsid w:val="00A43AF5"/>
    <w:rsid w:val="00A43BAB"/>
    <w:rsid w:val="00A4487B"/>
    <w:rsid w:val="00A449D6"/>
    <w:rsid w:val="00A45AC2"/>
    <w:rsid w:val="00A4647B"/>
    <w:rsid w:val="00A46855"/>
    <w:rsid w:val="00A46F83"/>
    <w:rsid w:val="00A52E7B"/>
    <w:rsid w:val="00A54F9F"/>
    <w:rsid w:val="00A55D24"/>
    <w:rsid w:val="00A56328"/>
    <w:rsid w:val="00A5716A"/>
    <w:rsid w:val="00A57D9E"/>
    <w:rsid w:val="00A60EDA"/>
    <w:rsid w:val="00A63119"/>
    <w:rsid w:val="00A64847"/>
    <w:rsid w:val="00A65043"/>
    <w:rsid w:val="00A65AC6"/>
    <w:rsid w:val="00A6757A"/>
    <w:rsid w:val="00A70D4B"/>
    <w:rsid w:val="00A72CF9"/>
    <w:rsid w:val="00A73E8E"/>
    <w:rsid w:val="00A740FA"/>
    <w:rsid w:val="00A75A1A"/>
    <w:rsid w:val="00A76272"/>
    <w:rsid w:val="00A812AE"/>
    <w:rsid w:val="00A8134E"/>
    <w:rsid w:val="00A83899"/>
    <w:rsid w:val="00A838C6"/>
    <w:rsid w:val="00A83C5E"/>
    <w:rsid w:val="00A84465"/>
    <w:rsid w:val="00A84694"/>
    <w:rsid w:val="00A853A1"/>
    <w:rsid w:val="00A854D1"/>
    <w:rsid w:val="00A85636"/>
    <w:rsid w:val="00A87E5B"/>
    <w:rsid w:val="00A9159A"/>
    <w:rsid w:val="00A937DA"/>
    <w:rsid w:val="00A9510A"/>
    <w:rsid w:val="00A95EC3"/>
    <w:rsid w:val="00A964D0"/>
    <w:rsid w:val="00AA3BC8"/>
    <w:rsid w:val="00AA3DBF"/>
    <w:rsid w:val="00AA49B5"/>
    <w:rsid w:val="00AA4BF9"/>
    <w:rsid w:val="00AA582B"/>
    <w:rsid w:val="00AA5D7B"/>
    <w:rsid w:val="00AA7702"/>
    <w:rsid w:val="00AB01D6"/>
    <w:rsid w:val="00AB221C"/>
    <w:rsid w:val="00AB2881"/>
    <w:rsid w:val="00AB3325"/>
    <w:rsid w:val="00AB5CB4"/>
    <w:rsid w:val="00AB651E"/>
    <w:rsid w:val="00AC10C5"/>
    <w:rsid w:val="00AC1351"/>
    <w:rsid w:val="00AC1F16"/>
    <w:rsid w:val="00AC2BBE"/>
    <w:rsid w:val="00AC359D"/>
    <w:rsid w:val="00AC5BA2"/>
    <w:rsid w:val="00AC5C1B"/>
    <w:rsid w:val="00AC7E9C"/>
    <w:rsid w:val="00AD22B9"/>
    <w:rsid w:val="00AD36AC"/>
    <w:rsid w:val="00AD3D0F"/>
    <w:rsid w:val="00AD5C1D"/>
    <w:rsid w:val="00AE0043"/>
    <w:rsid w:val="00AE00E7"/>
    <w:rsid w:val="00AE32BD"/>
    <w:rsid w:val="00AE3EC4"/>
    <w:rsid w:val="00AE453F"/>
    <w:rsid w:val="00AE4E80"/>
    <w:rsid w:val="00AF04D3"/>
    <w:rsid w:val="00AF2603"/>
    <w:rsid w:val="00AF2BBD"/>
    <w:rsid w:val="00AF3DA1"/>
    <w:rsid w:val="00AF3FB6"/>
    <w:rsid w:val="00AF511D"/>
    <w:rsid w:val="00AF5AD2"/>
    <w:rsid w:val="00B0031C"/>
    <w:rsid w:val="00B00970"/>
    <w:rsid w:val="00B00E2C"/>
    <w:rsid w:val="00B05F31"/>
    <w:rsid w:val="00B0672E"/>
    <w:rsid w:val="00B06989"/>
    <w:rsid w:val="00B079AF"/>
    <w:rsid w:val="00B10A4F"/>
    <w:rsid w:val="00B126B9"/>
    <w:rsid w:val="00B14160"/>
    <w:rsid w:val="00B1489B"/>
    <w:rsid w:val="00B1525B"/>
    <w:rsid w:val="00B156E1"/>
    <w:rsid w:val="00B175A8"/>
    <w:rsid w:val="00B17655"/>
    <w:rsid w:val="00B21BCA"/>
    <w:rsid w:val="00B21F73"/>
    <w:rsid w:val="00B25B06"/>
    <w:rsid w:val="00B2682A"/>
    <w:rsid w:val="00B27BBC"/>
    <w:rsid w:val="00B27C03"/>
    <w:rsid w:val="00B320ED"/>
    <w:rsid w:val="00B34D2B"/>
    <w:rsid w:val="00B36B0E"/>
    <w:rsid w:val="00B402AB"/>
    <w:rsid w:val="00B40938"/>
    <w:rsid w:val="00B43C6E"/>
    <w:rsid w:val="00B44028"/>
    <w:rsid w:val="00B4431E"/>
    <w:rsid w:val="00B4502F"/>
    <w:rsid w:val="00B46B4A"/>
    <w:rsid w:val="00B477C7"/>
    <w:rsid w:val="00B506CB"/>
    <w:rsid w:val="00B50BF0"/>
    <w:rsid w:val="00B50DCD"/>
    <w:rsid w:val="00B51241"/>
    <w:rsid w:val="00B52C30"/>
    <w:rsid w:val="00B53373"/>
    <w:rsid w:val="00B542D9"/>
    <w:rsid w:val="00B564B6"/>
    <w:rsid w:val="00B5769D"/>
    <w:rsid w:val="00B60B43"/>
    <w:rsid w:val="00B66CF2"/>
    <w:rsid w:val="00B66E1F"/>
    <w:rsid w:val="00B677D3"/>
    <w:rsid w:val="00B67C7D"/>
    <w:rsid w:val="00B7092E"/>
    <w:rsid w:val="00B733CE"/>
    <w:rsid w:val="00B73B07"/>
    <w:rsid w:val="00B7452F"/>
    <w:rsid w:val="00B74705"/>
    <w:rsid w:val="00B76A8D"/>
    <w:rsid w:val="00B8022E"/>
    <w:rsid w:val="00B8158D"/>
    <w:rsid w:val="00B81C82"/>
    <w:rsid w:val="00B8259F"/>
    <w:rsid w:val="00B82874"/>
    <w:rsid w:val="00B85566"/>
    <w:rsid w:val="00B8577C"/>
    <w:rsid w:val="00B865DB"/>
    <w:rsid w:val="00B8666A"/>
    <w:rsid w:val="00B86EC5"/>
    <w:rsid w:val="00B87B5C"/>
    <w:rsid w:val="00B87F35"/>
    <w:rsid w:val="00B90543"/>
    <w:rsid w:val="00B90E91"/>
    <w:rsid w:val="00B9197D"/>
    <w:rsid w:val="00B9383C"/>
    <w:rsid w:val="00B9550B"/>
    <w:rsid w:val="00B961F8"/>
    <w:rsid w:val="00B96773"/>
    <w:rsid w:val="00B974B9"/>
    <w:rsid w:val="00BA01D2"/>
    <w:rsid w:val="00BA0346"/>
    <w:rsid w:val="00BA24C4"/>
    <w:rsid w:val="00BA2DE8"/>
    <w:rsid w:val="00BA440F"/>
    <w:rsid w:val="00BA500A"/>
    <w:rsid w:val="00BA6C3A"/>
    <w:rsid w:val="00BB0C54"/>
    <w:rsid w:val="00BB29DD"/>
    <w:rsid w:val="00BB2C23"/>
    <w:rsid w:val="00BB3081"/>
    <w:rsid w:val="00BB390B"/>
    <w:rsid w:val="00BB5780"/>
    <w:rsid w:val="00BB67B5"/>
    <w:rsid w:val="00BB67D1"/>
    <w:rsid w:val="00BB724A"/>
    <w:rsid w:val="00BB7280"/>
    <w:rsid w:val="00BB7F2E"/>
    <w:rsid w:val="00BC016D"/>
    <w:rsid w:val="00BC25C8"/>
    <w:rsid w:val="00BC3DAE"/>
    <w:rsid w:val="00BD186E"/>
    <w:rsid w:val="00BD3A5E"/>
    <w:rsid w:val="00BD46E0"/>
    <w:rsid w:val="00BD6162"/>
    <w:rsid w:val="00BE0AF7"/>
    <w:rsid w:val="00BE19E3"/>
    <w:rsid w:val="00BE26A1"/>
    <w:rsid w:val="00BE288B"/>
    <w:rsid w:val="00BE3B89"/>
    <w:rsid w:val="00BE5E2E"/>
    <w:rsid w:val="00BE6091"/>
    <w:rsid w:val="00BE669D"/>
    <w:rsid w:val="00BE6ACE"/>
    <w:rsid w:val="00BF02FA"/>
    <w:rsid w:val="00BF03A4"/>
    <w:rsid w:val="00BF13C7"/>
    <w:rsid w:val="00BF1432"/>
    <w:rsid w:val="00BF4054"/>
    <w:rsid w:val="00BF43D0"/>
    <w:rsid w:val="00BF5000"/>
    <w:rsid w:val="00BF79E2"/>
    <w:rsid w:val="00C02846"/>
    <w:rsid w:val="00C037BB"/>
    <w:rsid w:val="00C042C1"/>
    <w:rsid w:val="00C06B2E"/>
    <w:rsid w:val="00C108D2"/>
    <w:rsid w:val="00C10BC6"/>
    <w:rsid w:val="00C14295"/>
    <w:rsid w:val="00C158EA"/>
    <w:rsid w:val="00C15AF5"/>
    <w:rsid w:val="00C17BA8"/>
    <w:rsid w:val="00C20484"/>
    <w:rsid w:val="00C2154E"/>
    <w:rsid w:val="00C216D1"/>
    <w:rsid w:val="00C21BC8"/>
    <w:rsid w:val="00C22E38"/>
    <w:rsid w:val="00C23008"/>
    <w:rsid w:val="00C242E1"/>
    <w:rsid w:val="00C2465A"/>
    <w:rsid w:val="00C30D8C"/>
    <w:rsid w:val="00C31414"/>
    <w:rsid w:val="00C3309E"/>
    <w:rsid w:val="00C358AF"/>
    <w:rsid w:val="00C37F41"/>
    <w:rsid w:val="00C41634"/>
    <w:rsid w:val="00C425E3"/>
    <w:rsid w:val="00C43B3B"/>
    <w:rsid w:val="00C43ED8"/>
    <w:rsid w:val="00C44F96"/>
    <w:rsid w:val="00C4568C"/>
    <w:rsid w:val="00C46142"/>
    <w:rsid w:val="00C46B52"/>
    <w:rsid w:val="00C47EBF"/>
    <w:rsid w:val="00C533FE"/>
    <w:rsid w:val="00C534D8"/>
    <w:rsid w:val="00C557C5"/>
    <w:rsid w:val="00C55B7E"/>
    <w:rsid w:val="00C561B0"/>
    <w:rsid w:val="00C57812"/>
    <w:rsid w:val="00C57B91"/>
    <w:rsid w:val="00C57E90"/>
    <w:rsid w:val="00C608F3"/>
    <w:rsid w:val="00C60B9E"/>
    <w:rsid w:val="00C60CBD"/>
    <w:rsid w:val="00C611DC"/>
    <w:rsid w:val="00C614A6"/>
    <w:rsid w:val="00C666C5"/>
    <w:rsid w:val="00C6726F"/>
    <w:rsid w:val="00C713B0"/>
    <w:rsid w:val="00C72C26"/>
    <w:rsid w:val="00C7347E"/>
    <w:rsid w:val="00C74672"/>
    <w:rsid w:val="00C74B5C"/>
    <w:rsid w:val="00C74EC3"/>
    <w:rsid w:val="00C75C19"/>
    <w:rsid w:val="00C75F3B"/>
    <w:rsid w:val="00C8081A"/>
    <w:rsid w:val="00C815D8"/>
    <w:rsid w:val="00C81A83"/>
    <w:rsid w:val="00C837C6"/>
    <w:rsid w:val="00C84ECC"/>
    <w:rsid w:val="00C86F1B"/>
    <w:rsid w:val="00C87876"/>
    <w:rsid w:val="00C87978"/>
    <w:rsid w:val="00C90F05"/>
    <w:rsid w:val="00C914A6"/>
    <w:rsid w:val="00C91554"/>
    <w:rsid w:val="00C9290D"/>
    <w:rsid w:val="00C93100"/>
    <w:rsid w:val="00C94676"/>
    <w:rsid w:val="00C94680"/>
    <w:rsid w:val="00CA01CD"/>
    <w:rsid w:val="00CA18D6"/>
    <w:rsid w:val="00CA1DCA"/>
    <w:rsid w:val="00CA4CFD"/>
    <w:rsid w:val="00CA6D6B"/>
    <w:rsid w:val="00CB2E23"/>
    <w:rsid w:val="00CB48ED"/>
    <w:rsid w:val="00CB61BA"/>
    <w:rsid w:val="00CB6B6E"/>
    <w:rsid w:val="00CB79B7"/>
    <w:rsid w:val="00CB7B70"/>
    <w:rsid w:val="00CC21CF"/>
    <w:rsid w:val="00CC25D8"/>
    <w:rsid w:val="00CC60F8"/>
    <w:rsid w:val="00CC6396"/>
    <w:rsid w:val="00CC673B"/>
    <w:rsid w:val="00CC75FF"/>
    <w:rsid w:val="00CD0E05"/>
    <w:rsid w:val="00CD2C48"/>
    <w:rsid w:val="00CD4A70"/>
    <w:rsid w:val="00CD7A89"/>
    <w:rsid w:val="00CE0424"/>
    <w:rsid w:val="00CE059F"/>
    <w:rsid w:val="00CE05D4"/>
    <w:rsid w:val="00CE0D0E"/>
    <w:rsid w:val="00CE15E5"/>
    <w:rsid w:val="00CE3436"/>
    <w:rsid w:val="00CE3F4A"/>
    <w:rsid w:val="00CE41D0"/>
    <w:rsid w:val="00CE57ED"/>
    <w:rsid w:val="00CF151D"/>
    <w:rsid w:val="00D0221F"/>
    <w:rsid w:val="00D022FB"/>
    <w:rsid w:val="00D02924"/>
    <w:rsid w:val="00D0376D"/>
    <w:rsid w:val="00D03B85"/>
    <w:rsid w:val="00D046BC"/>
    <w:rsid w:val="00D05662"/>
    <w:rsid w:val="00D068E6"/>
    <w:rsid w:val="00D06EB9"/>
    <w:rsid w:val="00D072FD"/>
    <w:rsid w:val="00D1180B"/>
    <w:rsid w:val="00D12D81"/>
    <w:rsid w:val="00D12E6B"/>
    <w:rsid w:val="00D1658E"/>
    <w:rsid w:val="00D16B73"/>
    <w:rsid w:val="00D170FB"/>
    <w:rsid w:val="00D17BC2"/>
    <w:rsid w:val="00D21C83"/>
    <w:rsid w:val="00D23F60"/>
    <w:rsid w:val="00D27B5E"/>
    <w:rsid w:val="00D315A0"/>
    <w:rsid w:val="00D315BC"/>
    <w:rsid w:val="00D3257B"/>
    <w:rsid w:val="00D3351B"/>
    <w:rsid w:val="00D34148"/>
    <w:rsid w:val="00D34658"/>
    <w:rsid w:val="00D37D73"/>
    <w:rsid w:val="00D406F3"/>
    <w:rsid w:val="00D40C2E"/>
    <w:rsid w:val="00D41151"/>
    <w:rsid w:val="00D434A1"/>
    <w:rsid w:val="00D44E90"/>
    <w:rsid w:val="00D45E40"/>
    <w:rsid w:val="00D45ECE"/>
    <w:rsid w:val="00D51F82"/>
    <w:rsid w:val="00D52404"/>
    <w:rsid w:val="00D5245D"/>
    <w:rsid w:val="00D527F7"/>
    <w:rsid w:val="00D53C78"/>
    <w:rsid w:val="00D542CF"/>
    <w:rsid w:val="00D5507B"/>
    <w:rsid w:val="00D558ED"/>
    <w:rsid w:val="00D5699E"/>
    <w:rsid w:val="00D56A8D"/>
    <w:rsid w:val="00D57795"/>
    <w:rsid w:val="00D615A6"/>
    <w:rsid w:val="00D62595"/>
    <w:rsid w:val="00D6512E"/>
    <w:rsid w:val="00D65BFD"/>
    <w:rsid w:val="00D677D9"/>
    <w:rsid w:val="00D7027A"/>
    <w:rsid w:val="00D71068"/>
    <w:rsid w:val="00D72C6A"/>
    <w:rsid w:val="00D73AA7"/>
    <w:rsid w:val="00D73C4A"/>
    <w:rsid w:val="00D73FB3"/>
    <w:rsid w:val="00D742E7"/>
    <w:rsid w:val="00D7471E"/>
    <w:rsid w:val="00D74C92"/>
    <w:rsid w:val="00D74F4C"/>
    <w:rsid w:val="00D76845"/>
    <w:rsid w:val="00D76E23"/>
    <w:rsid w:val="00D814B1"/>
    <w:rsid w:val="00D81C55"/>
    <w:rsid w:val="00D823D4"/>
    <w:rsid w:val="00D82890"/>
    <w:rsid w:val="00D84C38"/>
    <w:rsid w:val="00D84FF1"/>
    <w:rsid w:val="00D85513"/>
    <w:rsid w:val="00D8634B"/>
    <w:rsid w:val="00D866E2"/>
    <w:rsid w:val="00D87BF7"/>
    <w:rsid w:val="00D908B1"/>
    <w:rsid w:val="00D920A6"/>
    <w:rsid w:val="00D942A1"/>
    <w:rsid w:val="00D971CD"/>
    <w:rsid w:val="00D972DD"/>
    <w:rsid w:val="00D97C09"/>
    <w:rsid w:val="00DA0B74"/>
    <w:rsid w:val="00DA0EFC"/>
    <w:rsid w:val="00DA0FE6"/>
    <w:rsid w:val="00DA31F8"/>
    <w:rsid w:val="00DA3C0A"/>
    <w:rsid w:val="00DA7577"/>
    <w:rsid w:val="00DB19BE"/>
    <w:rsid w:val="00DB4DA3"/>
    <w:rsid w:val="00DB5005"/>
    <w:rsid w:val="00DB51F6"/>
    <w:rsid w:val="00DB56C5"/>
    <w:rsid w:val="00DB5883"/>
    <w:rsid w:val="00DB7322"/>
    <w:rsid w:val="00DB7EFE"/>
    <w:rsid w:val="00DC08B7"/>
    <w:rsid w:val="00DC0EE5"/>
    <w:rsid w:val="00DC351F"/>
    <w:rsid w:val="00DC42B4"/>
    <w:rsid w:val="00DC5FDD"/>
    <w:rsid w:val="00DC67BF"/>
    <w:rsid w:val="00DC7D34"/>
    <w:rsid w:val="00DD0AD7"/>
    <w:rsid w:val="00DD1525"/>
    <w:rsid w:val="00DE0F8E"/>
    <w:rsid w:val="00DE31CF"/>
    <w:rsid w:val="00DE3366"/>
    <w:rsid w:val="00DE34CD"/>
    <w:rsid w:val="00DE3734"/>
    <w:rsid w:val="00DE374E"/>
    <w:rsid w:val="00DE43CE"/>
    <w:rsid w:val="00DE4709"/>
    <w:rsid w:val="00DF01FE"/>
    <w:rsid w:val="00DF080F"/>
    <w:rsid w:val="00DF1766"/>
    <w:rsid w:val="00DF5013"/>
    <w:rsid w:val="00DF6E81"/>
    <w:rsid w:val="00DF762E"/>
    <w:rsid w:val="00E02400"/>
    <w:rsid w:val="00E048FA"/>
    <w:rsid w:val="00E05BC7"/>
    <w:rsid w:val="00E06690"/>
    <w:rsid w:val="00E07834"/>
    <w:rsid w:val="00E10726"/>
    <w:rsid w:val="00E12BCE"/>
    <w:rsid w:val="00E14288"/>
    <w:rsid w:val="00E145DC"/>
    <w:rsid w:val="00E20A5A"/>
    <w:rsid w:val="00E21CE6"/>
    <w:rsid w:val="00E24431"/>
    <w:rsid w:val="00E24DAF"/>
    <w:rsid w:val="00E2643C"/>
    <w:rsid w:val="00E30F2C"/>
    <w:rsid w:val="00E3215B"/>
    <w:rsid w:val="00E3362C"/>
    <w:rsid w:val="00E35290"/>
    <w:rsid w:val="00E37B72"/>
    <w:rsid w:val="00E37EBA"/>
    <w:rsid w:val="00E40444"/>
    <w:rsid w:val="00E433C3"/>
    <w:rsid w:val="00E4355B"/>
    <w:rsid w:val="00E44556"/>
    <w:rsid w:val="00E44582"/>
    <w:rsid w:val="00E4509A"/>
    <w:rsid w:val="00E47746"/>
    <w:rsid w:val="00E47AAD"/>
    <w:rsid w:val="00E47EC0"/>
    <w:rsid w:val="00E51263"/>
    <w:rsid w:val="00E51DAC"/>
    <w:rsid w:val="00E52157"/>
    <w:rsid w:val="00E5234E"/>
    <w:rsid w:val="00E525CA"/>
    <w:rsid w:val="00E53152"/>
    <w:rsid w:val="00E607E1"/>
    <w:rsid w:val="00E614DC"/>
    <w:rsid w:val="00E63E1E"/>
    <w:rsid w:val="00E71FF6"/>
    <w:rsid w:val="00E729E9"/>
    <w:rsid w:val="00E7567B"/>
    <w:rsid w:val="00E80B77"/>
    <w:rsid w:val="00E81802"/>
    <w:rsid w:val="00E83281"/>
    <w:rsid w:val="00E840C4"/>
    <w:rsid w:val="00E847BE"/>
    <w:rsid w:val="00E84E13"/>
    <w:rsid w:val="00E87EE1"/>
    <w:rsid w:val="00E90654"/>
    <w:rsid w:val="00E9202F"/>
    <w:rsid w:val="00E94385"/>
    <w:rsid w:val="00E94767"/>
    <w:rsid w:val="00E97D87"/>
    <w:rsid w:val="00EA083A"/>
    <w:rsid w:val="00EA33BC"/>
    <w:rsid w:val="00EA4B57"/>
    <w:rsid w:val="00EA7140"/>
    <w:rsid w:val="00EA7A6A"/>
    <w:rsid w:val="00EB0481"/>
    <w:rsid w:val="00EB200C"/>
    <w:rsid w:val="00EB3AE9"/>
    <w:rsid w:val="00EB5A9F"/>
    <w:rsid w:val="00EB5D64"/>
    <w:rsid w:val="00EC0686"/>
    <w:rsid w:val="00EC0B89"/>
    <w:rsid w:val="00EC1818"/>
    <w:rsid w:val="00EC1B41"/>
    <w:rsid w:val="00EC22E6"/>
    <w:rsid w:val="00EC78BB"/>
    <w:rsid w:val="00ED0627"/>
    <w:rsid w:val="00ED3BB3"/>
    <w:rsid w:val="00ED3D74"/>
    <w:rsid w:val="00ED538E"/>
    <w:rsid w:val="00EE051D"/>
    <w:rsid w:val="00EE0609"/>
    <w:rsid w:val="00EE14DE"/>
    <w:rsid w:val="00EE16BA"/>
    <w:rsid w:val="00EE4DF1"/>
    <w:rsid w:val="00EE4E4C"/>
    <w:rsid w:val="00EE62B4"/>
    <w:rsid w:val="00EE6362"/>
    <w:rsid w:val="00EE7D0F"/>
    <w:rsid w:val="00EE7D78"/>
    <w:rsid w:val="00EF01ED"/>
    <w:rsid w:val="00EF0236"/>
    <w:rsid w:val="00EF0CC5"/>
    <w:rsid w:val="00EF205F"/>
    <w:rsid w:val="00EF2E02"/>
    <w:rsid w:val="00EF2E16"/>
    <w:rsid w:val="00EF44B3"/>
    <w:rsid w:val="00EF4C9B"/>
    <w:rsid w:val="00EF579B"/>
    <w:rsid w:val="00EF63D8"/>
    <w:rsid w:val="00EF6850"/>
    <w:rsid w:val="00F0027A"/>
    <w:rsid w:val="00F00B40"/>
    <w:rsid w:val="00F0172F"/>
    <w:rsid w:val="00F02A7E"/>
    <w:rsid w:val="00F02EC4"/>
    <w:rsid w:val="00F04977"/>
    <w:rsid w:val="00F04BF4"/>
    <w:rsid w:val="00F04E22"/>
    <w:rsid w:val="00F108D3"/>
    <w:rsid w:val="00F14F4F"/>
    <w:rsid w:val="00F156D5"/>
    <w:rsid w:val="00F1572D"/>
    <w:rsid w:val="00F162E7"/>
    <w:rsid w:val="00F17B1F"/>
    <w:rsid w:val="00F20232"/>
    <w:rsid w:val="00F202E3"/>
    <w:rsid w:val="00F20FFC"/>
    <w:rsid w:val="00F23698"/>
    <w:rsid w:val="00F23B41"/>
    <w:rsid w:val="00F2432B"/>
    <w:rsid w:val="00F25A8C"/>
    <w:rsid w:val="00F30C45"/>
    <w:rsid w:val="00F314D3"/>
    <w:rsid w:val="00F31983"/>
    <w:rsid w:val="00F32534"/>
    <w:rsid w:val="00F3383E"/>
    <w:rsid w:val="00F351C0"/>
    <w:rsid w:val="00F358BC"/>
    <w:rsid w:val="00F35935"/>
    <w:rsid w:val="00F37C22"/>
    <w:rsid w:val="00F42C37"/>
    <w:rsid w:val="00F443DD"/>
    <w:rsid w:val="00F45F61"/>
    <w:rsid w:val="00F51741"/>
    <w:rsid w:val="00F5225D"/>
    <w:rsid w:val="00F52AF3"/>
    <w:rsid w:val="00F53BE1"/>
    <w:rsid w:val="00F55416"/>
    <w:rsid w:val="00F55C18"/>
    <w:rsid w:val="00F5633D"/>
    <w:rsid w:val="00F619B6"/>
    <w:rsid w:val="00F63169"/>
    <w:rsid w:val="00F6650A"/>
    <w:rsid w:val="00F67427"/>
    <w:rsid w:val="00F70374"/>
    <w:rsid w:val="00F70379"/>
    <w:rsid w:val="00F73657"/>
    <w:rsid w:val="00F75E06"/>
    <w:rsid w:val="00F7743E"/>
    <w:rsid w:val="00F80C2B"/>
    <w:rsid w:val="00F81068"/>
    <w:rsid w:val="00F81379"/>
    <w:rsid w:val="00F83DAC"/>
    <w:rsid w:val="00F83E4A"/>
    <w:rsid w:val="00F868EE"/>
    <w:rsid w:val="00F9076A"/>
    <w:rsid w:val="00F910B3"/>
    <w:rsid w:val="00F92617"/>
    <w:rsid w:val="00F935A0"/>
    <w:rsid w:val="00F94902"/>
    <w:rsid w:val="00F954D5"/>
    <w:rsid w:val="00FA0D7B"/>
    <w:rsid w:val="00FA4914"/>
    <w:rsid w:val="00FA4F3F"/>
    <w:rsid w:val="00FA56E8"/>
    <w:rsid w:val="00FA6165"/>
    <w:rsid w:val="00FA6A42"/>
    <w:rsid w:val="00FB3D47"/>
    <w:rsid w:val="00FB62CB"/>
    <w:rsid w:val="00FB65B4"/>
    <w:rsid w:val="00FB660E"/>
    <w:rsid w:val="00FC0342"/>
    <w:rsid w:val="00FC3EED"/>
    <w:rsid w:val="00FC53B6"/>
    <w:rsid w:val="00FC5E1A"/>
    <w:rsid w:val="00FC605F"/>
    <w:rsid w:val="00FC6D5D"/>
    <w:rsid w:val="00FD076B"/>
    <w:rsid w:val="00FD153E"/>
    <w:rsid w:val="00FD397A"/>
    <w:rsid w:val="00FD47FA"/>
    <w:rsid w:val="00FD4C0E"/>
    <w:rsid w:val="00FD6180"/>
    <w:rsid w:val="00FD6A00"/>
    <w:rsid w:val="00FD6F00"/>
    <w:rsid w:val="00FE1296"/>
    <w:rsid w:val="00FE1968"/>
    <w:rsid w:val="00FE5007"/>
    <w:rsid w:val="00FE61C1"/>
    <w:rsid w:val="00FE69BF"/>
    <w:rsid w:val="00FF0DCA"/>
    <w:rsid w:val="00FF1390"/>
    <w:rsid w:val="00FF1547"/>
    <w:rsid w:val="00FF18B4"/>
    <w:rsid w:val="00FF2000"/>
    <w:rsid w:val="00FF3864"/>
    <w:rsid w:val="00FF5131"/>
    <w:rsid w:val="00FF7E62"/>
    <w:rsid w:val="01058A1D"/>
    <w:rsid w:val="011C7B67"/>
    <w:rsid w:val="019C50AF"/>
    <w:rsid w:val="01F88BA7"/>
    <w:rsid w:val="02002CE5"/>
    <w:rsid w:val="0218ED19"/>
    <w:rsid w:val="0247B44E"/>
    <w:rsid w:val="027B8844"/>
    <w:rsid w:val="02BACAEE"/>
    <w:rsid w:val="02D801C1"/>
    <w:rsid w:val="03083B46"/>
    <w:rsid w:val="032EFB7E"/>
    <w:rsid w:val="03967EA8"/>
    <w:rsid w:val="041BC601"/>
    <w:rsid w:val="04AAB205"/>
    <w:rsid w:val="04BF4726"/>
    <w:rsid w:val="04CAB9EA"/>
    <w:rsid w:val="053A3B90"/>
    <w:rsid w:val="05DC735E"/>
    <w:rsid w:val="06275DC6"/>
    <w:rsid w:val="06328DB1"/>
    <w:rsid w:val="067AF46F"/>
    <w:rsid w:val="069AB25C"/>
    <w:rsid w:val="0707FF76"/>
    <w:rsid w:val="07470D52"/>
    <w:rsid w:val="0760D479"/>
    <w:rsid w:val="076E09C9"/>
    <w:rsid w:val="078B2451"/>
    <w:rsid w:val="07B7D458"/>
    <w:rsid w:val="07D20D94"/>
    <w:rsid w:val="080BB709"/>
    <w:rsid w:val="083E8FEA"/>
    <w:rsid w:val="08458CCC"/>
    <w:rsid w:val="0846AD9D"/>
    <w:rsid w:val="0874D2E8"/>
    <w:rsid w:val="09BD6D6D"/>
    <w:rsid w:val="09CD3F0D"/>
    <w:rsid w:val="0A098063"/>
    <w:rsid w:val="0A0E3715"/>
    <w:rsid w:val="0A495C80"/>
    <w:rsid w:val="0A507A5D"/>
    <w:rsid w:val="0A644918"/>
    <w:rsid w:val="0B431892"/>
    <w:rsid w:val="0B5D4059"/>
    <w:rsid w:val="0B94F8B3"/>
    <w:rsid w:val="0BCAEF28"/>
    <w:rsid w:val="0C6F43EB"/>
    <w:rsid w:val="0CA88FE1"/>
    <w:rsid w:val="0CAC533F"/>
    <w:rsid w:val="0D375C40"/>
    <w:rsid w:val="0E29B3D8"/>
    <w:rsid w:val="0E2B3A23"/>
    <w:rsid w:val="0E5B8D0F"/>
    <w:rsid w:val="0E699790"/>
    <w:rsid w:val="0E7FE8AF"/>
    <w:rsid w:val="0EF674D2"/>
    <w:rsid w:val="0F4A9C64"/>
    <w:rsid w:val="0F89221F"/>
    <w:rsid w:val="0FC39BF7"/>
    <w:rsid w:val="0FED08BD"/>
    <w:rsid w:val="10004A98"/>
    <w:rsid w:val="10327901"/>
    <w:rsid w:val="110E889D"/>
    <w:rsid w:val="111DFCA1"/>
    <w:rsid w:val="115CC972"/>
    <w:rsid w:val="1181817D"/>
    <w:rsid w:val="11926E47"/>
    <w:rsid w:val="11CA29EB"/>
    <w:rsid w:val="121EA118"/>
    <w:rsid w:val="125BC2C6"/>
    <w:rsid w:val="12F6D45D"/>
    <w:rsid w:val="1333D902"/>
    <w:rsid w:val="13340967"/>
    <w:rsid w:val="13CC275F"/>
    <w:rsid w:val="13EA66DB"/>
    <w:rsid w:val="13F04F30"/>
    <w:rsid w:val="1409BBBE"/>
    <w:rsid w:val="1425F63A"/>
    <w:rsid w:val="143D9A58"/>
    <w:rsid w:val="14D90F8A"/>
    <w:rsid w:val="14F47333"/>
    <w:rsid w:val="15C4D890"/>
    <w:rsid w:val="15FF5DD8"/>
    <w:rsid w:val="164B9540"/>
    <w:rsid w:val="16678EE0"/>
    <w:rsid w:val="173A6F82"/>
    <w:rsid w:val="175903F1"/>
    <w:rsid w:val="17C840B5"/>
    <w:rsid w:val="17FB428C"/>
    <w:rsid w:val="1830C03D"/>
    <w:rsid w:val="18335659"/>
    <w:rsid w:val="18453199"/>
    <w:rsid w:val="18952270"/>
    <w:rsid w:val="1952CB78"/>
    <w:rsid w:val="1997886E"/>
    <w:rsid w:val="1A7E6C65"/>
    <w:rsid w:val="1A8264B8"/>
    <w:rsid w:val="1B35408A"/>
    <w:rsid w:val="1B3FCF94"/>
    <w:rsid w:val="1BAAD3EA"/>
    <w:rsid w:val="1BC4DE49"/>
    <w:rsid w:val="1C38D365"/>
    <w:rsid w:val="1C900734"/>
    <w:rsid w:val="1CE4CC15"/>
    <w:rsid w:val="1D6DFFB4"/>
    <w:rsid w:val="1DC3B727"/>
    <w:rsid w:val="1E3AD690"/>
    <w:rsid w:val="1E588AC8"/>
    <w:rsid w:val="1E9DBA36"/>
    <w:rsid w:val="1ED42AFE"/>
    <w:rsid w:val="1EE1E809"/>
    <w:rsid w:val="1EEB4064"/>
    <w:rsid w:val="1EF5F887"/>
    <w:rsid w:val="1F0D58B1"/>
    <w:rsid w:val="1F4B8029"/>
    <w:rsid w:val="1FC890C9"/>
    <w:rsid w:val="201F0952"/>
    <w:rsid w:val="2029006B"/>
    <w:rsid w:val="202D67AF"/>
    <w:rsid w:val="204F7871"/>
    <w:rsid w:val="208285B0"/>
    <w:rsid w:val="2098A870"/>
    <w:rsid w:val="20C399CC"/>
    <w:rsid w:val="20C54F56"/>
    <w:rsid w:val="210CA4D5"/>
    <w:rsid w:val="21B77A6B"/>
    <w:rsid w:val="21CC3FC2"/>
    <w:rsid w:val="21D46EF4"/>
    <w:rsid w:val="21DE6967"/>
    <w:rsid w:val="224C2913"/>
    <w:rsid w:val="2254DC91"/>
    <w:rsid w:val="2265F651"/>
    <w:rsid w:val="226AEA61"/>
    <w:rsid w:val="2281166E"/>
    <w:rsid w:val="2288C1AC"/>
    <w:rsid w:val="228F8082"/>
    <w:rsid w:val="22B246AC"/>
    <w:rsid w:val="22C31774"/>
    <w:rsid w:val="22F8F4E2"/>
    <w:rsid w:val="2310F4D3"/>
    <w:rsid w:val="2367C970"/>
    <w:rsid w:val="23AA73D6"/>
    <w:rsid w:val="23B6FCE0"/>
    <w:rsid w:val="24B38294"/>
    <w:rsid w:val="24F0367D"/>
    <w:rsid w:val="250593CB"/>
    <w:rsid w:val="25432A8D"/>
    <w:rsid w:val="25766656"/>
    <w:rsid w:val="258CD961"/>
    <w:rsid w:val="25CCBC41"/>
    <w:rsid w:val="25D55598"/>
    <w:rsid w:val="25EF705A"/>
    <w:rsid w:val="2604736B"/>
    <w:rsid w:val="26159706"/>
    <w:rsid w:val="2621D636"/>
    <w:rsid w:val="268EFF79"/>
    <w:rsid w:val="26CCA320"/>
    <w:rsid w:val="26DA5927"/>
    <w:rsid w:val="2716DCB4"/>
    <w:rsid w:val="27706530"/>
    <w:rsid w:val="2797E491"/>
    <w:rsid w:val="28204D2E"/>
    <w:rsid w:val="2880EED2"/>
    <w:rsid w:val="28E247F2"/>
    <w:rsid w:val="28E32BB5"/>
    <w:rsid w:val="2928309D"/>
    <w:rsid w:val="29291928"/>
    <w:rsid w:val="29F9739A"/>
    <w:rsid w:val="2A84053F"/>
    <w:rsid w:val="2AAA0160"/>
    <w:rsid w:val="2B8E2595"/>
    <w:rsid w:val="2BB16A5F"/>
    <w:rsid w:val="2BE0C7AA"/>
    <w:rsid w:val="2BFD8360"/>
    <w:rsid w:val="2CCF20FF"/>
    <w:rsid w:val="2CF0A765"/>
    <w:rsid w:val="2CF7C857"/>
    <w:rsid w:val="2D3D039B"/>
    <w:rsid w:val="2D45574B"/>
    <w:rsid w:val="2D535315"/>
    <w:rsid w:val="2DBE9304"/>
    <w:rsid w:val="2DD80E73"/>
    <w:rsid w:val="2DF36609"/>
    <w:rsid w:val="2E1478A8"/>
    <w:rsid w:val="2E8A40C2"/>
    <w:rsid w:val="2EB447B7"/>
    <w:rsid w:val="2EBABB4C"/>
    <w:rsid w:val="2F7DBE50"/>
    <w:rsid w:val="2F8B23F7"/>
    <w:rsid w:val="2FBA495A"/>
    <w:rsid w:val="2FEA6C79"/>
    <w:rsid w:val="30672B73"/>
    <w:rsid w:val="3068AEA0"/>
    <w:rsid w:val="307B17F4"/>
    <w:rsid w:val="30DDB3F4"/>
    <w:rsid w:val="30E2F958"/>
    <w:rsid w:val="30E6B053"/>
    <w:rsid w:val="30E80EB3"/>
    <w:rsid w:val="310D866A"/>
    <w:rsid w:val="3119C527"/>
    <w:rsid w:val="314A3255"/>
    <w:rsid w:val="314F8BEF"/>
    <w:rsid w:val="315F749A"/>
    <w:rsid w:val="31DB511A"/>
    <w:rsid w:val="31FB6EDB"/>
    <w:rsid w:val="32DA5208"/>
    <w:rsid w:val="32DC7C82"/>
    <w:rsid w:val="332584E0"/>
    <w:rsid w:val="3325ADB4"/>
    <w:rsid w:val="33F22D45"/>
    <w:rsid w:val="344BF25D"/>
    <w:rsid w:val="3461D3BF"/>
    <w:rsid w:val="356059A6"/>
    <w:rsid w:val="3573DF0C"/>
    <w:rsid w:val="35893425"/>
    <w:rsid w:val="35915DFB"/>
    <w:rsid w:val="35DB4B34"/>
    <w:rsid w:val="36431E47"/>
    <w:rsid w:val="3656A61E"/>
    <w:rsid w:val="36C0CA96"/>
    <w:rsid w:val="36D99805"/>
    <w:rsid w:val="36F3D904"/>
    <w:rsid w:val="37073623"/>
    <w:rsid w:val="370BD346"/>
    <w:rsid w:val="3743EC00"/>
    <w:rsid w:val="37A2B78E"/>
    <w:rsid w:val="37DD3CC8"/>
    <w:rsid w:val="380A093A"/>
    <w:rsid w:val="3813F923"/>
    <w:rsid w:val="38290BA9"/>
    <w:rsid w:val="385BBA85"/>
    <w:rsid w:val="388EE5AE"/>
    <w:rsid w:val="38C71245"/>
    <w:rsid w:val="38F0039C"/>
    <w:rsid w:val="38F202ED"/>
    <w:rsid w:val="39157AA2"/>
    <w:rsid w:val="396C2DD8"/>
    <w:rsid w:val="399DDFC8"/>
    <w:rsid w:val="399FA8C6"/>
    <w:rsid w:val="39C94835"/>
    <w:rsid w:val="39F41363"/>
    <w:rsid w:val="3A50444F"/>
    <w:rsid w:val="3A7564E1"/>
    <w:rsid w:val="3A8CADF4"/>
    <w:rsid w:val="3B73E27B"/>
    <w:rsid w:val="3B94510E"/>
    <w:rsid w:val="3B9FCBA1"/>
    <w:rsid w:val="3C2326B1"/>
    <w:rsid w:val="3C30AE1B"/>
    <w:rsid w:val="3C785466"/>
    <w:rsid w:val="3C789B0F"/>
    <w:rsid w:val="3C8987D0"/>
    <w:rsid w:val="3C9061AA"/>
    <w:rsid w:val="3D32EBFB"/>
    <w:rsid w:val="3D3CB7D3"/>
    <w:rsid w:val="3D44FAF5"/>
    <w:rsid w:val="3D97326D"/>
    <w:rsid w:val="3DA39D3F"/>
    <w:rsid w:val="3DB1D85A"/>
    <w:rsid w:val="3DB69640"/>
    <w:rsid w:val="3DBB89F4"/>
    <w:rsid w:val="3DCC688A"/>
    <w:rsid w:val="3E1B642A"/>
    <w:rsid w:val="3E89CF26"/>
    <w:rsid w:val="3EA59087"/>
    <w:rsid w:val="3EEA6511"/>
    <w:rsid w:val="3F3674D8"/>
    <w:rsid w:val="3F6C8FE9"/>
    <w:rsid w:val="3F8FD882"/>
    <w:rsid w:val="3FB24118"/>
    <w:rsid w:val="3FB49D28"/>
    <w:rsid w:val="3FF9259D"/>
    <w:rsid w:val="40431B72"/>
    <w:rsid w:val="4086CCC6"/>
    <w:rsid w:val="408B0516"/>
    <w:rsid w:val="40F09D97"/>
    <w:rsid w:val="410D8A37"/>
    <w:rsid w:val="412D574E"/>
    <w:rsid w:val="42003E35"/>
    <w:rsid w:val="42A2204A"/>
    <w:rsid w:val="42FA4912"/>
    <w:rsid w:val="42FBF61A"/>
    <w:rsid w:val="43288DA8"/>
    <w:rsid w:val="434F7396"/>
    <w:rsid w:val="43E30EA8"/>
    <w:rsid w:val="440512A3"/>
    <w:rsid w:val="4507F0E0"/>
    <w:rsid w:val="450AFBB2"/>
    <w:rsid w:val="46320F0B"/>
    <w:rsid w:val="46665368"/>
    <w:rsid w:val="46A7AAB2"/>
    <w:rsid w:val="46E039D4"/>
    <w:rsid w:val="46F8035A"/>
    <w:rsid w:val="4715BA96"/>
    <w:rsid w:val="47B33AA5"/>
    <w:rsid w:val="47D454AF"/>
    <w:rsid w:val="47E6DD87"/>
    <w:rsid w:val="47E8732A"/>
    <w:rsid w:val="47FAABF0"/>
    <w:rsid w:val="480FFB07"/>
    <w:rsid w:val="48ED27B6"/>
    <w:rsid w:val="49297230"/>
    <w:rsid w:val="496F0308"/>
    <w:rsid w:val="49D3130F"/>
    <w:rsid w:val="49ED0074"/>
    <w:rsid w:val="4A2D42FB"/>
    <w:rsid w:val="4A86461B"/>
    <w:rsid w:val="4A8D3413"/>
    <w:rsid w:val="4AF1E241"/>
    <w:rsid w:val="4B3BEF8C"/>
    <w:rsid w:val="4B8E716B"/>
    <w:rsid w:val="4BA6C0C2"/>
    <w:rsid w:val="4BC5C8B5"/>
    <w:rsid w:val="4BC9CD93"/>
    <w:rsid w:val="4C45C0CA"/>
    <w:rsid w:val="4CA45D4C"/>
    <w:rsid w:val="4CED594E"/>
    <w:rsid w:val="4D2FEFA5"/>
    <w:rsid w:val="4D47B0EC"/>
    <w:rsid w:val="4D7C0529"/>
    <w:rsid w:val="4D902E97"/>
    <w:rsid w:val="4DB32C08"/>
    <w:rsid w:val="4DC8B0D4"/>
    <w:rsid w:val="4DD6E77D"/>
    <w:rsid w:val="4E133B3A"/>
    <w:rsid w:val="4E43C540"/>
    <w:rsid w:val="4E6A5F29"/>
    <w:rsid w:val="4FAD8286"/>
    <w:rsid w:val="4FE5A423"/>
    <w:rsid w:val="502A95D5"/>
    <w:rsid w:val="504CD108"/>
    <w:rsid w:val="504E5089"/>
    <w:rsid w:val="5082FAE3"/>
    <w:rsid w:val="50939095"/>
    <w:rsid w:val="50BABFB2"/>
    <w:rsid w:val="50BF9FFB"/>
    <w:rsid w:val="50EB0B1D"/>
    <w:rsid w:val="515820CE"/>
    <w:rsid w:val="517D9017"/>
    <w:rsid w:val="51995A57"/>
    <w:rsid w:val="51A9CC61"/>
    <w:rsid w:val="525D0C34"/>
    <w:rsid w:val="528DB7AA"/>
    <w:rsid w:val="5309ECCB"/>
    <w:rsid w:val="531992DE"/>
    <w:rsid w:val="532FB042"/>
    <w:rsid w:val="533D185D"/>
    <w:rsid w:val="5375CBB5"/>
    <w:rsid w:val="53A57DAC"/>
    <w:rsid w:val="53BDC617"/>
    <w:rsid w:val="53EB0948"/>
    <w:rsid w:val="53F26BD1"/>
    <w:rsid w:val="53F27395"/>
    <w:rsid w:val="54152D52"/>
    <w:rsid w:val="5474BEC2"/>
    <w:rsid w:val="54D06D45"/>
    <w:rsid w:val="55352C11"/>
    <w:rsid w:val="558EE902"/>
    <w:rsid w:val="559DDDEE"/>
    <w:rsid w:val="561D7659"/>
    <w:rsid w:val="56514B48"/>
    <w:rsid w:val="56814549"/>
    <w:rsid w:val="56916E42"/>
    <w:rsid w:val="5766A79A"/>
    <w:rsid w:val="579F0693"/>
    <w:rsid w:val="57D2F4C6"/>
    <w:rsid w:val="58C61AFF"/>
    <w:rsid w:val="59D1B492"/>
    <w:rsid w:val="5A4A3F49"/>
    <w:rsid w:val="5A538D02"/>
    <w:rsid w:val="5A7E0369"/>
    <w:rsid w:val="5ABCD46A"/>
    <w:rsid w:val="5ACD2353"/>
    <w:rsid w:val="5AD4B27C"/>
    <w:rsid w:val="5AD58149"/>
    <w:rsid w:val="5B3119B4"/>
    <w:rsid w:val="5B4659BF"/>
    <w:rsid w:val="5B4A2FB1"/>
    <w:rsid w:val="5B6105C0"/>
    <w:rsid w:val="5BD79FDE"/>
    <w:rsid w:val="5BD99A26"/>
    <w:rsid w:val="5C23B538"/>
    <w:rsid w:val="5C8B8CD5"/>
    <w:rsid w:val="5D7C96B2"/>
    <w:rsid w:val="5DA9B459"/>
    <w:rsid w:val="5E1A356D"/>
    <w:rsid w:val="5E4EAE9F"/>
    <w:rsid w:val="5E86A650"/>
    <w:rsid w:val="5E87A99D"/>
    <w:rsid w:val="5ED5FE18"/>
    <w:rsid w:val="5EDB0D64"/>
    <w:rsid w:val="5EE11ECF"/>
    <w:rsid w:val="5F22DDB7"/>
    <w:rsid w:val="5F3BF112"/>
    <w:rsid w:val="5F499EEC"/>
    <w:rsid w:val="5F6791D7"/>
    <w:rsid w:val="5F960D00"/>
    <w:rsid w:val="5F9660B0"/>
    <w:rsid w:val="5FA8405A"/>
    <w:rsid w:val="5FD53618"/>
    <w:rsid w:val="5FEFFAEF"/>
    <w:rsid w:val="60752892"/>
    <w:rsid w:val="608FB878"/>
    <w:rsid w:val="60DD1D8A"/>
    <w:rsid w:val="612BEB89"/>
    <w:rsid w:val="6159D0DB"/>
    <w:rsid w:val="6214053C"/>
    <w:rsid w:val="624722BF"/>
    <w:rsid w:val="62571672"/>
    <w:rsid w:val="63A3BC9B"/>
    <w:rsid w:val="63CBC70E"/>
    <w:rsid w:val="6487D9EE"/>
    <w:rsid w:val="64CCFE25"/>
    <w:rsid w:val="64DD9985"/>
    <w:rsid w:val="64F623D9"/>
    <w:rsid w:val="650313BA"/>
    <w:rsid w:val="6505EABB"/>
    <w:rsid w:val="653C2BA8"/>
    <w:rsid w:val="654911BA"/>
    <w:rsid w:val="6554E765"/>
    <w:rsid w:val="65970116"/>
    <w:rsid w:val="65992F61"/>
    <w:rsid w:val="66C2159A"/>
    <w:rsid w:val="66C99AD7"/>
    <w:rsid w:val="670D7B32"/>
    <w:rsid w:val="675E2777"/>
    <w:rsid w:val="67AFB01A"/>
    <w:rsid w:val="680EDDEA"/>
    <w:rsid w:val="6902F905"/>
    <w:rsid w:val="69039365"/>
    <w:rsid w:val="693E6C71"/>
    <w:rsid w:val="695B79EE"/>
    <w:rsid w:val="6960C8A1"/>
    <w:rsid w:val="69EA9164"/>
    <w:rsid w:val="6A3CF322"/>
    <w:rsid w:val="6A50A160"/>
    <w:rsid w:val="6A596578"/>
    <w:rsid w:val="6A9CAD15"/>
    <w:rsid w:val="6AA93DBC"/>
    <w:rsid w:val="6AFAA54D"/>
    <w:rsid w:val="6B2AF5C5"/>
    <w:rsid w:val="6B38F0E9"/>
    <w:rsid w:val="6B3A7E3F"/>
    <w:rsid w:val="6C0823E6"/>
    <w:rsid w:val="6C508024"/>
    <w:rsid w:val="6C872377"/>
    <w:rsid w:val="6CFE1036"/>
    <w:rsid w:val="6D332343"/>
    <w:rsid w:val="6D4662BF"/>
    <w:rsid w:val="6D4A2164"/>
    <w:rsid w:val="6D5B6757"/>
    <w:rsid w:val="6D8108D0"/>
    <w:rsid w:val="6D828B2A"/>
    <w:rsid w:val="6D8464A4"/>
    <w:rsid w:val="6D9AF30C"/>
    <w:rsid w:val="6DD80A1C"/>
    <w:rsid w:val="6E177BDD"/>
    <w:rsid w:val="6E341061"/>
    <w:rsid w:val="6E345DF6"/>
    <w:rsid w:val="6E48B377"/>
    <w:rsid w:val="6E7681DC"/>
    <w:rsid w:val="6EB12D7B"/>
    <w:rsid w:val="6EC587C8"/>
    <w:rsid w:val="6F09162E"/>
    <w:rsid w:val="6F2EDA35"/>
    <w:rsid w:val="6F435386"/>
    <w:rsid w:val="6F953429"/>
    <w:rsid w:val="6FB93852"/>
    <w:rsid w:val="6FBCFF33"/>
    <w:rsid w:val="6FF06422"/>
    <w:rsid w:val="6FF0FD14"/>
    <w:rsid w:val="70072AFD"/>
    <w:rsid w:val="70146607"/>
    <w:rsid w:val="702658C2"/>
    <w:rsid w:val="704BFB0B"/>
    <w:rsid w:val="704DEFB4"/>
    <w:rsid w:val="7061029C"/>
    <w:rsid w:val="70B39B51"/>
    <w:rsid w:val="70E03DCD"/>
    <w:rsid w:val="7113FD68"/>
    <w:rsid w:val="714214E5"/>
    <w:rsid w:val="71443F83"/>
    <w:rsid w:val="7177DEF2"/>
    <w:rsid w:val="723DC932"/>
    <w:rsid w:val="725BADE9"/>
    <w:rsid w:val="7290ECDF"/>
    <w:rsid w:val="72C87B8F"/>
    <w:rsid w:val="73723476"/>
    <w:rsid w:val="737C10F4"/>
    <w:rsid w:val="73A18A34"/>
    <w:rsid w:val="741F2E63"/>
    <w:rsid w:val="744C9295"/>
    <w:rsid w:val="74952AB0"/>
    <w:rsid w:val="74D5FE5E"/>
    <w:rsid w:val="74E7F14C"/>
    <w:rsid w:val="7506CD22"/>
    <w:rsid w:val="754BF161"/>
    <w:rsid w:val="76008C25"/>
    <w:rsid w:val="76705AC2"/>
    <w:rsid w:val="77141F69"/>
    <w:rsid w:val="77353A63"/>
    <w:rsid w:val="7759E027"/>
    <w:rsid w:val="77A13BBC"/>
    <w:rsid w:val="77B33A9C"/>
    <w:rsid w:val="7815603F"/>
    <w:rsid w:val="782597E1"/>
    <w:rsid w:val="787751A5"/>
    <w:rsid w:val="78B5419B"/>
    <w:rsid w:val="78B58336"/>
    <w:rsid w:val="78FD0CA8"/>
    <w:rsid w:val="7910CDA6"/>
    <w:rsid w:val="79ADB42A"/>
    <w:rsid w:val="7A05C4FE"/>
    <w:rsid w:val="7A7094CA"/>
    <w:rsid w:val="7A88A15B"/>
    <w:rsid w:val="7ABE0927"/>
    <w:rsid w:val="7AD65130"/>
    <w:rsid w:val="7AEF0649"/>
    <w:rsid w:val="7B578D07"/>
    <w:rsid w:val="7B8EEF57"/>
    <w:rsid w:val="7BC721C2"/>
    <w:rsid w:val="7BEB6F2B"/>
    <w:rsid w:val="7C1F29AF"/>
    <w:rsid w:val="7C22BB29"/>
    <w:rsid w:val="7C6D3754"/>
    <w:rsid w:val="7D32F56A"/>
    <w:rsid w:val="7DAF98ED"/>
    <w:rsid w:val="7DD7FA5C"/>
    <w:rsid w:val="7E1D2FFF"/>
    <w:rsid w:val="7EA5FB78"/>
    <w:rsid w:val="7FA9B2A2"/>
    <w:rsid w:val="7FC3A240"/>
    <w:rsid w:val="7FDAF5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8108F9"/>
  <w15:chartTrackingRefBased/>
  <w15:docId w15:val="{4BE4601F-8EF3-49FF-B560-C8E5733E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A38"/>
    <w:pPr>
      <w:spacing w:line="260" w:lineRule="atLeast"/>
      <w:jc w:val="both"/>
    </w:pPr>
    <w:rPr>
      <w:rFonts w:ascii="Palatino Linotype" w:hAnsi="Palatino Linotype"/>
      <w:noProof/>
      <w:color w:val="000000"/>
    </w:rPr>
  </w:style>
  <w:style w:type="paragraph" w:styleId="Heading3">
    <w:name w:val="heading 3"/>
    <w:basedOn w:val="Normal"/>
    <w:link w:val="Heading3Char"/>
    <w:uiPriority w:val="9"/>
    <w:qFormat/>
    <w:rsid w:val="002414DF"/>
    <w:pPr>
      <w:spacing w:before="100" w:beforeAutospacing="1" w:after="100" w:afterAutospacing="1" w:line="240" w:lineRule="auto"/>
      <w:jc w:val="left"/>
      <w:outlineLvl w:val="2"/>
    </w:pPr>
    <w:rPr>
      <w:rFonts w:ascii="Times New Roman" w:eastAsia="Times New Roman" w:hAnsi="Times New Roman"/>
      <w:b/>
      <w:bCs/>
      <w:noProof w:val="0"/>
      <w:color w:val="auto"/>
      <w:sz w:val="27"/>
      <w:szCs w:val="27"/>
      <w:lang w:eastAsia="en-US"/>
    </w:rPr>
  </w:style>
  <w:style w:type="paragraph" w:styleId="Heading4">
    <w:name w:val="heading 4"/>
    <w:basedOn w:val="Normal"/>
    <w:next w:val="Normal"/>
    <w:link w:val="Heading4Char"/>
    <w:uiPriority w:val="9"/>
    <w:unhideWhenUsed/>
    <w:qFormat/>
    <w:rsid w:val="00A964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C9290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C9290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C9290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C9290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C9290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C9290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C9290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C9290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Footer">
    <w:name w:val="footer"/>
    <w:basedOn w:val="Normal"/>
    <w:link w:val="FooterChar"/>
    <w:uiPriority w:val="99"/>
    <w:rsid w:val="00C9290D"/>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C9290D"/>
    <w:rPr>
      <w:rFonts w:ascii="Palatino Linotype" w:hAnsi="Palatino Linotype"/>
      <w:noProof/>
      <w:color w:val="000000"/>
      <w:szCs w:val="18"/>
    </w:rPr>
  </w:style>
  <w:style w:type="paragraph" w:styleId="Header">
    <w:name w:val="header"/>
    <w:basedOn w:val="Normal"/>
    <w:link w:val="HeaderChar"/>
    <w:uiPriority w:val="99"/>
    <w:rsid w:val="00C9290D"/>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C9290D"/>
    <w:rPr>
      <w:rFonts w:ascii="Palatino Linotype" w:hAnsi="Palatino Linotype"/>
      <w:noProof/>
      <w:color w:val="000000"/>
      <w:szCs w:val="18"/>
    </w:rPr>
  </w:style>
  <w:style w:type="paragraph" w:customStyle="1" w:styleId="MDPIheaderjournallogo">
    <w:name w:val="MDPI_header_journal_logo"/>
    <w:qFormat/>
    <w:rsid w:val="00C9290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C9290D"/>
    <w:pPr>
      <w:ind w:firstLine="0"/>
    </w:pPr>
  </w:style>
  <w:style w:type="paragraph" w:customStyle="1" w:styleId="MDPI31text">
    <w:name w:val="MDPI_3.1_text"/>
    <w:qFormat/>
    <w:rsid w:val="00BB578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C9290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C9290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C9290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C9290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8135AD"/>
    <w:pPr>
      <w:numPr>
        <w:numId w:val="5"/>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8135AD"/>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C9290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C9290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C9290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B865DB"/>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C9290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C9290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C9290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C9290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C9290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footerfirstpage">
    <w:name w:val="MDPI_footer_firstpage"/>
    <w:qFormat/>
    <w:rsid w:val="00C9290D"/>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C9290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C9290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C9290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1D3076"/>
    <w:pPr>
      <w:numPr>
        <w:numId w:val="6"/>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C9290D"/>
    <w:rPr>
      <w:rFonts w:cs="Tahoma"/>
      <w:szCs w:val="18"/>
    </w:rPr>
  </w:style>
  <w:style w:type="character" w:customStyle="1" w:styleId="BalloonTextChar">
    <w:name w:val="Balloon Text Char"/>
    <w:link w:val="BalloonText"/>
    <w:uiPriority w:val="99"/>
    <w:rsid w:val="00C9290D"/>
    <w:rPr>
      <w:rFonts w:ascii="Palatino Linotype" w:hAnsi="Palatino Linotype" w:cs="Tahoma"/>
      <w:noProof/>
      <w:color w:val="000000"/>
      <w:szCs w:val="18"/>
    </w:rPr>
  </w:style>
  <w:style w:type="character" w:styleId="LineNumber">
    <w:name w:val="line number"/>
    <w:uiPriority w:val="99"/>
    <w:rsid w:val="006E1A12"/>
    <w:rPr>
      <w:rFonts w:ascii="Palatino Linotype" w:hAnsi="Palatino Linotype"/>
      <w:sz w:val="16"/>
    </w:rPr>
  </w:style>
  <w:style w:type="table" w:customStyle="1" w:styleId="MDPI41threelinetable">
    <w:name w:val="MDPI_4.1_three_line_table"/>
    <w:basedOn w:val="TableNormal"/>
    <w:uiPriority w:val="99"/>
    <w:rsid w:val="00C9290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C9290D"/>
    <w:rPr>
      <w:color w:val="0000FF"/>
      <w:u w:val="single"/>
    </w:rPr>
  </w:style>
  <w:style w:type="character" w:customStyle="1" w:styleId="UnresolvedMention1">
    <w:name w:val="Unresolved Mention1"/>
    <w:uiPriority w:val="99"/>
    <w:semiHidden/>
    <w:unhideWhenUsed/>
    <w:rsid w:val="00FB62CB"/>
    <w:rPr>
      <w:color w:val="605E5C"/>
      <w:shd w:val="clear" w:color="auto" w:fill="E1DFDD"/>
    </w:rPr>
  </w:style>
  <w:style w:type="table" w:styleId="TableGrid">
    <w:name w:val="Table Grid"/>
    <w:basedOn w:val="TableNormal"/>
    <w:uiPriority w:val="39"/>
    <w:rsid w:val="00C9290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847B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C9290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C9290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C9290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3B36A5"/>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C9290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C9290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C9290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1A4E3F"/>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C9290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C9290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C9290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C9290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C9290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C9290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C9290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C9290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C9290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C9290D"/>
  </w:style>
  <w:style w:type="paragraph" w:styleId="Bibliography">
    <w:name w:val="Bibliography"/>
    <w:basedOn w:val="Normal"/>
    <w:next w:val="Normal"/>
    <w:uiPriority w:val="37"/>
    <w:semiHidden/>
    <w:unhideWhenUsed/>
    <w:rsid w:val="00C9290D"/>
  </w:style>
  <w:style w:type="paragraph" w:styleId="BodyText">
    <w:name w:val="Body Text"/>
    <w:link w:val="BodyTextChar"/>
    <w:rsid w:val="00C9290D"/>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C9290D"/>
    <w:rPr>
      <w:rFonts w:ascii="Palatino Linotype" w:hAnsi="Palatino Linotype"/>
      <w:color w:val="000000"/>
      <w:sz w:val="24"/>
      <w:lang w:eastAsia="de-DE"/>
    </w:rPr>
  </w:style>
  <w:style w:type="character" w:styleId="CommentReference">
    <w:name w:val="annotation reference"/>
    <w:rsid w:val="00C9290D"/>
    <w:rPr>
      <w:sz w:val="21"/>
      <w:szCs w:val="21"/>
    </w:rPr>
  </w:style>
  <w:style w:type="paragraph" w:styleId="CommentText">
    <w:name w:val="annotation text"/>
    <w:basedOn w:val="Normal"/>
    <w:link w:val="CommentTextChar"/>
    <w:rsid w:val="00C9290D"/>
  </w:style>
  <w:style w:type="character" w:customStyle="1" w:styleId="CommentTextChar">
    <w:name w:val="Comment Text Char"/>
    <w:link w:val="CommentText"/>
    <w:rsid w:val="00C9290D"/>
    <w:rPr>
      <w:rFonts w:ascii="Palatino Linotype" w:hAnsi="Palatino Linotype"/>
      <w:noProof/>
      <w:color w:val="000000"/>
    </w:rPr>
  </w:style>
  <w:style w:type="paragraph" w:styleId="CommentSubject">
    <w:name w:val="annotation subject"/>
    <w:basedOn w:val="CommentText"/>
    <w:next w:val="CommentText"/>
    <w:link w:val="CommentSubjectChar"/>
    <w:rsid w:val="00C9290D"/>
    <w:rPr>
      <w:b/>
      <w:bCs/>
    </w:rPr>
  </w:style>
  <w:style w:type="character" w:customStyle="1" w:styleId="CommentSubjectChar">
    <w:name w:val="Comment Subject Char"/>
    <w:link w:val="CommentSubject"/>
    <w:rsid w:val="00C9290D"/>
    <w:rPr>
      <w:rFonts w:ascii="Palatino Linotype" w:hAnsi="Palatino Linotype"/>
      <w:b/>
      <w:bCs/>
      <w:noProof/>
      <w:color w:val="000000"/>
    </w:rPr>
  </w:style>
  <w:style w:type="character" w:styleId="EndnoteReference">
    <w:name w:val="endnote reference"/>
    <w:rsid w:val="00C9290D"/>
    <w:rPr>
      <w:vertAlign w:val="superscript"/>
    </w:rPr>
  </w:style>
  <w:style w:type="paragraph" w:styleId="EndnoteText">
    <w:name w:val="endnote text"/>
    <w:basedOn w:val="Normal"/>
    <w:link w:val="EndnoteTextChar"/>
    <w:semiHidden/>
    <w:unhideWhenUsed/>
    <w:rsid w:val="00C9290D"/>
    <w:pPr>
      <w:spacing w:line="240" w:lineRule="auto"/>
    </w:pPr>
  </w:style>
  <w:style w:type="character" w:customStyle="1" w:styleId="EndnoteTextChar">
    <w:name w:val="Endnote Text Char"/>
    <w:link w:val="EndnoteText"/>
    <w:semiHidden/>
    <w:rsid w:val="00C9290D"/>
    <w:rPr>
      <w:rFonts w:ascii="Palatino Linotype" w:hAnsi="Palatino Linotype"/>
      <w:noProof/>
      <w:color w:val="000000"/>
    </w:rPr>
  </w:style>
  <w:style w:type="character" w:styleId="FollowedHyperlink">
    <w:name w:val="FollowedHyperlink"/>
    <w:rsid w:val="00C9290D"/>
    <w:rPr>
      <w:color w:val="954F72"/>
      <w:u w:val="single"/>
    </w:rPr>
  </w:style>
  <w:style w:type="paragraph" w:styleId="FootnoteText">
    <w:name w:val="footnote text"/>
    <w:basedOn w:val="Normal"/>
    <w:link w:val="FootnoteTextChar"/>
    <w:semiHidden/>
    <w:unhideWhenUsed/>
    <w:rsid w:val="00C9290D"/>
    <w:pPr>
      <w:spacing w:line="240" w:lineRule="auto"/>
    </w:pPr>
  </w:style>
  <w:style w:type="character" w:customStyle="1" w:styleId="FootnoteTextChar">
    <w:name w:val="Footnote Text Char"/>
    <w:link w:val="FootnoteText"/>
    <w:semiHidden/>
    <w:rsid w:val="00C9290D"/>
    <w:rPr>
      <w:rFonts w:ascii="Palatino Linotype" w:hAnsi="Palatino Linotype"/>
      <w:noProof/>
      <w:color w:val="000000"/>
    </w:rPr>
  </w:style>
  <w:style w:type="paragraph" w:styleId="NormalWeb">
    <w:name w:val="Normal (Web)"/>
    <w:basedOn w:val="Normal"/>
    <w:uiPriority w:val="99"/>
    <w:rsid w:val="00C9290D"/>
    <w:rPr>
      <w:szCs w:val="24"/>
    </w:rPr>
  </w:style>
  <w:style w:type="paragraph" w:customStyle="1" w:styleId="MsoFootnoteText0">
    <w:name w:val="MsoFootnoteText"/>
    <w:basedOn w:val="NormalWeb"/>
    <w:qFormat/>
    <w:rsid w:val="00C9290D"/>
    <w:rPr>
      <w:rFonts w:ascii="Times New Roman" w:hAnsi="Times New Roman"/>
    </w:rPr>
  </w:style>
  <w:style w:type="character" w:styleId="PageNumber">
    <w:name w:val="page number"/>
    <w:rsid w:val="00C9290D"/>
  </w:style>
  <w:style w:type="character" w:styleId="PlaceholderText">
    <w:name w:val="Placeholder Text"/>
    <w:uiPriority w:val="99"/>
    <w:semiHidden/>
    <w:rsid w:val="00C9290D"/>
    <w:rPr>
      <w:color w:val="808080"/>
    </w:rPr>
  </w:style>
  <w:style w:type="paragraph" w:customStyle="1" w:styleId="MDPI71FootNotes">
    <w:name w:val="MDPI_7.1_FootNotes"/>
    <w:qFormat/>
    <w:rsid w:val="00FD397A"/>
    <w:pPr>
      <w:numPr>
        <w:numId w:val="4"/>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CE41D0"/>
    <w:pPr>
      <w:spacing w:after="200" w:line="240" w:lineRule="auto"/>
    </w:pPr>
    <w:rPr>
      <w:i/>
      <w:iCs/>
      <w:color w:val="44546A" w:themeColor="text2"/>
      <w:sz w:val="18"/>
      <w:szCs w:val="18"/>
    </w:rPr>
  </w:style>
  <w:style w:type="paragraph" w:styleId="ListParagraph">
    <w:name w:val="List Paragraph"/>
    <w:basedOn w:val="Normal"/>
    <w:uiPriority w:val="1"/>
    <w:qFormat/>
    <w:rsid w:val="000D1C10"/>
    <w:pPr>
      <w:ind w:left="720"/>
      <w:contextualSpacing/>
    </w:pPr>
  </w:style>
  <w:style w:type="character" w:customStyle="1" w:styleId="UnresolvedMention2">
    <w:name w:val="Unresolved Mention2"/>
    <w:basedOn w:val="DefaultParagraphFont"/>
    <w:uiPriority w:val="99"/>
    <w:semiHidden/>
    <w:unhideWhenUsed/>
    <w:rsid w:val="00856D71"/>
    <w:rPr>
      <w:color w:val="605E5C"/>
      <w:shd w:val="clear" w:color="auto" w:fill="E1DFDD"/>
    </w:rPr>
  </w:style>
  <w:style w:type="paragraph" w:customStyle="1" w:styleId="paragraph">
    <w:name w:val="paragraph"/>
    <w:basedOn w:val="Normal"/>
    <w:rsid w:val="009E7B35"/>
    <w:pPr>
      <w:spacing w:before="100" w:beforeAutospacing="1" w:after="100" w:afterAutospacing="1" w:line="240" w:lineRule="auto"/>
      <w:jc w:val="left"/>
    </w:pPr>
    <w:rPr>
      <w:rFonts w:ascii="Times New Roman" w:eastAsia="Times New Roman" w:hAnsi="Times New Roman"/>
      <w:noProof w:val="0"/>
      <w:color w:val="auto"/>
      <w:sz w:val="24"/>
      <w:szCs w:val="24"/>
      <w:lang w:val="en-GB" w:eastAsia="en-GB"/>
    </w:rPr>
  </w:style>
  <w:style w:type="character" w:customStyle="1" w:styleId="normaltextrun">
    <w:name w:val="normaltextrun"/>
    <w:basedOn w:val="DefaultParagraphFont"/>
    <w:rsid w:val="009E7B35"/>
  </w:style>
  <w:style w:type="character" w:customStyle="1" w:styleId="eop">
    <w:name w:val="eop"/>
    <w:basedOn w:val="DefaultParagraphFont"/>
    <w:rsid w:val="009E7B35"/>
  </w:style>
  <w:style w:type="paragraph" w:styleId="Revision">
    <w:name w:val="Revision"/>
    <w:hidden/>
    <w:uiPriority w:val="99"/>
    <w:semiHidden/>
    <w:rsid w:val="00A21471"/>
    <w:rPr>
      <w:rFonts w:ascii="Palatino Linotype" w:hAnsi="Palatino Linotype"/>
      <w:noProof/>
      <w:color w:val="000000"/>
    </w:rPr>
  </w:style>
  <w:style w:type="table" w:styleId="TableGridLight">
    <w:name w:val="Grid Table Light"/>
    <w:basedOn w:val="TableNormal"/>
    <w:uiPriority w:val="40"/>
    <w:rsid w:val="00F0172F"/>
    <w:rPr>
      <w:rFonts w:asciiTheme="minorHAnsi" w:eastAsia="Times New Roman" w:hAnsiTheme="minorHAnsi" w:cs="Arial"/>
      <w:kern w:val="2"/>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2414DF"/>
    <w:rPr>
      <w:rFonts w:ascii="Times New Roman" w:eastAsia="Times New Roman" w:hAnsi="Times New Roman"/>
      <w:b/>
      <w:bCs/>
      <w:sz w:val="27"/>
      <w:szCs w:val="27"/>
      <w:lang w:eastAsia="en-US"/>
    </w:rPr>
  </w:style>
  <w:style w:type="character" w:styleId="Strong">
    <w:name w:val="Strong"/>
    <w:basedOn w:val="DefaultParagraphFont"/>
    <w:uiPriority w:val="22"/>
    <w:qFormat/>
    <w:rsid w:val="002414DF"/>
    <w:rPr>
      <w:b/>
      <w:bCs/>
    </w:rPr>
  </w:style>
  <w:style w:type="character" w:customStyle="1" w:styleId="Heading4Char">
    <w:name w:val="Heading 4 Char"/>
    <w:basedOn w:val="DefaultParagraphFont"/>
    <w:link w:val="Heading4"/>
    <w:uiPriority w:val="9"/>
    <w:rsid w:val="00A964D0"/>
    <w:rPr>
      <w:rFonts w:asciiTheme="majorHAnsi" w:eastAsiaTheme="majorEastAsia" w:hAnsiTheme="majorHAnsi" w:cstheme="majorBidi"/>
      <w:i/>
      <w:iCs/>
      <w:noProof/>
      <w:color w:val="2F5496" w:themeColor="accent1" w:themeShade="BF"/>
    </w:rPr>
  </w:style>
  <w:style w:type="character" w:styleId="Emphasis">
    <w:name w:val="Emphasis"/>
    <w:basedOn w:val="DefaultParagraphFont"/>
    <w:uiPriority w:val="20"/>
    <w:qFormat/>
    <w:rsid w:val="00EC78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8117">
      <w:bodyDiv w:val="1"/>
      <w:marLeft w:val="0"/>
      <w:marRight w:val="0"/>
      <w:marTop w:val="0"/>
      <w:marBottom w:val="0"/>
      <w:divBdr>
        <w:top w:val="none" w:sz="0" w:space="0" w:color="auto"/>
        <w:left w:val="none" w:sz="0" w:space="0" w:color="auto"/>
        <w:bottom w:val="none" w:sz="0" w:space="0" w:color="auto"/>
        <w:right w:val="none" w:sz="0" w:space="0" w:color="auto"/>
      </w:divBdr>
    </w:div>
    <w:div w:id="73628152">
      <w:bodyDiv w:val="1"/>
      <w:marLeft w:val="0"/>
      <w:marRight w:val="0"/>
      <w:marTop w:val="0"/>
      <w:marBottom w:val="0"/>
      <w:divBdr>
        <w:top w:val="none" w:sz="0" w:space="0" w:color="auto"/>
        <w:left w:val="none" w:sz="0" w:space="0" w:color="auto"/>
        <w:bottom w:val="none" w:sz="0" w:space="0" w:color="auto"/>
        <w:right w:val="none" w:sz="0" w:space="0" w:color="auto"/>
      </w:divBdr>
      <w:divsChild>
        <w:div w:id="309943702">
          <w:marLeft w:val="0"/>
          <w:marRight w:val="0"/>
          <w:marTop w:val="0"/>
          <w:marBottom w:val="0"/>
          <w:divBdr>
            <w:top w:val="none" w:sz="0" w:space="0" w:color="auto"/>
            <w:left w:val="none" w:sz="0" w:space="0" w:color="auto"/>
            <w:bottom w:val="none" w:sz="0" w:space="0" w:color="auto"/>
            <w:right w:val="none" w:sz="0" w:space="0" w:color="auto"/>
          </w:divBdr>
        </w:div>
        <w:div w:id="1424447134">
          <w:marLeft w:val="0"/>
          <w:marRight w:val="0"/>
          <w:marTop w:val="0"/>
          <w:marBottom w:val="0"/>
          <w:divBdr>
            <w:top w:val="none" w:sz="0" w:space="0" w:color="auto"/>
            <w:left w:val="none" w:sz="0" w:space="0" w:color="auto"/>
            <w:bottom w:val="none" w:sz="0" w:space="0" w:color="auto"/>
            <w:right w:val="none" w:sz="0" w:space="0" w:color="auto"/>
          </w:divBdr>
        </w:div>
        <w:div w:id="246773359">
          <w:marLeft w:val="0"/>
          <w:marRight w:val="0"/>
          <w:marTop w:val="0"/>
          <w:marBottom w:val="0"/>
          <w:divBdr>
            <w:top w:val="none" w:sz="0" w:space="0" w:color="auto"/>
            <w:left w:val="none" w:sz="0" w:space="0" w:color="auto"/>
            <w:bottom w:val="none" w:sz="0" w:space="0" w:color="auto"/>
            <w:right w:val="none" w:sz="0" w:space="0" w:color="auto"/>
          </w:divBdr>
        </w:div>
        <w:div w:id="1048605150">
          <w:marLeft w:val="0"/>
          <w:marRight w:val="0"/>
          <w:marTop w:val="0"/>
          <w:marBottom w:val="0"/>
          <w:divBdr>
            <w:top w:val="none" w:sz="0" w:space="0" w:color="auto"/>
            <w:left w:val="none" w:sz="0" w:space="0" w:color="auto"/>
            <w:bottom w:val="none" w:sz="0" w:space="0" w:color="auto"/>
            <w:right w:val="none" w:sz="0" w:space="0" w:color="auto"/>
          </w:divBdr>
        </w:div>
        <w:div w:id="2093500122">
          <w:marLeft w:val="0"/>
          <w:marRight w:val="0"/>
          <w:marTop w:val="0"/>
          <w:marBottom w:val="0"/>
          <w:divBdr>
            <w:top w:val="none" w:sz="0" w:space="0" w:color="auto"/>
            <w:left w:val="none" w:sz="0" w:space="0" w:color="auto"/>
            <w:bottom w:val="none" w:sz="0" w:space="0" w:color="auto"/>
            <w:right w:val="none" w:sz="0" w:space="0" w:color="auto"/>
          </w:divBdr>
        </w:div>
        <w:div w:id="589893923">
          <w:marLeft w:val="0"/>
          <w:marRight w:val="0"/>
          <w:marTop w:val="0"/>
          <w:marBottom w:val="0"/>
          <w:divBdr>
            <w:top w:val="none" w:sz="0" w:space="0" w:color="auto"/>
            <w:left w:val="none" w:sz="0" w:space="0" w:color="auto"/>
            <w:bottom w:val="none" w:sz="0" w:space="0" w:color="auto"/>
            <w:right w:val="none" w:sz="0" w:space="0" w:color="auto"/>
          </w:divBdr>
        </w:div>
      </w:divsChild>
    </w:div>
    <w:div w:id="178087174">
      <w:bodyDiv w:val="1"/>
      <w:marLeft w:val="0"/>
      <w:marRight w:val="0"/>
      <w:marTop w:val="0"/>
      <w:marBottom w:val="0"/>
      <w:divBdr>
        <w:top w:val="none" w:sz="0" w:space="0" w:color="auto"/>
        <w:left w:val="none" w:sz="0" w:space="0" w:color="auto"/>
        <w:bottom w:val="none" w:sz="0" w:space="0" w:color="auto"/>
        <w:right w:val="none" w:sz="0" w:space="0" w:color="auto"/>
      </w:divBdr>
    </w:div>
    <w:div w:id="436215889">
      <w:bodyDiv w:val="1"/>
      <w:marLeft w:val="0"/>
      <w:marRight w:val="0"/>
      <w:marTop w:val="0"/>
      <w:marBottom w:val="0"/>
      <w:divBdr>
        <w:top w:val="none" w:sz="0" w:space="0" w:color="auto"/>
        <w:left w:val="none" w:sz="0" w:space="0" w:color="auto"/>
        <w:bottom w:val="none" w:sz="0" w:space="0" w:color="auto"/>
        <w:right w:val="none" w:sz="0" w:space="0" w:color="auto"/>
      </w:divBdr>
      <w:divsChild>
        <w:div w:id="562712982">
          <w:marLeft w:val="0"/>
          <w:marRight w:val="0"/>
          <w:marTop w:val="0"/>
          <w:marBottom w:val="0"/>
          <w:divBdr>
            <w:top w:val="none" w:sz="0" w:space="0" w:color="auto"/>
            <w:left w:val="none" w:sz="0" w:space="0" w:color="auto"/>
            <w:bottom w:val="none" w:sz="0" w:space="0" w:color="auto"/>
            <w:right w:val="none" w:sz="0" w:space="0" w:color="auto"/>
          </w:divBdr>
          <w:divsChild>
            <w:div w:id="1927693347">
              <w:marLeft w:val="0"/>
              <w:marRight w:val="0"/>
              <w:marTop w:val="0"/>
              <w:marBottom w:val="0"/>
              <w:divBdr>
                <w:top w:val="none" w:sz="0" w:space="0" w:color="auto"/>
                <w:left w:val="none" w:sz="0" w:space="0" w:color="auto"/>
                <w:bottom w:val="none" w:sz="0" w:space="0" w:color="auto"/>
                <w:right w:val="none" w:sz="0" w:space="0" w:color="auto"/>
              </w:divBdr>
              <w:divsChild>
                <w:div w:id="1138762327">
                  <w:marLeft w:val="0"/>
                  <w:marRight w:val="0"/>
                  <w:marTop w:val="0"/>
                  <w:marBottom w:val="0"/>
                  <w:divBdr>
                    <w:top w:val="none" w:sz="0" w:space="0" w:color="auto"/>
                    <w:left w:val="none" w:sz="0" w:space="0" w:color="auto"/>
                    <w:bottom w:val="none" w:sz="0" w:space="0" w:color="auto"/>
                    <w:right w:val="none" w:sz="0" w:space="0" w:color="auto"/>
                  </w:divBdr>
                  <w:divsChild>
                    <w:div w:id="35012687">
                      <w:marLeft w:val="0"/>
                      <w:marRight w:val="0"/>
                      <w:marTop w:val="0"/>
                      <w:marBottom w:val="0"/>
                      <w:divBdr>
                        <w:top w:val="none" w:sz="0" w:space="0" w:color="auto"/>
                        <w:left w:val="none" w:sz="0" w:space="0" w:color="auto"/>
                        <w:bottom w:val="none" w:sz="0" w:space="0" w:color="auto"/>
                        <w:right w:val="none" w:sz="0" w:space="0" w:color="auto"/>
                      </w:divBdr>
                      <w:divsChild>
                        <w:div w:id="490410442">
                          <w:marLeft w:val="0"/>
                          <w:marRight w:val="0"/>
                          <w:marTop w:val="0"/>
                          <w:marBottom w:val="0"/>
                          <w:divBdr>
                            <w:top w:val="none" w:sz="0" w:space="0" w:color="auto"/>
                            <w:left w:val="none" w:sz="0" w:space="0" w:color="auto"/>
                            <w:bottom w:val="none" w:sz="0" w:space="0" w:color="auto"/>
                            <w:right w:val="none" w:sz="0" w:space="0" w:color="auto"/>
                          </w:divBdr>
                          <w:divsChild>
                            <w:div w:id="1475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101228">
      <w:bodyDiv w:val="1"/>
      <w:marLeft w:val="0"/>
      <w:marRight w:val="0"/>
      <w:marTop w:val="0"/>
      <w:marBottom w:val="0"/>
      <w:divBdr>
        <w:top w:val="none" w:sz="0" w:space="0" w:color="auto"/>
        <w:left w:val="none" w:sz="0" w:space="0" w:color="auto"/>
        <w:bottom w:val="none" w:sz="0" w:space="0" w:color="auto"/>
        <w:right w:val="none" w:sz="0" w:space="0" w:color="auto"/>
      </w:divBdr>
      <w:divsChild>
        <w:div w:id="326715601">
          <w:marLeft w:val="0"/>
          <w:marRight w:val="0"/>
          <w:marTop w:val="0"/>
          <w:marBottom w:val="0"/>
          <w:divBdr>
            <w:top w:val="none" w:sz="0" w:space="0" w:color="auto"/>
            <w:left w:val="none" w:sz="0" w:space="0" w:color="auto"/>
            <w:bottom w:val="none" w:sz="0" w:space="0" w:color="auto"/>
            <w:right w:val="none" w:sz="0" w:space="0" w:color="auto"/>
          </w:divBdr>
          <w:divsChild>
            <w:div w:id="4865125">
              <w:marLeft w:val="0"/>
              <w:marRight w:val="0"/>
              <w:marTop w:val="0"/>
              <w:marBottom w:val="0"/>
              <w:divBdr>
                <w:top w:val="none" w:sz="0" w:space="0" w:color="auto"/>
                <w:left w:val="none" w:sz="0" w:space="0" w:color="auto"/>
                <w:bottom w:val="none" w:sz="0" w:space="0" w:color="auto"/>
                <w:right w:val="none" w:sz="0" w:space="0" w:color="auto"/>
              </w:divBdr>
              <w:divsChild>
                <w:div w:id="1370032322">
                  <w:marLeft w:val="0"/>
                  <w:marRight w:val="0"/>
                  <w:marTop w:val="0"/>
                  <w:marBottom w:val="0"/>
                  <w:divBdr>
                    <w:top w:val="none" w:sz="0" w:space="0" w:color="auto"/>
                    <w:left w:val="none" w:sz="0" w:space="0" w:color="auto"/>
                    <w:bottom w:val="none" w:sz="0" w:space="0" w:color="auto"/>
                    <w:right w:val="none" w:sz="0" w:space="0" w:color="auto"/>
                  </w:divBdr>
                  <w:divsChild>
                    <w:div w:id="1503156225">
                      <w:marLeft w:val="0"/>
                      <w:marRight w:val="0"/>
                      <w:marTop w:val="0"/>
                      <w:marBottom w:val="0"/>
                      <w:divBdr>
                        <w:top w:val="none" w:sz="0" w:space="0" w:color="auto"/>
                        <w:left w:val="none" w:sz="0" w:space="0" w:color="auto"/>
                        <w:bottom w:val="none" w:sz="0" w:space="0" w:color="auto"/>
                        <w:right w:val="none" w:sz="0" w:space="0" w:color="auto"/>
                      </w:divBdr>
                      <w:divsChild>
                        <w:div w:id="1572155324">
                          <w:marLeft w:val="0"/>
                          <w:marRight w:val="0"/>
                          <w:marTop w:val="0"/>
                          <w:marBottom w:val="0"/>
                          <w:divBdr>
                            <w:top w:val="none" w:sz="0" w:space="0" w:color="auto"/>
                            <w:left w:val="none" w:sz="0" w:space="0" w:color="auto"/>
                            <w:bottom w:val="none" w:sz="0" w:space="0" w:color="auto"/>
                            <w:right w:val="none" w:sz="0" w:space="0" w:color="auto"/>
                          </w:divBdr>
                          <w:divsChild>
                            <w:div w:id="1054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572520">
      <w:bodyDiv w:val="1"/>
      <w:marLeft w:val="0"/>
      <w:marRight w:val="0"/>
      <w:marTop w:val="0"/>
      <w:marBottom w:val="0"/>
      <w:divBdr>
        <w:top w:val="none" w:sz="0" w:space="0" w:color="auto"/>
        <w:left w:val="none" w:sz="0" w:space="0" w:color="auto"/>
        <w:bottom w:val="none" w:sz="0" w:space="0" w:color="auto"/>
        <w:right w:val="none" w:sz="0" w:space="0" w:color="auto"/>
      </w:divBdr>
    </w:div>
    <w:div w:id="617293683">
      <w:bodyDiv w:val="1"/>
      <w:marLeft w:val="0"/>
      <w:marRight w:val="0"/>
      <w:marTop w:val="0"/>
      <w:marBottom w:val="0"/>
      <w:divBdr>
        <w:top w:val="none" w:sz="0" w:space="0" w:color="auto"/>
        <w:left w:val="none" w:sz="0" w:space="0" w:color="auto"/>
        <w:bottom w:val="none" w:sz="0" w:space="0" w:color="auto"/>
        <w:right w:val="none" w:sz="0" w:space="0" w:color="auto"/>
      </w:divBdr>
    </w:div>
    <w:div w:id="634027827">
      <w:bodyDiv w:val="1"/>
      <w:marLeft w:val="0"/>
      <w:marRight w:val="0"/>
      <w:marTop w:val="0"/>
      <w:marBottom w:val="0"/>
      <w:divBdr>
        <w:top w:val="none" w:sz="0" w:space="0" w:color="auto"/>
        <w:left w:val="none" w:sz="0" w:space="0" w:color="auto"/>
        <w:bottom w:val="none" w:sz="0" w:space="0" w:color="auto"/>
        <w:right w:val="none" w:sz="0" w:space="0" w:color="auto"/>
      </w:divBdr>
      <w:divsChild>
        <w:div w:id="1556576827">
          <w:marLeft w:val="0"/>
          <w:marRight w:val="0"/>
          <w:marTop w:val="0"/>
          <w:marBottom w:val="0"/>
          <w:divBdr>
            <w:top w:val="none" w:sz="0" w:space="0" w:color="auto"/>
            <w:left w:val="none" w:sz="0" w:space="0" w:color="auto"/>
            <w:bottom w:val="none" w:sz="0" w:space="0" w:color="auto"/>
            <w:right w:val="none" w:sz="0" w:space="0" w:color="auto"/>
          </w:divBdr>
        </w:div>
        <w:div w:id="1679110875">
          <w:marLeft w:val="0"/>
          <w:marRight w:val="0"/>
          <w:marTop w:val="0"/>
          <w:marBottom w:val="0"/>
          <w:divBdr>
            <w:top w:val="none" w:sz="0" w:space="0" w:color="auto"/>
            <w:left w:val="none" w:sz="0" w:space="0" w:color="auto"/>
            <w:bottom w:val="none" w:sz="0" w:space="0" w:color="auto"/>
            <w:right w:val="none" w:sz="0" w:space="0" w:color="auto"/>
          </w:divBdr>
        </w:div>
        <w:div w:id="414132146">
          <w:marLeft w:val="0"/>
          <w:marRight w:val="0"/>
          <w:marTop w:val="0"/>
          <w:marBottom w:val="0"/>
          <w:divBdr>
            <w:top w:val="none" w:sz="0" w:space="0" w:color="auto"/>
            <w:left w:val="none" w:sz="0" w:space="0" w:color="auto"/>
            <w:bottom w:val="none" w:sz="0" w:space="0" w:color="auto"/>
            <w:right w:val="none" w:sz="0" w:space="0" w:color="auto"/>
          </w:divBdr>
        </w:div>
        <w:div w:id="1935092832">
          <w:marLeft w:val="0"/>
          <w:marRight w:val="0"/>
          <w:marTop w:val="0"/>
          <w:marBottom w:val="0"/>
          <w:divBdr>
            <w:top w:val="none" w:sz="0" w:space="0" w:color="auto"/>
            <w:left w:val="none" w:sz="0" w:space="0" w:color="auto"/>
            <w:bottom w:val="none" w:sz="0" w:space="0" w:color="auto"/>
            <w:right w:val="none" w:sz="0" w:space="0" w:color="auto"/>
          </w:divBdr>
        </w:div>
        <w:div w:id="1670253728">
          <w:marLeft w:val="0"/>
          <w:marRight w:val="0"/>
          <w:marTop w:val="0"/>
          <w:marBottom w:val="0"/>
          <w:divBdr>
            <w:top w:val="none" w:sz="0" w:space="0" w:color="auto"/>
            <w:left w:val="none" w:sz="0" w:space="0" w:color="auto"/>
            <w:bottom w:val="none" w:sz="0" w:space="0" w:color="auto"/>
            <w:right w:val="none" w:sz="0" w:space="0" w:color="auto"/>
          </w:divBdr>
        </w:div>
        <w:div w:id="1637487408">
          <w:marLeft w:val="0"/>
          <w:marRight w:val="0"/>
          <w:marTop w:val="0"/>
          <w:marBottom w:val="0"/>
          <w:divBdr>
            <w:top w:val="none" w:sz="0" w:space="0" w:color="auto"/>
            <w:left w:val="none" w:sz="0" w:space="0" w:color="auto"/>
            <w:bottom w:val="none" w:sz="0" w:space="0" w:color="auto"/>
            <w:right w:val="none" w:sz="0" w:space="0" w:color="auto"/>
          </w:divBdr>
        </w:div>
      </w:divsChild>
    </w:div>
    <w:div w:id="726759575">
      <w:bodyDiv w:val="1"/>
      <w:marLeft w:val="0"/>
      <w:marRight w:val="0"/>
      <w:marTop w:val="0"/>
      <w:marBottom w:val="0"/>
      <w:divBdr>
        <w:top w:val="none" w:sz="0" w:space="0" w:color="auto"/>
        <w:left w:val="none" w:sz="0" w:space="0" w:color="auto"/>
        <w:bottom w:val="none" w:sz="0" w:space="0" w:color="auto"/>
        <w:right w:val="none" w:sz="0" w:space="0" w:color="auto"/>
      </w:divBdr>
    </w:div>
    <w:div w:id="747120753">
      <w:bodyDiv w:val="1"/>
      <w:marLeft w:val="0"/>
      <w:marRight w:val="0"/>
      <w:marTop w:val="0"/>
      <w:marBottom w:val="0"/>
      <w:divBdr>
        <w:top w:val="none" w:sz="0" w:space="0" w:color="auto"/>
        <w:left w:val="none" w:sz="0" w:space="0" w:color="auto"/>
        <w:bottom w:val="none" w:sz="0" w:space="0" w:color="auto"/>
        <w:right w:val="none" w:sz="0" w:space="0" w:color="auto"/>
      </w:divBdr>
      <w:divsChild>
        <w:div w:id="1366832715">
          <w:marLeft w:val="0"/>
          <w:marRight w:val="0"/>
          <w:marTop w:val="0"/>
          <w:marBottom w:val="0"/>
          <w:divBdr>
            <w:top w:val="none" w:sz="0" w:space="0" w:color="auto"/>
            <w:left w:val="none" w:sz="0" w:space="0" w:color="auto"/>
            <w:bottom w:val="none" w:sz="0" w:space="0" w:color="auto"/>
            <w:right w:val="none" w:sz="0" w:space="0" w:color="auto"/>
          </w:divBdr>
        </w:div>
        <w:div w:id="1726641536">
          <w:marLeft w:val="0"/>
          <w:marRight w:val="0"/>
          <w:marTop w:val="0"/>
          <w:marBottom w:val="0"/>
          <w:divBdr>
            <w:top w:val="none" w:sz="0" w:space="0" w:color="auto"/>
            <w:left w:val="none" w:sz="0" w:space="0" w:color="auto"/>
            <w:bottom w:val="none" w:sz="0" w:space="0" w:color="auto"/>
            <w:right w:val="none" w:sz="0" w:space="0" w:color="auto"/>
          </w:divBdr>
        </w:div>
        <w:div w:id="1272012593">
          <w:marLeft w:val="0"/>
          <w:marRight w:val="0"/>
          <w:marTop w:val="0"/>
          <w:marBottom w:val="0"/>
          <w:divBdr>
            <w:top w:val="none" w:sz="0" w:space="0" w:color="auto"/>
            <w:left w:val="none" w:sz="0" w:space="0" w:color="auto"/>
            <w:bottom w:val="none" w:sz="0" w:space="0" w:color="auto"/>
            <w:right w:val="none" w:sz="0" w:space="0" w:color="auto"/>
          </w:divBdr>
        </w:div>
        <w:div w:id="1952199883">
          <w:marLeft w:val="0"/>
          <w:marRight w:val="0"/>
          <w:marTop w:val="0"/>
          <w:marBottom w:val="0"/>
          <w:divBdr>
            <w:top w:val="none" w:sz="0" w:space="0" w:color="auto"/>
            <w:left w:val="none" w:sz="0" w:space="0" w:color="auto"/>
            <w:bottom w:val="none" w:sz="0" w:space="0" w:color="auto"/>
            <w:right w:val="none" w:sz="0" w:space="0" w:color="auto"/>
          </w:divBdr>
        </w:div>
        <w:div w:id="1517648436">
          <w:marLeft w:val="0"/>
          <w:marRight w:val="0"/>
          <w:marTop w:val="0"/>
          <w:marBottom w:val="0"/>
          <w:divBdr>
            <w:top w:val="none" w:sz="0" w:space="0" w:color="auto"/>
            <w:left w:val="none" w:sz="0" w:space="0" w:color="auto"/>
            <w:bottom w:val="none" w:sz="0" w:space="0" w:color="auto"/>
            <w:right w:val="none" w:sz="0" w:space="0" w:color="auto"/>
          </w:divBdr>
        </w:div>
        <w:div w:id="972252386">
          <w:marLeft w:val="0"/>
          <w:marRight w:val="0"/>
          <w:marTop w:val="0"/>
          <w:marBottom w:val="0"/>
          <w:divBdr>
            <w:top w:val="none" w:sz="0" w:space="0" w:color="auto"/>
            <w:left w:val="none" w:sz="0" w:space="0" w:color="auto"/>
            <w:bottom w:val="none" w:sz="0" w:space="0" w:color="auto"/>
            <w:right w:val="none" w:sz="0" w:space="0" w:color="auto"/>
          </w:divBdr>
        </w:div>
        <w:div w:id="1639916854">
          <w:marLeft w:val="0"/>
          <w:marRight w:val="0"/>
          <w:marTop w:val="0"/>
          <w:marBottom w:val="0"/>
          <w:divBdr>
            <w:top w:val="none" w:sz="0" w:space="0" w:color="auto"/>
            <w:left w:val="none" w:sz="0" w:space="0" w:color="auto"/>
            <w:bottom w:val="none" w:sz="0" w:space="0" w:color="auto"/>
            <w:right w:val="none" w:sz="0" w:space="0" w:color="auto"/>
          </w:divBdr>
        </w:div>
      </w:divsChild>
    </w:div>
    <w:div w:id="767121578">
      <w:bodyDiv w:val="1"/>
      <w:marLeft w:val="0"/>
      <w:marRight w:val="0"/>
      <w:marTop w:val="0"/>
      <w:marBottom w:val="0"/>
      <w:divBdr>
        <w:top w:val="none" w:sz="0" w:space="0" w:color="auto"/>
        <w:left w:val="none" w:sz="0" w:space="0" w:color="auto"/>
        <w:bottom w:val="none" w:sz="0" w:space="0" w:color="auto"/>
        <w:right w:val="none" w:sz="0" w:space="0" w:color="auto"/>
      </w:divBdr>
      <w:divsChild>
        <w:div w:id="1284776137">
          <w:marLeft w:val="0"/>
          <w:marRight w:val="0"/>
          <w:marTop w:val="0"/>
          <w:marBottom w:val="0"/>
          <w:divBdr>
            <w:top w:val="none" w:sz="0" w:space="0" w:color="auto"/>
            <w:left w:val="none" w:sz="0" w:space="0" w:color="auto"/>
            <w:bottom w:val="none" w:sz="0" w:space="0" w:color="auto"/>
            <w:right w:val="none" w:sz="0" w:space="0" w:color="auto"/>
          </w:divBdr>
        </w:div>
        <w:div w:id="1619410542">
          <w:marLeft w:val="0"/>
          <w:marRight w:val="0"/>
          <w:marTop w:val="0"/>
          <w:marBottom w:val="0"/>
          <w:divBdr>
            <w:top w:val="none" w:sz="0" w:space="0" w:color="auto"/>
            <w:left w:val="none" w:sz="0" w:space="0" w:color="auto"/>
            <w:bottom w:val="none" w:sz="0" w:space="0" w:color="auto"/>
            <w:right w:val="none" w:sz="0" w:space="0" w:color="auto"/>
          </w:divBdr>
        </w:div>
        <w:div w:id="272791252">
          <w:marLeft w:val="0"/>
          <w:marRight w:val="0"/>
          <w:marTop w:val="0"/>
          <w:marBottom w:val="0"/>
          <w:divBdr>
            <w:top w:val="none" w:sz="0" w:space="0" w:color="auto"/>
            <w:left w:val="none" w:sz="0" w:space="0" w:color="auto"/>
            <w:bottom w:val="none" w:sz="0" w:space="0" w:color="auto"/>
            <w:right w:val="none" w:sz="0" w:space="0" w:color="auto"/>
          </w:divBdr>
        </w:div>
        <w:div w:id="1328829547">
          <w:marLeft w:val="0"/>
          <w:marRight w:val="0"/>
          <w:marTop w:val="0"/>
          <w:marBottom w:val="0"/>
          <w:divBdr>
            <w:top w:val="none" w:sz="0" w:space="0" w:color="auto"/>
            <w:left w:val="none" w:sz="0" w:space="0" w:color="auto"/>
            <w:bottom w:val="none" w:sz="0" w:space="0" w:color="auto"/>
            <w:right w:val="none" w:sz="0" w:space="0" w:color="auto"/>
          </w:divBdr>
        </w:div>
        <w:div w:id="667026258">
          <w:marLeft w:val="0"/>
          <w:marRight w:val="0"/>
          <w:marTop w:val="0"/>
          <w:marBottom w:val="0"/>
          <w:divBdr>
            <w:top w:val="none" w:sz="0" w:space="0" w:color="auto"/>
            <w:left w:val="none" w:sz="0" w:space="0" w:color="auto"/>
            <w:bottom w:val="none" w:sz="0" w:space="0" w:color="auto"/>
            <w:right w:val="none" w:sz="0" w:space="0" w:color="auto"/>
          </w:divBdr>
        </w:div>
        <w:div w:id="1630041262">
          <w:marLeft w:val="0"/>
          <w:marRight w:val="0"/>
          <w:marTop w:val="0"/>
          <w:marBottom w:val="0"/>
          <w:divBdr>
            <w:top w:val="none" w:sz="0" w:space="0" w:color="auto"/>
            <w:left w:val="none" w:sz="0" w:space="0" w:color="auto"/>
            <w:bottom w:val="none" w:sz="0" w:space="0" w:color="auto"/>
            <w:right w:val="none" w:sz="0" w:space="0" w:color="auto"/>
          </w:divBdr>
        </w:div>
        <w:div w:id="1642495446">
          <w:marLeft w:val="0"/>
          <w:marRight w:val="0"/>
          <w:marTop w:val="0"/>
          <w:marBottom w:val="0"/>
          <w:divBdr>
            <w:top w:val="none" w:sz="0" w:space="0" w:color="auto"/>
            <w:left w:val="none" w:sz="0" w:space="0" w:color="auto"/>
            <w:bottom w:val="none" w:sz="0" w:space="0" w:color="auto"/>
            <w:right w:val="none" w:sz="0" w:space="0" w:color="auto"/>
          </w:divBdr>
        </w:div>
      </w:divsChild>
    </w:div>
    <w:div w:id="863594127">
      <w:bodyDiv w:val="1"/>
      <w:marLeft w:val="0"/>
      <w:marRight w:val="0"/>
      <w:marTop w:val="0"/>
      <w:marBottom w:val="0"/>
      <w:divBdr>
        <w:top w:val="none" w:sz="0" w:space="0" w:color="auto"/>
        <w:left w:val="none" w:sz="0" w:space="0" w:color="auto"/>
        <w:bottom w:val="none" w:sz="0" w:space="0" w:color="auto"/>
        <w:right w:val="none" w:sz="0" w:space="0" w:color="auto"/>
      </w:divBdr>
    </w:div>
    <w:div w:id="1050685766">
      <w:bodyDiv w:val="1"/>
      <w:marLeft w:val="0"/>
      <w:marRight w:val="0"/>
      <w:marTop w:val="0"/>
      <w:marBottom w:val="0"/>
      <w:divBdr>
        <w:top w:val="none" w:sz="0" w:space="0" w:color="auto"/>
        <w:left w:val="none" w:sz="0" w:space="0" w:color="auto"/>
        <w:bottom w:val="none" w:sz="0" w:space="0" w:color="auto"/>
        <w:right w:val="none" w:sz="0" w:space="0" w:color="auto"/>
      </w:divBdr>
    </w:div>
    <w:div w:id="1303536536">
      <w:bodyDiv w:val="1"/>
      <w:marLeft w:val="0"/>
      <w:marRight w:val="0"/>
      <w:marTop w:val="0"/>
      <w:marBottom w:val="0"/>
      <w:divBdr>
        <w:top w:val="none" w:sz="0" w:space="0" w:color="auto"/>
        <w:left w:val="none" w:sz="0" w:space="0" w:color="auto"/>
        <w:bottom w:val="none" w:sz="0" w:space="0" w:color="auto"/>
        <w:right w:val="none" w:sz="0" w:space="0" w:color="auto"/>
      </w:divBdr>
    </w:div>
    <w:div w:id="1429232290">
      <w:bodyDiv w:val="1"/>
      <w:marLeft w:val="0"/>
      <w:marRight w:val="0"/>
      <w:marTop w:val="0"/>
      <w:marBottom w:val="0"/>
      <w:divBdr>
        <w:top w:val="none" w:sz="0" w:space="0" w:color="auto"/>
        <w:left w:val="none" w:sz="0" w:space="0" w:color="auto"/>
        <w:bottom w:val="none" w:sz="0" w:space="0" w:color="auto"/>
        <w:right w:val="none" w:sz="0" w:space="0" w:color="auto"/>
      </w:divBdr>
    </w:div>
    <w:div w:id="1550142570">
      <w:bodyDiv w:val="1"/>
      <w:marLeft w:val="0"/>
      <w:marRight w:val="0"/>
      <w:marTop w:val="0"/>
      <w:marBottom w:val="0"/>
      <w:divBdr>
        <w:top w:val="none" w:sz="0" w:space="0" w:color="auto"/>
        <w:left w:val="none" w:sz="0" w:space="0" w:color="auto"/>
        <w:bottom w:val="none" w:sz="0" w:space="0" w:color="auto"/>
        <w:right w:val="none" w:sz="0" w:space="0" w:color="auto"/>
      </w:divBdr>
    </w:div>
    <w:div w:id="1678575393">
      <w:bodyDiv w:val="1"/>
      <w:marLeft w:val="0"/>
      <w:marRight w:val="0"/>
      <w:marTop w:val="0"/>
      <w:marBottom w:val="0"/>
      <w:divBdr>
        <w:top w:val="none" w:sz="0" w:space="0" w:color="auto"/>
        <w:left w:val="none" w:sz="0" w:space="0" w:color="auto"/>
        <w:bottom w:val="none" w:sz="0" w:space="0" w:color="auto"/>
        <w:right w:val="none" w:sz="0" w:space="0" w:color="auto"/>
      </w:divBdr>
    </w:div>
    <w:div w:id="1740515406">
      <w:bodyDiv w:val="1"/>
      <w:marLeft w:val="0"/>
      <w:marRight w:val="0"/>
      <w:marTop w:val="0"/>
      <w:marBottom w:val="0"/>
      <w:divBdr>
        <w:top w:val="none" w:sz="0" w:space="0" w:color="auto"/>
        <w:left w:val="none" w:sz="0" w:space="0" w:color="auto"/>
        <w:bottom w:val="none" w:sz="0" w:space="0" w:color="auto"/>
        <w:right w:val="none" w:sz="0" w:space="0" w:color="auto"/>
      </w:divBdr>
    </w:div>
    <w:div w:id="1912810968">
      <w:bodyDiv w:val="1"/>
      <w:marLeft w:val="0"/>
      <w:marRight w:val="0"/>
      <w:marTop w:val="0"/>
      <w:marBottom w:val="0"/>
      <w:divBdr>
        <w:top w:val="none" w:sz="0" w:space="0" w:color="auto"/>
        <w:left w:val="none" w:sz="0" w:space="0" w:color="auto"/>
        <w:bottom w:val="none" w:sz="0" w:space="0" w:color="auto"/>
        <w:right w:val="none" w:sz="0" w:space="0" w:color="auto"/>
      </w:divBdr>
      <w:divsChild>
        <w:div w:id="737165019">
          <w:marLeft w:val="0"/>
          <w:marRight w:val="0"/>
          <w:marTop w:val="0"/>
          <w:marBottom w:val="0"/>
          <w:divBdr>
            <w:top w:val="none" w:sz="0" w:space="0" w:color="auto"/>
            <w:left w:val="none" w:sz="0" w:space="0" w:color="auto"/>
            <w:bottom w:val="none" w:sz="0" w:space="0" w:color="auto"/>
            <w:right w:val="none" w:sz="0" w:space="0" w:color="auto"/>
          </w:divBdr>
        </w:div>
        <w:div w:id="1691760381">
          <w:marLeft w:val="0"/>
          <w:marRight w:val="0"/>
          <w:marTop w:val="0"/>
          <w:marBottom w:val="0"/>
          <w:divBdr>
            <w:top w:val="none" w:sz="0" w:space="0" w:color="auto"/>
            <w:left w:val="none" w:sz="0" w:space="0" w:color="auto"/>
            <w:bottom w:val="none" w:sz="0" w:space="0" w:color="auto"/>
            <w:right w:val="none" w:sz="0" w:space="0" w:color="auto"/>
          </w:divBdr>
        </w:div>
        <w:div w:id="367144201">
          <w:marLeft w:val="0"/>
          <w:marRight w:val="0"/>
          <w:marTop w:val="0"/>
          <w:marBottom w:val="0"/>
          <w:divBdr>
            <w:top w:val="none" w:sz="0" w:space="0" w:color="auto"/>
            <w:left w:val="none" w:sz="0" w:space="0" w:color="auto"/>
            <w:bottom w:val="none" w:sz="0" w:space="0" w:color="auto"/>
            <w:right w:val="none" w:sz="0" w:space="0" w:color="auto"/>
          </w:divBdr>
        </w:div>
        <w:div w:id="1149592971">
          <w:marLeft w:val="0"/>
          <w:marRight w:val="0"/>
          <w:marTop w:val="0"/>
          <w:marBottom w:val="0"/>
          <w:divBdr>
            <w:top w:val="none" w:sz="0" w:space="0" w:color="auto"/>
            <w:left w:val="none" w:sz="0" w:space="0" w:color="auto"/>
            <w:bottom w:val="none" w:sz="0" w:space="0" w:color="auto"/>
            <w:right w:val="none" w:sz="0" w:space="0" w:color="auto"/>
          </w:divBdr>
        </w:div>
        <w:div w:id="930700595">
          <w:marLeft w:val="0"/>
          <w:marRight w:val="0"/>
          <w:marTop w:val="0"/>
          <w:marBottom w:val="0"/>
          <w:divBdr>
            <w:top w:val="none" w:sz="0" w:space="0" w:color="auto"/>
            <w:left w:val="none" w:sz="0" w:space="0" w:color="auto"/>
            <w:bottom w:val="none" w:sz="0" w:space="0" w:color="auto"/>
            <w:right w:val="none" w:sz="0" w:space="0" w:color="auto"/>
          </w:divBdr>
        </w:div>
        <w:div w:id="110515907">
          <w:marLeft w:val="0"/>
          <w:marRight w:val="0"/>
          <w:marTop w:val="0"/>
          <w:marBottom w:val="0"/>
          <w:divBdr>
            <w:top w:val="none" w:sz="0" w:space="0" w:color="auto"/>
            <w:left w:val="none" w:sz="0" w:space="0" w:color="auto"/>
            <w:bottom w:val="none" w:sz="0" w:space="0" w:color="auto"/>
            <w:right w:val="none" w:sz="0" w:space="0" w:color="auto"/>
          </w:divBdr>
        </w:div>
        <w:div w:id="706099077">
          <w:marLeft w:val="0"/>
          <w:marRight w:val="0"/>
          <w:marTop w:val="0"/>
          <w:marBottom w:val="0"/>
          <w:divBdr>
            <w:top w:val="none" w:sz="0" w:space="0" w:color="auto"/>
            <w:left w:val="none" w:sz="0" w:space="0" w:color="auto"/>
            <w:bottom w:val="none" w:sz="0" w:space="0" w:color="auto"/>
            <w:right w:val="none" w:sz="0" w:space="0" w:color="auto"/>
          </w:divBdr>
        </w:div>
      </w:divsChild>
    </w:div>
    <w:div w:id="1935434501">
      <w:bodyDiv w:val="1"/>
      <w:marLeft w:val="0"/>
      <w:marRight w:val="0"/>
      <w:marTop w:val="0"/>
      <w:marBottom w:val="0"/>
      <w:divBdr>
        <w:top w:val="none" w:sz="0" w:space="0" w:color="auto"/>
        <w:left w:val="none" w:sz="0" w:space="0" w:color="auto"/>
        <w:bottom w:val="none" w:sz="0" w:space="0" w:color="auto"/>
        <w:right w:val="none" w:sz="0" w:space="0" w:color="auto"/>
      </w:divBdr>
    </w:div>
    <w:div w:id="1982146953">
      <w:bodyDiv w:val="1"/>
      <w:marLeft w:val="0"/>
      <w:marRight w:val="0"/>
      <w:marTop w:val="0"/>
      <w:marBottom w:val="0"/>
      <w:divBdr>
        <w:top w:val="none" w:sz="0" w:space="0" w:color="auto"/>
        <w:left w:val="none" w:sz="0" w:space="0" w:color="auto"/>
        <w:bottom w:val="none" w:sz="0" w:space="0" w:color="auto"/>
        <w:right w:val="none" w:sz="0" w:space="0" w:color="auto"/>
      </w:divBdr>
      <w:divsChild>
        <w:div w:id="1105157233">
          <w:marLeft w:val="0"/>
          <w:marRight w:val="0"/>
          <w:marTop w:val="0"/>
          <w:marBottom w:val="0"/>
          <w:divBdr>
            <w:top w:val="none" w:sz="0" w:space="0" w:color="auto"/>
            <w:left w:val="none" w:sz="0" w:space="0" w:color="auto"/>
            <w:bottom w:val="none" w:sz="0" w:space="0" w:color="auto"/>
            <w:right w:val="none" w:sz="0" w:space="0" w:color="auto"/>
          </w:divBdr>
          <w:divsChild>
            <w:div w:id="1071544223">
              <w:marLeft w:val="0"/>
              <w:marRight w:val="0"/>
              <w:marTop w:val="0"/>
              <w:marBottom w:val="0"/>
              <w:divBdr>
                <w:top w:val="none" w:sz="0" w:space="0" w:color="auto"/>
                <w:left w:val="none" w:sz="0" w:space="0" w:color="auto"/>
                <w:bottom w:val="none" w:sz="0" w:space="0" w:color="auto"/>
                <w:right w:val="none" w:sz="0" w:space="0" w:color="auto"/>
              </w:divBdr>
              <w:divsChild>
                <w:div w:id="1760517311">
                  <w:marLeft w:val="0"/>
                  <w:marRight w:val="0"/>
                  <w:marTop w:val="0"/>
                  <w:marBottom w:val="0"/>
                  <w:divBdr>
                    <w:top w:val="none" w:sz="0" w:space="0" w:color="auto"/>
                    <w:left w:val="none" w:sz="0" w:space="0" w:color="auto"/>
                    <w:bottom w:val="none" w:sz="0" w:space="0" w:color="auto"/>
                    <w:right w:val="none" w:sz="0" w:space="0" w:color="auto"/>
                  </w:divBdr>
                  <w:divsChild>
                    <w:div w:id="66808695">
                      <w:marLeft w:val="0"/>
                      <w:marRight w:val="0"/>
                      <w:marTop w:val="0"/>
                      <w:marBottom w:val="0"/>
                      <w:divBdr>
                        <w:top w:val="none" w:sz="0" w:space="0" w:color="auto"/>
                        <w:left w:val="none" w:sz="0" w:space="0" w:color="auto"/>
                        <w:bottom w:val="none" w:sz="0" w:space="0" w:color="auto"/>
                        <w:right w:val="none" w:sz="0" w:space="0" w:color="auto"/>
                      </w:divBdr>
                      <w:divsChild>
                        <w:div w:id="1665281698">
                          <w:marLeft w:val="0"/>
                          <w:marRight w:val="0"/>
                          <w:marTop w:val="0"/>
                          <w:marBottom w:val="0"/>
                          <w:divBdr>
                            <w:top w:val="none" w:sz="0" w:space="0" w:color="auto"/>
                            <w:left w:val="none" w:sz="0" w:space="0" w:color="auto"/>
                            <w:bottom w:val="none" w:sz="0" w:space="0" w:color="auto"/>
                            <w:right w:val="none" w:sz="0" w:space="0" w:color="auto"/>
                          </w:divBdr>
                          <w:divsChild>
                            <w:div w:id="5672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850">
      <w:bodyDiv w:val="1"/>
      <w:marLeft w:val="0"/>
      <w:marRight w:val="0"/>
      <w:marTop w:val="0"/>
      <w:marBottom w:val="0"/>
      <w:divBdr>
        <w:top w:val="none" w:sz="0" w:space="0" w:color="auto"/>
        <w:left w:val="none" w:sz="0" w:space="0" w:color="auto"/>
        <w:bottom w:val="none" w:sz="0" w:space="0" w:color="auto"/>
        <w:right w:val="none" w:sz="0" w:space="0" w:color="auto"/>
      </w:divBdr>
    </w:div>
    <w:div w:id="212718733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eepublicdownloads.entsoe.eu/clean-documents/Network%20codes%20documents/NC%20EB/140806_NCEB_Resubmission_to_ACER_v.03.PDF"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urn.kb.se/resolve?urn=urn:nbn:se:ri:diva-64365" TargetMode="External"/><Relationship Id="rId27" Type="http://schemas.openxmlformats.org/officeDocument/2006/relationships/header" Target="header3.xml"/><Relationship Id="rId30" Type="http://schemas.microsoft.com/office/2011/relationships/people" Target="people.xml"/></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lgarvio\OneDrive%20-%20LNEG%20-%20Laboratorio%20Nacional%20de%20Energia%20e%20Geologia\Documentos\RESTrade%20paper\energie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23F4F944999A94CAF1CB48EF5A155F1" ma:contentTypeVersion="16" ma:contentTypeDescription="Criar um novo documento." ma:contentTypeScope="" ma:versionID="e1d3b305e35d5c287f1a96380ad1b4e5">
  <xsd:schema xmlns:xsd="http://www.w3.org/2001/XMLSchema" xmlns:xs="http://www.w3.org/2001/XMLSchema" xmlns:p="http://schemas.microsoft.com/office/2006/metadata/properties" xmlns:ns2="3aa5de90-325b-49da-8868-5c47a4ee3191" xmlns:ns3="92514d94-c9bf-4279-becb-095c5c4b551d" targetNamespace="http://schemas.microsoft.com/office/2006/metadata/properties" ma:root="true" ma:fieldsID="b822fef3079e604b2c845a620081fa02" ns2:_="" ns3:_="">
    <xsd:import namespace="3aa5de90-325b-49da-8868-5c47a4ee3191"/>
    <xsd:import namespace="92514d94-c9bf-4279-becb-095c5c4b55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2:lcf76f155ced4ddcb4097134ff3c332f" minOccurs="0"/>
                <xsd:element ref="ns3:TaxCatchAll"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a5de90-325b-49da-8868-5c47a4ee31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lcf76f155ced4ddcb4097134ff3c332f" ma:index="20" nillable="true" ma:taxonomy="true" ma:internalName="lcf76f155ced4ddcb4097134ff3c332f" ma:taxonomyFieldName="MediaServiceImageTags" ma:displayName="Etiquetas de Imagem" ma:readOnly="false" ma:fieldId="{5cf76f15-5ced-4ddc-b409-7134ff3c332f}" ma:taxonomyMulti="true" ma:sspId="a88b512d-869e-4e3d-ba96-202c9ee13eb0"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514d94-c9bf-4279-becb-095c5c4b551d" elementFormDefault="qualified">
    <xsd:import namespace="http://schemas.microsoft.com/office/2006/documentManagement/types"/>
    <xsd:import namespace="http://schemas.microsoft.com/office/infopath/2007/PartnerControls"/>
    <xsd:element name="SharedWithUsers" ma:index="12"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Partilhado Com" ma:internalName="SharedWithDetails" ma:readOnly="true">
      <xsd:simpleType>
        <xsd:restriction base="dms:Note">
          <xsd:maxLength value="255"/>
        </xsd:restriction>
      </xsd:simpleType>
    </xsd:element>
    <xsd:element name="TaxCatchAll" ma:index="21" nillable="true" ma:displayName="Taxonomy Catch All Column" ma:hidden="true" ma:list="{889835c2-cf24-438c-8b08-436c8b59bee9}" ma:internalName="TaxCatchAll" ma:showField="CatchAllData" ma:web="92514d94-c9bf-4279-becb-095c5c4b55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2514d94-c9bf-4279-becb-095c5c4b551d" xsi:nil="true"/>
    <lcf76f155ced4ddcb4097134ff3c332f xmlns="3aa5de90-325b-49da-8868-5c47a4ee319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463702-E944-45CD-BC3B-ED12CA583940}">
  <ds:schemaRefs>
    <ds:schemaRef ds:uri="http://schemas.openxmlformats.org/officeDocument/2006/bibliography"/>
  </ds:schemaRefs>
</ds:datastoreItem>
</file>

<file path=customXml/itemProps2.xml><?xml version="1.0" encoding="utf-8"?>
<ds:datastoreItem xmlns:ds="http://schemas.openxmlformats.org/officeDocument/2006/customXml" ds:itemID="{22BEAAC5-0F10-4BC2-9B25-34AD49C393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a5de90-325b-49da-8868-5c47a4ee3191"/>
    <ds:schemaRef ds:uri="92514d94-c9bf-4279-becb-095c5c4b55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D8CB5F-DBE7-4381-8D0A-BB0FA1015AE3}">
  <ds:schemaRefs>
    <ds:schemaRef ds:uri="http://schemas.microsoft.com/sharepoint/v3/contenttype/forms"/>
  </ds:schemaRefs>
</ds:datastoreItem>
</file>

<file path=customXml/itemProps4.xml><?xml version="1.0" encoding="utf-8"?>
<ds:datastoreItem xmlns:ds="http://schemas.openxmlformats.org/officeDocument/2006/customXml" ds:itemID="{044E2020-85CE-4142-B1CF-287B82A73D40}">
  <ds:schemaRefs>
    <ds:schemaRef ds:uri="http://schemas.microsoft.com/office/2006/metadata/properties"/>
    <ds:schemaRef ds:uri="http://schemas.microsoft.com/office/infopath/2007/PartnerControls"/>
    <ds:schemaRef ds:uri="92514d94-c9bf-4279-becb-095c5c4b551d"/>
    <ds:schemaRef ds:uri="3aa5de90-325b-49da-8868-5c47a4ee3191"/>
  </ds:schemaRefs>
</ds:datastoreItem>
</file>

<file path=docProps/app.xml><?xml version="1.0" encoding="utf-8"?>
<Properties xmlns="http://schemas.openxmlformats.org/officeDocument/2006/extended-properties" xmlns:vt="http://schemas.openxmlformats.org/officeDocument/2006/docPropsVTypes">
  <Template>energies-template.dot</Template>
  <TotalTime>50</TotalTime>
  <Pages>19</Pages>
  <Words>8119</Words>
  <Characters>46279</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54290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Hugo Algarvio</dc:creator>
  <cp:keywords/>
  <dc:description/>
  <cp:lastModifiedBy>fc51519</cp:lastModifiedBy>
  <cp:revision>9</cp:revision>
  <cp:lastPrinted>2024-12-05T14:24:00Z</cp:lastPrinted>
  <dcterms:created xsi:type="dcterms:W3CDTF">2025-02-25T15:34:00Z</dcterms:created>
  <dcterms:modified xsi:type="dcterms:W3CDTF">2025-03-10T08:57:00Z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0x010100B23F4F944999A94CAF1CB48EF5A155F1</vt:lpwstr>
  </property>
  <property fmtid="{D5CDD505-2E9C-101B-9397-08002B2CF9AE}" pid="3" name="MediaServiceImageTags">
    <vt:lpwstr/>
  </property>
</Properties>
</file>