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E055A" w14:textId="0A019B41" w:rsidR="009B4468" w:rsidRDefault="00CF08AE" w:rsidP="00E77744">
      <w:pPr>
        <w:jc w:val="center"/>
        <w:rPr>
          <w:b/>
          <w:sz w:val="28"/>
        </w:rPr>
      </w:pPr>
      <w:r>
        <w:rPr>
          <w:b/>
          <w:sz w:val="28"/>
        </w:rPr>
        <w:t>D</w:t>
      </w:r>
      <w:r w:rsidR="00E77744" w:rsidRPr="004E31DC">
        <w:rPr>
          <w:b/>
          <w:sz w:val="28"/>
        </w:rPr>
        <w:t>esigualdad</w:t>
      </w:r>
      <w:r w:rsidR="00183B17" w:rsidRPr="004E31DC">
        <w:rPr>
          <w:b/>
          <w:sz w:val="28"/>
        </w:rPr>
        <w:t xml:space="preserve"> en los ingresos</w:t>
      </w:r>
    </w:p>
    <w:p w14:paraId="07ED6366" w14:textId="7FFD95B7" w:rsidR="00CF08AE" w:rsidRPr="00CF08AE" w:rsidRDefault="00CF08AE" w:rsidP="00CF08AE">
      <w:pPr>
        <w:spacing w:line="360" w:lineRule="auto"/>
        <w:jc w:val="both"/>
        <w:rPr>
          <w:rFonts w:ascii="Arial Narrow" w:hAnsi="Arial Narrow"/>
          <w:lang w:val="es-GT"/>
        </w:rPr>
      </w:pPr>
    </w:p>
    <w:p w14:paraId="390AF16F" w14:textId="1EAB4BD9" w:rsidR="00CF08AE" w:rsidRPr="00CF08AE" w:rsidRDefault="00CF08AE" w:rsidP="00CF08AE">
      <w:pPr>
        <w:spacing w:line="360" w:lineRule="auto"/>
        <w:jc w:val="both"/>
        <w:rPr>
          <w:lang w:val="es-GT"/>
        </w:rPr>
      </w:pPr>
      <w:r w:rsidRPr="00CF08AE">
        <w:rPr>
          <w:lang w:val="es-GT"/>
        </w:rPr>
        <w:t xml:space="preserve">Para la medición de la desigualdad se ulitizó el ingreso per cápita del hogar, con la información disponible en los capítulos X y XI de la Encovi, que capta los ingresos laborales y no laborales de los miembros del hogar. Se estiman el coeficiente de Gini, el índice de Atkinson, el índice de Theil, y además se realizan estimaciones por quintil de ingreso. Para cada uno de los índices de desigualdad que se incluyen, se realiza una comparación histórica con las encuestas anteriores, así mismo, se realiza la estimación del índice a nivel departamental. </w:t>
      </w:r>
    </w:p>
    <w:p w14:paraId="2C897D4E" w14:textId="77777777" w:rsidR="00CF08AE" w:rsidRPr="00CF08AE" w:rsidRDefault="00CF08AE" w:rsidP="00CF08AE">
      <w:pPr>
        <w:spacing w:line="360" w:lineRule="auto"/>
        <w:jc w:val="both"/>
        <w:rPr>
          <w:lang w:val="es-GT"/>
        </w:rPr>
      </w:pPr>
    </w:p>
    <w:p w14:paraId="73DCFDB2" w14:textId="50F03833" w:rsidR="00CF08AE" w:rsidRPr="00CF08AE" w:rsidRDefault="00CF08AE" w:rsidP="00CF08AE">
      <w:pPr>
        <w:spacing w:line="360" w:lineRule="auto"/>
        <w:jc w:val="both"/>
        <w:rPr>
          <w:lang w:val="es-GT"/>
        </w:rPr>
      </w:pPr>
      <w:r w:rsidRPr="00CF08AE">
        <w:rPr>
          <w:lang w:val="es-GT"/>
        </w:rPr>
        <w:t>Los agregados de ingreso de las Encovi 2006, 2011 y 2014 son comparables, puesto que contienen las mismas variables.</w:t>
      </w:r>
      <w:r w:rsidRPr="00CF08AE">
        <w:rPr>
          <w:rStyle w:val="FootnoteReference"/>
          <w:lang w:val="es-GT"/>
        </w:rPr>
        <w:footnoteReference w:id="1"/>
      </w:r>
      <w:r w:rsidRPr="00CF08AE">
        <w:rPr>
          <w:lang w:val="es-GT"/>
        </w:rPr>
        <w:t xml:space="preserve"> El agregado de ingresos para el año 2000, aunque abarca los mismos temas que para 2006, 2011 y 2014, </w:t>
      </w:r>
      <w:r>
        <w:rPr>
          <w:lang w:val="es-GT"/>
        </w:rPr>
        <w:t xml:space="preserve">contiene </w:t>
      </w:r>
      <w:r w:rsidRPr="00CF08AE">
        <w:rPr>
          <w:lang w:val="es-GT"/>
        </w:rPr>
        <w:t>menor</w:t>
      </w:r>
      <w:r>
        <w:rPr>
          <w:lang w:val="es-GT"/>
        </w:rPr>
        <w:t xml:space="preserve"> cantidad de variables</w:t>
      </w:r>
      <w:r w:rsidRPr="00CF08AE">
        <w:rPr>
          <w:lang w:val="es-GT"/>
        </w:rPr>
        <w:t>, ya que para algunos casos se agregan dos o más variables en una sola, o una sola variable se desagrega en más. Las principales diferencias en comparación con las otras Encovi, es que el número de variables que se contabilizan del primer y segundo trabajo son menos, pero se incluyen ingresos de otro trabajo, que no se contabilizan</w:t>
      </w:r>
      <w:r>
        <w:rPr>
          <w:lang w:val="es-GT"/>
        </w:rPr>
        <w:t xml:space="preserve"> en la Encovi 2006, 2011 y 2014, por ejemplo,  los ingresos no laborales </w:t>
      </w:r>
      <w:r w:rsidRPr="00CF08AE">
        <w:rPr>
          <w:lang w:val="es-GT"/>
        </w:rPr>
        <w:t xml:space="preserve">se desagregan en mayor cantidad de variables. </w:t>
      </w:r>
      <w:r>
        <w:rPr>
          <w:lang w:val="es-GT"/>
        </w:rPr>
        <w:t>Asi mismo, aunque posee una sección de ingresos por donaciones, n</w:t>
      </w:r>
      <w:r w:rsidRPr="00CF08AE">
        <w:rPr>
          <w:lang w:val="es-GT"/>
        </w:rPr>
        <w:t>o se incluye</w:t>
      </w:r>
      <w:r>
        <w:rPr>
          <w:lang w:val="es-GT"/>
        </w:rPr>
        <w:t xml:space="preserve">n en el agregado de ingresos, ya </w:t>
      </w:r>
      <w:r w:rsidRPr="00CF08AE">
        <w:rPr>
          <w:lang w:val="es-GT"/>
        </w:rPr>
        <w:t xml:space="preserve">que </w:t>
      </w:r>
      <w:r>
        <w:rPr>
          <w:lang w:val="es-GT"/>
        </w:rPr>
        <w:t>no</w:t>
      </w:r>
      <w:r w:rsidR="00BF7DF0">
        <w:rPr>
          <w:lang w:val="es-GT"/>
        </w:rPr>
        <w:t xml:space="preserve"> se reportan en el resto de Encovi.</w:t>
      </w:r>
    </w:p>
    <w:p w14:paraId="768C8594" w14:textId="77777777" w:rsidR="00CF08AE" w:rsidRPr="004E31DC" w:rsidRDefault="00CF08AE" w:rsidP="00CF08AE">
      <w:pPr>
        <w:jc w:val="both"/>
        <w:rPr>
          <w:b/>
          <w:sz w:val="28"/>
        </w:rPr>
      </w:pPr>
    </w:p>
    <w:p w14:paraId="369FFCD3" w14:textId="77777777" w:rsidR="00E77744" w:rsidRPr="004E31DC" w:rsidRDefault="00E77744" w:rsidP="00E77744">
      <w:pPr>
        <w:jc w:val="both"/>
      </w:pPr>
    </w:p>
    <w:p w14:paraId="32B30E29" w14:textId="77777777" w:rsidR="00E77744" w:rsidRPr="004E31DC" w:rsidRDefault="00E77744" w:rsidP="00E77744">
      <w:pPr>
        <w:jc w:val="both"/>
      </w:pPr>
    </w:p>
    <w:p w14:paraId="1A32F6C4" w14:textId="42F8E1E0" w:rsidR="00E77744" w:rsidRPr="004E31DC" w:rsidRDefault="00CF08AE" w:rsidP="00E77744">
      <w:pPr>
        <w:jc w:val="both"/>
        <w:rPr>
          <w:b/>
        </w:rPr>
      </w:pPr>
      <w:r>
        <w:rPr>
          <w:b/>
        </w:rPr>
        <w:br w:type="column"/>
      </w:r>
      <w:r w:rsidR="00E77744" w:rsidRPr="004E31DC">
        <w:rPr>
          <w:b/>
        </w:rPr>
        <w:lastRenderedPageBreak/>
        <w:t xml:space="preserve">32.1 Desigualdad según el </w:t>
      </w:r>
      <w:r w:rsidR="0061721F" w:rsidRPr="004E31DC">
        <w:rPr>
          <w:b/>
        </w:rPr>
        <w:t>coeficiente</w:t>
      </w:r>
      <w:r w:rsidR="00E77744" w:rsidRPr="004E31DC">
        <w:rPr>
          <w:b/>
        </w:rPr>
        <w:t xml:space="preserve"> de </w:t>
      </w:r>
      <w:proofErr w:type="spellStart"/>
      <w:r w:rsidR="00E77744" w:rsidRPr="004E31DC">
        <w:rPr>
          <w:b/>
        </w:rPr>
        <w:t>Gini</w:t>
      </w:r>
      <w:proofErr w:type="spellEnd"/>
    </w:p>
    <w:p w14:paraId="303175B3" w14:textId="715C8222" w:rsidR="00E77744" w:rsidRPr="004E31DC" w:rsidRDefault="0061721F" w:rsidP="00E77744">
      <w:pPr>
        <w:jc w:val="both"/>
      </w:pPr>
      <w:r w:rsidRPr="004E31DC">
        <w:t>Coeficiente</w:t>
      </w:r>
      <w:r w:rsidR="00E77744" w:rsidRPr="004E31DC">
        <w:t xml:space="preserve"> de </w:t>
      </w:r>
      <w:proofErr w:type="spellStart"/>
      <w:r w:rsidR="00E77744" w:rsidRPr="004E31DC">
        <w:t>Gini</w:t>
      </w:r>
      <w:proofErr w:type="spellEnd"/>
      <w:r w:rsidR="00E77744" w:rsidRPr="004E31DC">
        <w:t xml:space="preserve"> </w:t>
      </w:r>
    </w:p>
    <w:p w14:paraId="747D2C37" w14:textId="77777777" w:rsidR="00E77744" w:rsidRPr="004E31DC" w:rsidRDefault="00E77744" w:rsidP="00E77744">
      <w:pPr>
        <w:jc w:val="both"/>
      </w:pPr>
      <w:r w:rsidRPr="004E31DC">
        <w:t xml:space="preserve">Serie histórica por </w:t>
      </w:r>
      <w:proofErr w:type="spellStart"/>
      <w:r w:rsidRPr="004E31DC">
        <w:t>Encovi</w:t>
      </w:r>
      <w:proofErr w:type="spellEnd"/>
    </w:p>
    <w:p w14:paraId="0116322B" w14:textId="77777777" w:rsidR="00E77744" w:rsidRPr="004E31DC" w:rsidRDefault="00E77744" w:rsidP="00E77744">
      <w:pPr>
        <w:jc w:val="both"/>
      </w:pPr>
    </w:p>
    <w:p w14:paraId="4B8F5C95" w14:textId="7725D16C" w:rsidR="009C02D9" w:rsidRPr="004E31DC" w:rsidRDefault="00E77744" w:rsidP="00E77744">
      <w:pPr>
        <w:jc w:val="both"/>
      </w:pPr>
      <w:r w:rsidRPr="004E31DC">
        <w:t xml:space="preserve">El </w:t>
      </w:r>
      <w:r w:rsidR="0061721F" w:rsidRPr="004E31DC">
        <w:t>coeficiente</w:t>
      </w:r>
      <w:r w:rsidRPr="004E31DC">
        <w:t xml:space="preserve"> de </w:t>
      </w:r>
      <w:proofErr w:type="spellStart"/>
      <w:r w:rsidRPr="004E31DC">
        <w:t>Gini</w:t>
      </w:r>
      <w:proofErr w:type="spellEnd"/>
      <w:r w:rsidRPr="004E31DC">
        <w:t xml:space="preserve"> permite cuantificar la distancia de la distribución a la perfecta igualdad. Su valor varía entre 0 y 1, mientras más cerca se encuentre el valor del 1, mayor será la desigualdad.</w:t>
      </w:r>
      <w:r w:rsidR="006A37C4" w:rsidRPr="004E31DC">
        <w:t xml:space="preserve"> Según los resultados de la </w:t>
      </w:r>
      <w:proofErr w:type="spellStart"/>
      <w:r w:rsidR="006A37C4" w:rsidRPr="004E31DC">
        <w:t>Encovi</w:t>
      </w:r>
      <w:proofErr w:type="spellEnd"/>
      <w:r w:rsidR="006A37C4" w:rsidRPr="004E31DC">
        <w:t xml:space="preserve">, para el año 2000 el </w:t>
      </w:r>
      <w:r w:rsidR="0061721F" w:rsidRPr="004E31DC">
        <w:t>coeficiente</w:t>
      </w:r>
      <w:r w:rsidR="006A37C4" w:rsidRPr="004E31DC">
        <w:t xml:space="preserve"> de </w:t>
      </w:r>
      <w:proofErr w:type="spellStart"/>
      <w:r w:rsidR="006A37C4" w:rsidRPr="004E31DC">
        <w:t>Gini</w:t>
      </w:r>
      <w:proofErr w:type="spellEnd"/>
      <w:r w:rsidR="006A37C4" w:rsidRPr="004E31DC">
        <w:t xml:space="preserve"> era 0.603</w:t>
      </w:r>
      <w:r w:rsidR="006A37C4" w:rsidRPr="004E31DC">
        <w:rPr>
          <w:rStyle w:val="FootnoteReference"/>
        </w:rPr>
        <w:footnoteReference w:id="2"/>
      </w:r>
      <w:r w:rsidR="00F1607D" w:rsidRPr="004E31DC">
        <w:t>. Entre</w:t>
      </w:r>
      <w:r w:rsidR="009C02D9" w:rsidRPr="004E31DC">
        <w:t xml:space="preserve"> 2006 y 2011, la desigualdad aumentó </w:t>
      </w:r>
      <w:r w:rsidR="00F1607D" w:rsidRPr="004E31DC">
        <w:t xml:space="preserve">ligeramente </w:t>
      </w:r>
      <w:r w:rsidR="009C02D9" w:rsidRPr="004E31DC">
        <w:t>de 0.558 a 0.565, respectivamente, mientras que de 2011 a 2014, se observó una reducción de la desigualdad a 0.531, por debajo de lo observado para el año 2006.</w:t>
      </w:r>
    </w:p>
    <w:p w14:paraId="55DFAC7A" w14:textId="77777777" w:rsidR="00E77744" w:rsidRPr="004E31DC" w:rsidRDefault="00E77744" w:rsidP="00E77744">
      <w:pPr>
        <w:jc w:val="both"/>
      </w:pPr>
    </w:p>
    <w:p w14:paraId="00E89C4A" w14:textId="396EDA22" w:rsidR="00E77744" w:rsidRPr="004E31DC" w:rsidRDefault="006946C4" w:rsidP="00E77744">
      <w:pPr>
        <w:jc w:val="both"/>
      </w:pPr>
      <m:oMathPara>
        <m:oMathParaPr>
          <m:jc m:val="left"/>
        </m:oMathParaPr>
        <m:oMath>
          <m:r>
            <w:rPr>
              <w:rFonts w:ascii="Cambria Math" w:hAnsi="Cambria Math"/>
            </w:rPr>
            <m:t>G=</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μ</m:t>
                      </m:r>
                    </m:den>
                  </m:f>
                </m:e>
              </m:nary>
            </m:e>
          </m:nary>
        </m:oMath>
      </m:oMathPara>
    </w:p>
    <w:p w14:paraId="76C07FCC" w14:textId="77777777" w:rsidR="006A37C4" w:rsidRPr="004E31DC" w:rsidRDefault="006A37C4" w:rsidP="00E77744">
      <w:pPr>
        <w:jc w:val="both"/>
      </w:pPr>
    </w:p>
    <w:p w14:paraId="51F3A8CD" w14:textId="77777777" w:rsidR="009C02D9" w:rsidRPr="004E31DC" w:rsidRDefault="009C02D9" w:rsidP="00E77744">
      <w:pPr>
        <w:jc w:val="both"/>
      </w:pPr>
    </w:p>
    <w:p w14:paraId="0B9F90E0" w14:textId="77777777" w:rsidR="00F1607D" w:rsidRPr="004E31DC" w:rsidRDefault="009C02D9" w:rsidP="00E77744">
      <w:pPr>
        <w:jc w:val="both"/>
        <w:rPr>
          <w:b/>
        </w:rPr>
      </w:pPr>
      <w:r w:rsidRPr="004E31DC">
        <w:rPr>
          <w:b/>
        </w:rPr>
        <w:t xml:space="preserve">32.2 Desigualdad según el índice de </w:t>
      </w:r>
      <w:proofErr w:type="spellStart"/>
      <w:r w:rsidRPr="004E31DC">
        <w:rPr>
          <w:b/>
        </w:rPr>
        <w:t>Atkinson</w:t>
      </w:r>
      <w:proofErr w:type="spellEnd"/>
      <w:r w:rsidRPr="004E31DC">
        <w:rPr>
          <w:b/>
        </w:rPr>
        <w:t xml:space="preserve">, para </w:t>
      </w:r>
      <m:oMath>
        <m:r>
          <m:rPr>
            <m:sty m:val="bi"/>
          </m:rPr>
          <w:rPr>
            <w:rFonts w:ascii="Cambria Math" w:hAnsi="Cambria Math"/>
          </w:rPr>
          <m:t>ε=1</m:t>
        </m:r>
      </m:oMath>
    </w:p>
    <w:p w14:paraId="03859109" w14:textId="77777777" w:rsidR="004F0157" w:rsidRPr="004E31DC" w:rsidRDefault="004F0157" w:rsidP="00E77744">
      <w:pPr>
        <w:jc w:val="both"/>
      </w:pPr>
      <w:r w:rsidRPr="004E31DC">
        <w:t xml:space="preserve">Índice de </w:t>
      </w:r>
      <w:proofErr w:type="spellStart"/>
      <w:r w:rsidRPr="004E31DC">
        <w:t>Atkinson</w:t>
      </w:r>
      <w:proofErr w:type="spellEnd"/>
      <w:r w:rsidR="00152463" w:rsidRPr="004E31DC">
        <w:t xml:space="preserve"> para </w:t>
      </w:r>
      <m:oMath>
        <m:r>
          <w:rPr>
            <w:rFonts w:ascii="Cambria Math" w:hAnsi="Cambria Math"/>
          </w:rPr>
          <m:t>ε=1</m:t>
        </m:r>
      </m:oMath>
    </w:p>
    <w:p w14:paraId="3619A777" w14:textId="77777777" w:rsidR="004F0157" w:rsidRPr="004E31DC" w:rsidRDefault="004F0157" w:rsidP="00E77744">
      <w:pPr>
        <w:jc w:val="both"/>
      </w:pPr>
      <w:r w:rsidRPr="004E31DC">
        <w:t xml:space="preserve">Serie histórica por </w:t>
      </w:r>
      <w:proofErr w:type="spellStart"/>
      <w:r w:rsidRPr="004E31DC">
        <w:t>Encovi</w:t>
      </w:r>
      <w:proofErr w:type="spellEnd"/>
    </w:p>
    <w:p w14:paraId="113A459E" w14:textId="77777777" w:rsidR="00886DD5" w:rsidRPr="004E31DC" w:rsidRDefault="00886DD5" w:rsidP="00E77744">
      <w:pPr>
        <w:jc w:val="both"/>
      </w:pPr>
    </w:p>
    <w:p w14:paraId="038D7985" w14:textId="240885D8" w:rsidR="00152463" w:rsidRPr="004E31DC" w:rsidRDefault="00886DD5" w:rsidP="00E77744">
      <w:pPr>
        <w:jc w:val="both"/>
      </w:pPr>
      <w:r w:rsidRPr="004E31DC">
        <w:t xml:space="preserve">El índice de </w:t>
      </w:r>
      <w:proofErr w:type="spellStart"/>
      <w:r w:rsidRPr="004E31DC">
        <w:t>Atkinson</w:t>
      </w:r>
      <w:proofErr w:type="spellEnd"/>
      <w:r w:rsidRPr="004E31DC">
        <w:t xml:space="preserve"> mide la </w:t>
      </w:r>
      <w:r w:rsidR="00C012DC" w:rsidRPr="004E31DC">
        <w:t xml:space="preserve">desigualdad en términos de la </w:t>
      </w:r>
      <w:r w:rsidRPr="004E31DC">
        <w:t>pérdida de bienestar</w:t>
      </w:r>
      <w:r w:rsidR="00C012DC" w:rsidRPr="004E31DC">
        <w:t xml:space="preserve"> social</w:t>
      </w:r>
      <w:r w:rsidRPr="004E31DC">
        <w:t>,</w:t>
      </w:r>
      <w:r w:rsidR="00FC502C" w:rsidRPr="004E31DC">
        <w:t xml:space="preserve"> debido a la dispersión de</w:t>
      </w:r>
      <w:r w:rsidR="00C012DC" w:rsidRPr="004E31DC">
        <w:t xml:space="preserve"> los </w:t>
      </w:r>
      <w:r w:rsidR="00FC502C" w:rsidRPr="004E31DC">
        <w:t xml:space="preserve">ingresos, donde </w:t>
      </w:r>
      <m:oMath>
        <m:r>
          <w:rPr>
            <w:rFonts w:ascii="Cambria Math" w:hAnsi="Cambria Math"/>
          </w:rPr>
          <m:t>ε</m:t>
        </m:r>
      </m:oMath>
      <w:r w:rsidR="00FC502C" w:rsidRPr="004E31DC">
        <w:t xml:space="preserve"> se interpreta como un parámetro d</w:t>
      </w:r>
      <w:r w:rsidR="00152463" w:rsidRPr="004E31DC">
        <w:t>e aversión a la desigualdad. Para el a</w:t>
      </w:r>
      <w:r w:rsidR="00BF7DF0">
        <w:t xml:space="preserve">ño 2000, el índice de </w:t>
      </w:r>
      <w:proofErr w:type="spellStart"/>
      <w:r w:rsidR="00BF7DF0">
        <w:t>Atkinson</w:t>
      </w:r>
      <w:proofErr w:type="spellEnd"/>
      <w:r w:rsidR="00BF7DF0">
        <w:t xml:space="preserve"> c</w:t>
      </w:r>
      <w:r w:rsidR="00152463" w:rsidRPr="004E31DC">
        <w:t>on el parámetro de aversión a la desigualdad igual a 1, era de 0.523. Al comparar entre 2006 y 2014, se observa una</w:t>
      </w:r>
      <w:r w:rsidR="008F5DC5">
        <w:t xml:space="preserve"> pequeña reducción en el índice</w:t>
      </w:r>
      <w:bookmarkStart w:id="0" w:name="_GoBack"/>
      <w:bookmarkEnd w:id="0"/>
      <w:r w:rsidR="00152463" w:rsidRPr="004E31DC">
        <w:t xml:space="preserve"> de 0.446 a 0.412, respectivamente.</w:t>
      </w:r>
    </w:p>
    <w:p w14:paraId="657BA2DB" w14:textId="77777777" w:rsidR="00FD7389" w:rsidRPr="004E31DC" w:rsidRDefault="00FD7389" w:rsidP="00E77744">
      <w:pPr>
        <w:jc w:val="both"/>
      </w:pPr>
    </w:p>
    <w:p w14:paraId="53238698" w14:textId="77777777" w:rsidR="00FD7389" w:rsidRPr="004E31DC" w:rsidRDefault="00FD7389" w:rsidP="00E77744">
      <w:pPr>
        <w:jc w:val="both"/>
      </w:pPr>
      <m:oMath>
        <m:r>
          <w:rPr>
            <w:rFonts w:ascii="Cambria Math" w:hAnsi="Cambria Math"/>
          </w:rPr>
          <m:t>A=1-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μ</m:t>
                        </m:r>
                      </m:den>
                    </m:f>
                  </m:e>
                </m:d>
              </m:e>
              <m:sup>
                <m:f>
                  <m:fPr>
                    <m:ctrlPr>
                      <w:rPr>
                        <w:rFonts w:ascii="Cambria Math" w:hAnsi="Cambria Math"/>
                        <w:i/>
                      </w:rPr>
                    </m:ctrlPr>
                  </m:fPr>
                  <m:num>
                    <m:r>
                      <w:rPr>
                        <w:rFonts w:ascii="Cambria Math" w:hAnsi="Cambria Math"/>
                      </w:rPr>
                      <m:t>1</m:t>
                    </m:r>
                  </m:num>
                  <m:den>
                    <m:r>
                      <w:rPr>
                        <w:rFonts w:ascii="Cambria Math" w:hAnsi="Cambria Math"/>
                      </w:rPr>
                      <m:t>n</m:t>
                    </m:r>
                  </m:den>
                </m:f>
              </m:sup>
            </m:sSup>
          </m:e>
        </m:nary>
      </m:oMath>
      <w:r w:rsidR="00886DD5" w:rsidRPr="004E31DC">
        <w:t xml:space="preserve">   para </w:t>
      </w:r>
      <m:oMath>
        <m:r>
          <w:rPr>
            <w:rFonts w:ascii="Cambria Math" w:hAnsi="Cambria Math"/>
          </w:rPr>
          <m:t>ε=1</m:t>
        </m:r>
      </m:oMath>
    </w:p>
    <w:p w14:paraId="14EF69A9" w14:textId="77777777" w:rsidR="004F0157" w:rsidRPr="004E31DC" w:rsidRDefault="004F0157" w:rsidP="00E77744">
      <w:pPr>
        <w:jc w:val="both"/>
      </w:pPr>
    </w:p>
    <w:p w14:paraId="25ED89D7" w14:textId="77777777" w:rsidR="00152463" w:rsidRPr="004E31DC" w:rsidRDefault="00152463" w:rsidP="00E77744">
      <w:pPr>
        <w:jc w:val="both"/>
      </w:pPr>
    </w:p>
    <w:p w14:paraId="24CDB6E1" w14:textId="73DA19CC" w:rsidR="00152463" w:rsidRPr="004E31DC" w:rsidRDefault="00BC7FBA" w:rsidP="00152463">
      <w:pPr>
        <w:jc w:val="both"/>
        <w:rPr>
          <w:b/>
        </w:rPr>
      </w:pPr>
      <w:r w:rsidRPr="004E31DC">
        <w:rPr>
          <w:b/>
        </w:rPr>
        <w:t>32.3</w:t>
      </w:r>
      <w:r w:rsidR="00152463" w:rsidRPr="004E31DC">
        <w:rPr>
          <w:b/>
        </w:rPr>
        <w:t xml:space="preserve"> Desigualdad según el índice de </w:t>
      </w:r>
      <w:proofErr w:type="spellStart"/>
      <w:r w:rsidR="00152463" w:rsidRPr="004E31DC">
        <w:rPr>
          <w:b/>
        </w:rPr>
        <w:t>Atkinson</w:t>
      </w:r>
      <w:proofErr w:type="spellEnd"/>
      <w:r w:rsidR="00152463" w:rsidRPr="004E31DC">
        <w:rPr>
          <w:b/>
        </w:rPr>
        <w:t xml:space="preserve">, para </w:t>
      </w:r>
      <m:oMath>
        <m:r>
          <m:rPr>
            <m:sty m:val="bi"/>
          </m:rPr>
          <w:rPr>
            <w:rFonts w:ascii="Cambria Math" w:hAnsi="Cambria Math"/>
          </w:rPr>
          <m:t>ε=2</m:t>
        </m:r>
      </m:oMath>
    </w:p>
    <w:p w14:paraId="02ED8AF1" w14:textId="77777777" w:rsidR="00152463" w:rsidRPr="004E31DC" w:rsidRDefault="00152463" w:rsidP="00152463">
      <w:pPr>
        <w:jc w:val="both"/>
      </w:pPr>
      <w:r w:rsidRPr="004E31DC">
        <w:t xml:space="preserve">Índice de </w:t>
      </w:r>
      <w:proofErr w:type="spellStart"/>
      <w:r w:rsidRPr="004E31DC">
        <w:t>Atkinson</w:t>
      </w:r>
      <w:proofErr w:type="spellEnd"/>
      <w:r w:rsidRPr="004E31DC">
        <w:t xml:space="preserve"> para </w:t>
      </w:r>
      <m:oMath>
        <m:r>
          <w:rPr>
            <w:rFonts w:ascii="Cambria Math" w:hAnsi="Cambria Math"/>
          </w:rPr>
          <m:t>ε=2</m:t>
        </m:r>
      </m:oMath>
    </w:p>
    <w:p w14:paraId="6DF7F1AD" w14:textId="77777777" w:rsidR="00152463" w:rsidRPr="004E31DC" w:rsidRDefault="00152463" w:rsidP="00152463">
      <w:pPr>
        <w:jc w:val="both"/>
      </w:pPr>
      <w:r w:rsidRPr="004E31DC">
        <w:t xml:space="preserve">Serie histórica por </w:t>
      </w:r>
      <w:proofErr w:type="spellStart"/>
      <w:r w:rsidRPr="004E31DC">
        <w:t>Encovi</w:t>
      </w:r>
      <w:proofErr w:type="spellEnd"/>
    </w:p>
    <w:p w14:paraId="5BFF678B" w14:textId="77777777" w:rsidR="00152463" w:rsidRPr="004E31DC" w:rsidRDefault="00152463" w:rsidP="00152463">
      <w:pPr>
        <w:jc w:val="both"/>
      </w:pPr>
    </w:p>
    <w:p w14:paraId="70342D6A" w14:textId="77777777" w:rsidR="00143185" w:rsidRPr="004E31DC" w:rsidRDefault="00152463" w:rsidP="00E77744">
      <w:pPr>
        <w:jc w:val="both"/>
      </w:pPr>
      <w:r w:rsidRPr="004E31DC">
        <w:t>Cuando el parámetro de aversión a la desigualdad aumenta, se otorga mayor peso al extrem</w:t>
      </w:r>
      <w:r w:rsidR="00143185" w:rsidRPr="004E31DC">
        <w:t xml:space="preserve">o inferior de la distribución. Entre 2006 y 2011, el índice de </w:t>
      </w:r>
      <w:proofErr w:type="spellStart"/>
      <w:r w:rsidR="00143185" w:rsidRPr="004E31DC">
        <w:t>Atkinson</w:t>
      </w:r>
      <w:proofErr w:type="spellEnd"/>
      <w:r w:rsidR="00143185" w:rsidRPr="004E31DC">
        <w:t xml:space="preserve"> aumentó de 0.721 a 0.766, respectivamente, y de 2011 a 2014, se redujo a 0.714. Se puede observar que los valores obtenidos para </w:t>
      </w:r>
      <m:oMath>
        <m:r>
          <w:rPr>
            <w:rFonts w:ascii="Cambria Math" w:hAnsi="Cambria Math"/>
          </w:rPr>
          <m:t>ε=2</m:t>
        </m:r>
      </m:oMath>
      <w:r w:rsidR="00143185" w:rsidRPr="004E31DC">
        <w:t>, son mayores a lo observado en la gráfica anterior, además, la diferencia entre el aumento de la desigualdad entre 2006 y 2011 es mayor, que la reducción entre 2006 y 2014, a diferencia de los resultados anteriores.</w:t>
      </w:r>
    </w:p>
    <w:p w14:paraId="1CBF2742" w14:textId="77777777" w:rsidR="00152463" w:rsidRPr="004E31DC" w:rsidRDefault="00143185" w:rsidP="00E77744">
      <w:pPr>
        <w:jc w:val="both"/>
      </w:pPr>
      <w:r w:rsidRPr="004E31DC">
        <w:t xml:space="preserve"> </w:t>
      </w:r>
    </w:p>
    <w:p w14:paraId="6C51CA3E" w14:textId="77777777" w:rsidR="004F0157" w:rsidRPr="004E31DC" w:rsidRDefault="003D6700" w:rsidP="00E77744">
      <w:pPr>
        <w:jc w:val="both"/>
      </w:pPr>
      <m:oMath>
        <m:r>
          <w:rPr>
            <w:rFonts w:ascii="Cambria Math" w:hAnsi="Cambria Math"/>
          </w:rPr>
          <m:t>A=1-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1-ε</m:t>
                                </m:r>
                              </m:sup>
                            </m:sSubSup>
                          </m:num>
                          <m:den>
                            <m:r>
                              <w:rPr>
                                <w:rFonts w:ascii="Cambria Math" w:hAnsi="Cambria Math"/>
                              </w:rPr>
                              <m:t>n</m:t>
                            </m:r>
                          </m:den>
                        </m:f>
                      </m:e>
                    </m:nary>
                  </m:e>
                </m:d>
              </m:e>
              <m:sup>
                <m:f>
                  <m:fPr>
                    <m:ctrlPr>
                      <w:rPr>
                        <w:rFonts w:ascii="Cambria Math" w:hAnsi="Cambria Math"/>
                        <w:i/>
                      </w:rPr>
                    </m:ctrlPr>
                  </m:fPr>
                  <m:num>
                    <m:r>
                      <w:rPr>
                        <w:rFonts w:ascii="Cambria Math" w:hAnsi="Cambria Math"/>
                      </w:rPr>
                      <m:t>1</m:t>
                    </m:r>
                  </m:num>
                  <m:den>
                    <m:r>
                      <w:rPr>
                        <w:rFonts w:ascii="Cambria Math" w:hAnsi="Cambria Math"/>
                      </w:rPr>
                      <m:t>1-ε</m:t>
                    </m:r>
                  </m:den>
                </m:f>
              </m:sup>
            </m:sSup>
          </m:num>
          <m:den>
            <m:r>
              <w:rPr>
                <w:rFonts w:ascii="Cambria Math" w:hAnsi="Cambria Math"/>
              </w:rPr>
              <m:t>μ</m:t>
            </m:r>
          </m:den>
        </m:f>
      </m:oMath>
      <w:r w:rsidR="00886DD5" w:rsidRPr="004E31DC">
        <w:t xml:space="preserve">, para </w:t>
      </w:r>
      <m:oMath>
        <m:r>
          <w:rPr>
            <w:rFonts w:ascii="Cambria Math" w:hAnsi="Cambria Math"/>
          </w:rPr>
          <m:t>ε&gt;0 y ε≠1</m:t>
        </m:r>
      </m:oMath>
    </w:p>
    <w:p w14:paraId="111C8D04" w14:textId="77777777" w:rsidR="00BC7FBA" w:rsidRPr="004E31DC" w:rsidRDefault="00BC7FBA" w:rsidP="00E77744">
      <w:pPr>
        <w:jc w:val="both"/>
      </w:pPr>
    </w:p>
    <w:p w14:paraId="311D5A03" w14:textId="77777777" w:rsidR="0004337E" w:rsidRPr="004E31DC" w:rsidRDefault="0004337E" w:rsidP="00BC7FBA">
      <w:pPr>
        <w:jc w:val="both"/>
        <w:rPr>
          <w:b/>
        </w:rPr>
      </w:pPr>
    </w:p>
    <w:p w14:paraId="1EFECB11" w14:textId="1B8CB7B2" w:rsidR="00BC7FBA" w:rsidRPr="004E31DC" w:rsidRDefault="00BC7FBA" w:rsidP="00BC7FBA">
      <w:pPr>
        <w:jc w:val="both"/>
        <w:rPr>
          <w:b/>
        </w:rPr>
      </w:pPr>
      <w:r w:rsidRPr="004E31DC">
        <w:rPr>
          <w:b/>
        </w:rPr>
        <w:t xml:space="preserve">32.4 Desigualdad según el índice de </w:t>
      </w:r>
      <w:proofErr w:type="spellStart"/>
      <w:r w:rsidRPr="004E31DC">
        <w:rPr>
          <w:b/>
        </w:rPr>
        <w:t>Theil</w:t>
      </w:r>
      <w:proofErr w:type="spellEnd"/>
    </w:p>
    <w:p w14:paraId="2FC108FE" w14:textId="0B5DBEB5" w:rsidR="00BC7FBA" w:rsidRPr="004E31DC" w:rsidRDefault="00BC7FBA" w:rsidP="00BC7FBA">
      <w:pPr>
        <w:jc w:val="both"/>
      </w:pPr>
      <w:r w:rsidRPr="004E31DC">
        <w:t xml:space="preserve">Índice de </w:t>
      </w:r>
      <w:proofErr w:type="spellStart"/>
      <w:r w:rsidRPr="004E31DC">
        <w:t>Theil</w:t>
      </w:r>
      <w:proofErr w:type="spellEnd"/>
      <w:r w:rsidRPr="004E31DC">
        <w:t xml:space="preserve"> </w:t>
      </w:r>
    </w:p>
    <w:p w14:paraId="1B82CC7F" w14:textId="77777777" w:rsidR="00BC7FBA" w:rsidRPr="004E31DC" w:rsidRDefault="00BC7FBA" w:rsidP="00BC7FBA">
      <w:pPr>
        <w:jc w:val="both"/>
      </w:pPr>
      <w:r w:rsidRPr="004E31DC">
        <w:t xml:space="preserve">Serie histórica por </w:t>
      </w:r>
      <w:proofErr w:type="spellStart"/>
      <w:r w:rsidRPr="004E31DC">
        <w:t>Encovi</w:t>
      </w:r>
      <w:proofErr w:type="spellEnd"/>
    </w:p>
    <w:p w14:paraId="18BABF1F" w14:textId="77777777" w:rsidR="006946C4" w:rsidRPr="004E31DC" w:rsidRDefault="006946C4" w:rsidP="00BC7FBA">
      <w:pPr>
        <w:jc w:val="both"/>
      </w:pPr>
    </w:p>
    <w:p w14:paraId="4F42C2A1" w14:textId="489CBD6A" w:rsidR="006946C4" w:rsidRPr="004E31DC" w:rsidRDefault="00E1781F" w:rsidP="00BC7FBA">
      <w:pPr>
        <w:jc w:val="both"/>
      </w:pPr>
      <w:r w:rsidRPr="004E31DC">
        <w:t xml:space="preserve">El índice de </w:t>
      </w:r>
      <w:proofErr w:type="spellStart"/>
      <w:r w:rsidRPr="004E31DC">
        <w:t>Theil</w:t>
      </w:r>
      <w:proofErr w:type="spellEnd"/>
      <w:r w:rsidRPr="004E31DC">
        <w:t xml:space="preserve"> </w:t>
      </w:r>
      <w:r w:rsidR="0061721F" w:rsidRPr="004E31DC">
        <w:t xml:space="preserve">es una medida de desigualdad que </w:t>
      </w:r>
      <w:r w:rsidRPr="004E31DC">
        <w:t xml:space="preserve">está basado en la </w:t>
      </w:r>
      <w:r w:rsidR="0061721F" w:rsidRPr="004E31DC">
        <w:t>e</w:t>
      </w:r>
      <w:r w:rsidR="00464AE2" w:rsidRPr="004E31DC">
        <w:t xml:space="preserve">ntropía </w:t>
      </w:r>
      <w:r w:rsidRPr="004E31DC">
        <w:t>de Shan</w:t>
      </w:r>
      <w:r w:rsidR="0061721F" w:rsidRPr="004E31DC">
        <w:t>n</w:t>
      </w:r>
      <w:r w:rsidRPr="004E31DC">
        <w:t>on,</w:t>
      </w:r>
      <w:r w:rsidR="0061721F" w:rsidRPr="004E31DC">
        <w:t xml:space="preserve"> entre mayor sea el valor</w:t>
      </w:r>
      <w:r w:rsidR="00183B17" w:rsidRPr="004E31DC">
        <w:t xml:space="preserve">, mayor es la desigualdad. </w:t>
      </w:r>
      <w:r w:rsidR="0061721F" w:rsidRPr="004E31DC">
        <w:t xml:space="preserve">Para el año 2006, el índice de </w:t>
      </w:r>
      <w:proofErr w:type="spellStart"/>
      <w:r w:rsidR="0061721F" w:rsidRPr="004E31DC">
        <w:t>Theil</w:t>
      </w:r>
      <w:proofErr w:type="spellEnd"/>
      <w:r w:rsidR="0061721F" w:rsidRPr="004E31DC">
        <w:t xml:space="preserve"> era de 0.623. Según lo observado con las estimaciones de los índices de desigualdad anteriores, entre 2006 y 2011 hubo  un aumento de la desigualdad. Esto es consistente con los resultados obtenidos del índice de </w:t>
      </w:r>
      <w:proofErr w:type="spellStart"/>
      <w:r w:rsidR="0061721F" w:rsidRPr="004E31DC">
        <w:t>Theil</w:t>
      </w:r>
      <w:proofErr w:type="spellEnd"/>
      <w:r w:rsidR="0061721F" w:rsidRPr="004E31DC">
        <w:t xml:space="preserve">, que muestran un aumento de la desigualdad a 0.729 para el año 2011. Así mismo, para el 2014, se obtiene una reducción de la desigualdad de </w:t>
      </w:r>
      <w:r w:rsidR="00AB6EC1" w:rsidRPr="004E31DC">
        <w:t>0.595, por debajo de lo observado para 2006.</w:t>
      </w:r>
    </w:p>
    <w:p w14:paraId="03EBDDE9" w14:textId="77777777" w:rsidR="00BC7FBA" w:rsidRPr="004E31DC" w:rsidRDefault="00BC7FBA" w:rsidP="00BC7FBA">
      <w:pPr>
        <w:jc w:val="both"/>
      </w:pPr>
    </w:p>
    <w:p w14:paraId="0F5A8722" w14:textId="77777777" w:rsidR="00BC7FBA" w:rsidRPr="004E31DC" w:rsidRDefault="00BC7FBA" w:rsidP="00E77744">
      <w:pPr>
        <w:jc w:val="both"/>
      </w:pPr>
    </w:p>
    <w:p w14:paraId="115D4F40" w14:textId="0AAFE397" w:rsidR="006946C4" w:rsidRPr="004E31DC" w:rsidRDefault="006946C4" w:rsidP="00E77744">
      <w:pPr>
        <w:jc w:val="both"/>
      </w:pPr>
      <m:oMathPara>
        <m:oMathParaPr>
          <m:jc m:val="left"/>
        </m:oMathParaP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μ</m:t>
                      </m:r>
                    </m:den>
                  </m:f>
                </m:e>
              </m:d>
            </m:e>
          </m:nary>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μ</m:t>
                  </m:r>
                </m:den>
              </m:f>
            </m:e>
          </m:d>
        </m:oMath>
      </m:oMathPara>
    </w:p>
    <w:p w14:paraId="146DE089" w14:textId="77777777" w:rsidR="0004337E" w:rsidRPr="004E31DC" w:rsidRDefault="0004337E" w:rsidP="00E77744">
      <w:pPr>
        <w:jc w:val="both"/>
      </w:pPr>
    </w:p>
    <w:p w14:paraId="68E3DDED" w14:textId="0C2A1586" w:rsidR="0004337E" w:rsidRPr="004E31DC" w:rsidRDefault="0004337E" w:rsidP="0004337E">
      <w:pPr>
        <w:jc w:val="both"/>
      </w:pPr>
    </w:p>
    <w:p w14:paraId="1C903CB5" w14:textId="77777777" w:rsidR="00F13E52" w:rsidRPr="004E31DC" w:rsidRDefault="00F13E52" w:rsidP="0004337E">
      <w:pPr>
        <w:jc w:val="both"/>
        <w:rPr>
          <w:b/>
        </w:rPr>
      </w:pPr>
    </w:p>
    <w:p w14:paraId="6E6B194F" w14:textId="458864CF" w:rsidR="0004337E" w:rsidRPr="004E31DC" w:rsidRDefault="0004337E" w:rsidP="0004337E">
      <w:pPr>
        <w:jc w:val="both"/>
        <w:rPr>
          <w:b/>
        </w:rPr>
      </w:pPr>
      <w:r w:rsidRPr="004E31DC">
        <w:rPr>
          <w:b/>
        </w:rPr>
        <w:t>32.5 Participación del quintil más bajo</w:t>
      </w:r>
      <w:r w:rsidRPr="004E31DC">
        <w:rPr>
          <w:rStyle w:val="FootnoteReference"/>
          <w:b/>
        </w:rPr>
        <w:footnoteReference w:id="3"/>
      </w:r>
    </w:p>
    <w:p w14:paraId="2741296F" w14:textId="45FCE472" w:rsidR="0004337E" w:rsidRPr="004E31DC" w:rsidRDefault="0004337E" w:rsidP="0004337E">
      <w:pPr>
        <w:jc w:val="both"/>
      </w:pPr>
      <w:r w:rsidRPr="004E31DC">
        <w:rPr>
          <w:color w:val="000000"/>
        </w:rPr>
        <w:t>Proporción del primer quintil de ingresos respecto del ingreso total, a nivel nacional</w:t>
      </w:r>
    </w:p>
    <w:p w14:paraId="0BD88203" w14:textId="11D4B060" w:rsidR="0004337E" w:rsidRPr="004E31DC" w:rsidRDefault="0004337E" w:rsidP="0004337E">
      <w:pPr>
        <w:jc w:val="both"/>
      </w:pPr>
      <w:r w:rsidRPr="004E31DC">
        <w:t xml:space="preserve">Serie histórica por </w:t>
      </w:r>
      <w:proofErr w:type="spellStart"/>
      <w:r w:rsidRPr="004E31DC">
        <w:t>Encovi</w:t>
      </w:r>
      <w:proofErr w:type="spellEnd"/>
      <w:r w:rsidRPr="004E31DC">
        <w:t>, en porcentaje</w:t>
      </w:r>
    </w:p>
    <w:p w14:paraId="29C6E53C" w14:textId="77777777" w:rsidR="0004337E" w:rsidRPr="004E31DC" w:rsidRDefault="0004337E" w:rsidP="00E77744">
      <w:pPr>
        <w:jc w:val="both"/>
      </w:pPr>
    </w:p>
    <w:p w14:paraId="4E54F1B5" w14:textId="77777777" w:rsidR="0004337E" w:rsidRPr="004E31DC" w:rsidRDefault="0004337E" w:rsidP="00E77744">
      <w:pPr>
        <w:jc w:val="both"/>
      </w:pPr>
    </w:p>
    <w:p w14:paraId="2BC98E76" w14:textId="584234F4" w:rsidR="0004337E" w:rsidRPr="004E31DC" w:rsidRDefault="00572117" w:rsidP="00E77744">
      <w:pPr>
        <w:jc w:val="both"/>
      </w:pPr>
      <w:r w:rsidRPr="004E31DC">
        <w:t>Para 2006, el 20% de la población de más escasos recursos, captaba el 2.7% del total de los ingresos de  toda la población. Al observar los resultados para 2011 y 2014, se obtiene que ha habido un pequeño aumento en la participación en los ingresos del primer quintil. No obstante, para 2014 la proporción de ingresos que captaba el primer quintil, era menor al 5% del total de los ingresos.</w:t>
      </w:r>
    </w:p>
    <w:p w14:paraId="4A52743D" w14:textId="77777777" w:rsidR="00572117" w:rsidRPr="004E31DC" w:rsidRDefault="00572117" w:rsidP="00E77744">
      <w:pPr>
        <w:jc w:val="both"/>
      </w:pPr>
    </w:p>
    <w:p w14:paraId="7B84A3D1" w14:textId="77777777" w:rsidR="00572117" w:rsidRPr="004E31DC" w:rsidRDefault="00572117" w:rsidP="00E77744">
      <w:pPr>
        <w:jc w:val="both"/>
      </w:pPr>
    </w:p>
    <w:p w14:paraId="13652238" w14:textId="3A02F3BC" w:rsidR="00572117" w:rsidRPr="004E31DC" w:rsidRDefault="00E27B53" w:rsidP="00572117">
      <w:pPr>
        <w:jc w:val="both"/>
        <w:rPr>
          <w:b/>
        </w:rPr>
      </w:pPr>
      <w:r w:rsidRPr="004E31DC">
        <w:rPr>
          <w:b/>
        </w:rPr>
        <w:t>32.6</w:t>
      </w:r>
      <w:r w:rsidR="00572117" w:rsidRPr="004E31DC">
        <w:rPr>
          <w:b/>
        </w:rPr>
        <w:t xml:space="preserve"> Participación del quintil más alto</w:t>
      </w:r>
      <w:r w:rsidR="00572117" w:rsidRPr="004E31DC">
        <w:rPr>
          <w:rStyle w:val="FootnoteReference"/>
          <w:b/>
        </w:rPr>
        <w:footnoteReference w:id="4"/>
      </w:r>
    </w:p>
    <w:p w14:paraId="29DE6CF3" w14:textId="6B0690B3" w:rsidR="00572117" w:rsidRPr="004E31DC" w:rsidRDefault="00572117" w:rsidP="00572117">
      <w:pPr>
        <w:jc w:val="both"/>
      </w:pPr>
      <w:r w:rsidRPr="004E31DC">
        <w:rPr>
          <w:color w:val="000000"/>
        </w:rPr>
        <w:t>Proporción del quinto quintil de ingresos respecto del ingreso total, a nivel nacional</w:t>
      </w:r>
    </w:p>
    <w:p w14:paraId="55067F5E" w14:textId="77777777" w:rsidR="00572117" w:rsidRPr="004E31DC" w:rsidRDefault="00572117" w:rsidP="00572117">
      <w:pPr>
        <w:jc w:val="both"/>
      </w:pPr>
      <w:r w:rsidRPr="004E31DC">
        <w:t xml:space="preserve">Serie histórica por </w:t>
      </w:r>
      <w:proofErr w:type="spellStart"/>
      <w:r w:rsidRPr="004E31DC">
        <w:t>Encovi</w:t>
      </w:r>
      <w:proofErr w:type="spellEnd"/>
      <w:r w:rsidRPr="004E31DC">
        <w:t>, en porcentaje</w:t>
      </w:r>
    </w:p>
    <w:p w14:paraId="755111DC" w14:textId="77777777" w:rsidR="00572117" w:rsidRPr="004E31DC" w:rsidRDefault="00572117" w:rsidP="00572117">
      <w:pPr>
        <w:jc w:val="both"/>
      </w:pPr>
    </w:p>
    <w:p w14:paraId="42272786" w14:textId="77777777" w:rsidR="00572117" w:rsidRPr="004E31DC" w:rsidRDefault="00572117" w:rsidP="00572117">
      <w:pPr>
        <w:jc w:val="both"/>
      </w:pPr>
    </w:p>
    <w:p w14:paraId="2A8D8CF3" w14:textId="575BD70F" w:rsidR="00572117" w:rsidRPr="004E31DC" w:rsidRDefault="00572117" w:rsidP="00E77744">
      <w:pPr>
        <w:jc w:val="both"/>
      </w:pPr>
      <w:r w:rsidRPr="004E31DC">
        <w:t xml:space="preserve">En 2014, </w:t>
      </w:r>
      <w:r w:rsidR="00E27B53" w:rsidRPr="004E31DC">
        <w:t xml:space="preserve">la participación del quintil más alto era de </w:t>
      </w:r>
      <w:r w:rsidRPr="004E31DC">
        <w:t>57.3%</w:t>
      </w:r>
      <w:r w:rsidR="00E27B53" w:rsidRPr="004E31DC">
        <w:t>,</w:t>
      </w:r>
      <w:r w:rsidRPr="004E31DC">
        <w:t xml:space="preserve"> es decir,</w:t>
      </w:r>
      <w:r w:rsidR="00545CCB" w:rsidRPr="004E31DC">
        <w:t xml:space="preserve"> que el 20% más rico de la población </w:t>
      </w:r>
      <w:r w:rsidR="00E27B53" w:rsidRPr="004E31DC">
        <w:t xml:space="preserve">captaba más de la mitad del total de los ingresos. Al comparar con los resultados para años anteriores, se observa que entre 2006 y 2011, hubo un pequeño aumento en la participación del quintil 5, y de 2011 a 2014, hubo una reducción en poco más de tres puntos porcentuales. </w:t>
      </w:r>
      <w:r w:rsidRPr="004E31DC">
        <w:t xml:space="preserve"> </w:t>
      </w:r>
    </w:p>
    <w:p w14:paraId="7EF66AF3" w14:textId="77777777" w:rsidR="00572117" w:rsidRPr="004E31DC" w:rsidRDefault="00572117" w:rsidP="00E77744">
      <w:pPr>
        <w:jc w:val="both"/>
      </w:pPr>
    </w:p>
    <w:p w14:paraId="4865180D" w14:textId="77777777" w:rsidR="00E27B53" w:rsidRPr="004E31DC" w:rsidRDefault="00E27B53" w:rsidP="00E77744">
      <w:pPr>
        <w:jc w:val="both"/>
      </w:pPr>
    </w:p>
    <w:p w14:paraId="020DCF12" w14:textId="51410EAB" w:rsidR="00E27B53" w:rsidRPr="004E31DC" w:rsidRDefault="00E27B53" w:rsidP="00E27B53">
      <w:pPr>
        <w:jc w:val="both"/>
        <w:rPr>
          <w:b/>
        </w:rPr>
      </w:pPr>
      <w:r w:rsidRPr="004E31DC">
        <w:rPr>
          <w:b/>
        </w:rPr>
        <w:t>32.7 Relación de ingresos del quintil más alto y más bajo</w:t>
      </w:r>
      <w:r w:rsidRPr="004E31DC">
        <w:rPr>
          <w:rStyle w:val="FootnoteReference"/>
          <w:b/>
        </w:rPr>
        <w:footnoteReference w:id="5"/>
      </w:r>
    </w:p>
    <w:p w14:paraId="47DC9AF9" w14:textId="616D7BC6" w:rsidR="00E27B53" w:rsidRPr="004E31DC" w:rsidRDefault="00E27B53" w:rsidP="00E27B53">
      <w:pPr>
        <w:jc w:val="both"/>
        <w:rPr>
          <w:color w:val="000000"/>
        </w:rPr>
      </w:pPr>
      <w:r w:rsidRPr="004E31DC">
        <w:rPr>
          <w:color w:val="000000"/>
        </w:rPr>
        <w:t>Razón del quinto y primer quintil de ingresos, a nivel nacional</w:t>
      </w:r>
    </w:p>
    <w:p w14:paraId="7591415C" w14:textId="650D4DF9" w:rsidR="00E27B53" w:rsidRPr="004E31DC" w:rsidRDefault="00E27B53" w:rsidP="00E27B53">
      <w:pPr>
        <w:jc w:val="both"/>
      </w:pPr>
      <w:r w:rsidRPr="004E31DC">
        <w:t xml:space="preserve">Serie histórica por </w:t>
      </w:r>
      <w:proofErr w:type="spellStart"/>
      <w:r w:rsidRPr="004E31DC">
        <w:t>Encovi</w:t>
      </w:r>
      <w:proofErr w:type="spellEnd"/>
    </w:p>
    <w:p w14:paraId="60856E1E" w14:textId="77777777" w:rsidR="00E27B53" w:rsidRPr="004E31DC" w:rsidRDefault="00E27B53" w:rsidP="00E27B53">
      <w:pPr>
        <w:jc w:val="both"/>
      </w:pPr>
    </w:p>
    <w:p w14:paraId="69587859" w14:textId="289EDC99" w:rsidR="00E27B53" w:rsidRPr="004E31DC" w:rsidRDefault="00E27B53" w:rsidP="00E77744">
      <w:pPr>
        <w:jc w:val="both"/>
      </w:pPr>
      <w:r w:rsidRPr="004E31DC">
        <w:t>La relación de ingresos del quintil más rico y el quintil más pobre se obtiene dividiendo la participación del quintil 5 sobre la participación del primer quintil. Para 2014, el quintil de mayores recursos captaba 17.5 veces más ingresos que la quint</w:t>
      </w:r>
      <w:r w:rsidR="00B408E7" w:rsidRPr="004E31DC">
        <w:t>a parte de la población de más escasos recursos. En general, l</w:t>
      </w:r>
      <w:r w:rsidRPr="004E31DC">
        <w:t xml:space="preserve">os resultados muestran una reducción en la relación de los ingresos del quintil más alto y el más bajo, debido al aumento y reducción en la participación del quintil 1 y el 5, respectivamente, de 2006 a 2014. </w:t>
      </w:r>
    </w:p>
    <w:p w14:paraId="42DED3A4" w14:textId="77777777" w:rsidR="0038229B" w:rsidRPr="004E31DC" w:rsidRDefault="0038229B" w:rsidP="00E77744">
      <w:pPr>
        <w:jc w:val="both"/>
      </w:pPr>
    </w:p>
    <w:p w14:paraId="4D495BBE" w14:textId="59A7C538" w:rsidR="0038229B" w:rsidRPr="004E31DC" w:rsidRDefault="0038229B" w:rsidP="0038229B">
      <w:pPr>
        <w:jc w:val="both"/>
        <w:rPr>
          <w:b/>
        </w:rPr>
      </w:pPr>
      <w:r w:rsidRPr="004E31DC">
        <w:rPr>
          <w:b/>
        </w:rPr>
        <w:t xml:space="preserve">32.8 Desigualdad en los departamentos según el coeficiente de </w:t>
      </w:r>
      <w:proofErr w:type="spellStart"/>
      <w:r w:rsidRPr="004E31DC">
        <w:rPr>
          <w:b/>
        </w:rPr>
        <w:t>Gini</w:t>
      </w:r>
      <w:proofErr w:type="spellEnd"/>
    </w:p>
    <w:p w14:paraId="125156B4" w14:textId="1445C96B" w:rsidR="0038229B" w:rsidRPr="004E31DC" w:rsidRDefault="0038229B" w:rsidP="0038229B">
      <w:pPr>
        <w:jc w:val="both"/>
      </w:pPr>
      <w:r w:rsidRPr="004E31DC">
        <w:t xml:space="preserve">Coeficiente de </w:t>
      </w:r>
      <w:proofErr w:type="spellStart"/>
      <w:r w:rsidRPr="004E31DC">
        <w:t>Gini</w:t>
      </w:r>
      <w:proofErr w:type="spellEnd"/>
      <w:r w:rsidRPr="004E31DC">
        <w:t xml:space="preserve"> por departamento</w:t>
      </w:r>
    </w:p>
    <w:p w14:paraId="5577E03A" w14:textId="77777777" w:rsidR="0038229B" w:rsidRPr="004E31DC" w:rsidRDefault="0038229B" w:rsidP="0038229B">
      <w:pPr>
        <w:jc w:val="both"/>
      </w:pPr>
      <w:r w:rsidRPr="004E31DC">
        <w:t xml:space="preserve">Serie histórica por </w:t>
      </w:r>
      <w:proofErr w:type="spellStart"/>
      <w:r w:rsidRPr="004E31DC">
        <w:t>Encovi</w:t>
      </w:r>
      <w:proofErr w:type="spellEnd"/>
    </w:p>
    <w:p w14:paraId="796A10BE" w14:textId="77777777" w:rsidR="0038229B" w:rsidRPr="004E31DC" w:rsidRDefault="0038229B" w:rsidP="00E77744">
      <w:pPr>
        <w:jc w:val="both"/>
      </w:pPr>
    </w:p>
    <w:p w14:paraId="4172EBE5" w14:textId="274AE118" w:rsidR="00141536" w:rsidRPr="004E31DC" w:rsidRDefault="00141536" w:rsidP="00E77744">
      <w:pPr>
        <w:jc w:val="both"/>
      </w:pPr>
      <w:r w:rsidRPr="004E31DC">
        <w:t xml:space="preserve">Al desagregar por departamento, se observa mayor desigualdad, medida por el coeficiente de </w:t>
      </w:r>
      <w:proofErr w:type="spellStart"/>
      <w:r w:rsidRPr="004E31DC">
        <w:t>Gini</w:t>
      </w:r>
      <w:proofErr w:type="spellEnd"/>
      <w:r w:rsidRPr="004E31DC">
        <w:t xml:space="preserve">, en los departamentos de San Marcos, 0.612, Jalapa, 0.580 y Quetzaltenango, 0.578. El coeficiente de </w:t>
      </w:r>
      <w:proofErr w:type="spellStart"/>
      <w:r w:rsidRPr="004E31DC">
        <w:t>Gini</w:t>
      </w:r>
      <w:proofErr w:type="spellEnd"/>
      <w:r w:rsidRPr="004E31DC">
        <w:t xml:space="preserve"> para el departamento de Guatemala era de 0.469, los departamentos con menor coeficiente de </w:t>
      </w:r>
      <w:proofErr w:type="spellStart"/>
      <w:r w:rsidRPr="004E31DC">
        <w:t>Gini</w:t>
      </w:r>
      <w:proofErr w:type="spellEnd"/>
      <w:r w:rsidRPr="004E31DC">
        <w:t xml:space="preserve"> son</w:t>
      </w:r>
      <w:r w:rsidR="00E57F28" w:rsidRPr="004E31DC">
        <w:t xml:space="preserve"> Sololá con 0.394, </w:t>
      </w:r>
      <w:r w:rsidRPr="004E31DC">
        <w:t xml:space="preserve"> </w:t>
      </w:r>
      <w:r w:rsidR="00E57F28" w:rsidRPr="004E31DC">
        <w:t>El Progreso con 0.421 y Escuintla con 0.424</w:t>
      </w:r>
      <w:r w:rsidRPr="004E31DC">
        <w:t>.</w:t>
      </w:r>
    </w:p>
    <w:p w14:paraId="09973A3D" w14:textId="77777777" w:rsidR="00141536" w:rsidRPr="004E31DC" w:rsidRDefault="00141536" w:rsidP="00E77744">
      <w:pPr>
        <w:jc w:val="both"/>
      </w:pPr>
    </w:p>
    <w:p w14:paraId="4121D190" w14:textId="77777777" w:rsidR="00141536" w:rsidRPr="004E31DC" w:rsidRDefault="00141536" w:rsidP="00E77744">
      <w:pPr>
        <w:jc w:val="both"/>
      </w:pPr>
    </w:p>
    <w:p w14:paraId="7E14785B" w14:textId="147F81FA" w:rsidR="00E57F28" w:rsidRPr="004E31DC" w:rsidRDefault="00E57F28" w:rsidP="00E57F28">
      <w:pPr>
        <w:jc w:val="both"/>
        <w:rPr>
          <w:b/>
        </w:rPr>
      </w:pPr>
      <w:r w:rsidRPr="004E31DC">
        <w:rPr>
          <w:b/>
        </w:rPr>
        <w:t>32.9</w:t>
      </w:r>
      <w:r w:rsidR="00141536" w:rsidRPr="004E31DC">
        <w:rPr>
          <w:b/>
        </w:rPr>
        <w:t xml:space="preserve"> Desigualdad en los departamentos según el </w:t>
      </w:r>
      <w:r w:rsidRPr="004E31DC">
        <w:rPr>
          <w:b/>
        </w:rPr>
        <w:t xml:space="preserve">índice de </w:t>
      </w:r>
      <w:proofErr w:type="spellStart"/>
      <w:r w:rsidRPr="004E31DC">
        <w:rPr>
          <w:b/>
        </w:rPr>
        <w:t>Atkinson</w:t>
      </w:r>
      <w:proofErr w:type="spellEnd"/>
      <w:r w:rsidR="00141536" w:rsidRPr="004E31DC">
        <w:rPr>
          <w:b/>
        </w:rPr>
        <w:t xml:space="preserve"> </w:t>
      </w:r>
      <w:r w:rsidRPr="004E31DC">
        <w:rPr>
          <w:b/>
        </w:rPr>
        <w:t xml:space="preserve">con </w:t>
      </w:r>
      <m:oMath>
        <m:r>
          <m:rPr>
            <m:sty m:val="bi"/>
          </m:rPr>
          <w:rPr>
            <w:rFonts w:ascii="Cambria Math" w:hAnsi="Cambria Math"/>
          </w:rPr>
          <m:t>ε=1</m:t>
        </m:r>
      </m:oMath>
    </w:p>
    <w:p w14:paraId="725A4466" w14:textId="69622F35" w:rsidR="00E57F28" w:rsidRPr="004E31DC" w:rsidRDefault="00E57F28" w:rsidP="00E57F28">
      <w:pPr>
        <w:jc w:val="both"/>
      </w:pPr>
      <w:r w:rsidRPr="004E31DC">
        <w:t xml:space="preserve">Índice de </w:t>
      </w:r>
      <w:proofErr w:type="spellStart"/>
      <w:r w:rsidRPr="004E31DC">
        <w:t>Atkinson</w:t>
      </w:r>
      <w:proofErr w:type="spellEnd"/>
      <w:r w:rsidRPr="004E31DC">
        <w:t xml:space="preserve"> por departamento, para </w:t>
      </w:r>
      <m:oMath>
        <m:r>
          <w:rPr>
            <w:rFonts w:ascii="Cambria Math" w:hAnsi="Cambria Math"/>
          </w:rPr>
          <m:t>ε=1</m:t>
        </m:r>
      </m:oMath>
    </w:p>
    <w:p w14:paraId="0BFEFB50" w14:textId="77777777" w:rsidR="00E57F28" w:rsidRPr="004E31DC" w:rsidRDefault="00E57F28" w:rsidP="00E57F28">
      <w:pPr>
        <w:jc w:val="both"/>
      </w:pPr>
      <w:r w:rsidRPr="004E31DC">
        <w:t xml:space="preserve">Serie histórica por </w:t>
      </w:r>
      <w:proofErr w:type="spellStart"/>
      <w:r w:rsidRPr="004E31DC">
        <w:t>Encovi</w:t>
      </w:r>
      <w:proofErr w:type="spellEnd"/>
    </w:p>
    <w:p w14:paraId="5835DA97" w14:textId="77777777" w:rsidR="00E57F28" w:rsidRPr="004E31DC" w:rsidRDefault="00E57F28" w:rsidP="00E77744">
      <w:pPr>
        <w:jc w:val="both"/>
      </w:pPr>
    </w:p>
    <w:p w14:paraId="544CB9B4" w14:textId="522A4DA5" w:rsidR="0038229B" w:rsidRPr="004E31DC" w:rsidRDefault="00E57F28" w:rsidP="00E77744">
      <w:pPr>
        <w:jc w:val="both"/>
      </w:pPr>
      <w:r w:rsidRPr="004E31DC">
        <w:t xml:space="preserve">Los departamentos que muestran mayor desigualdad según el índice de </w:t>
      </w:r>
      <w:proofErr w:type="spellStart"/>
      <w:r w:rsidRPr="004E31DC">
        <w:t>Atkinson</w:t>
      </w:r>
      <w:proofErr w:type="spellEnd"/>
      <w:r w:rsidRPr="004E31DC">
        <w:t xml:space="preserve"> con </w:t>
      </w:r>
      <w:r w:rsidR="00141536" w:rsidRPr="004E31DC">
        <w:t xml:space="preserve"> </w:t>
      </w:r>
      <m:oMath>
        <m:r>
          <w:rPr>
            <w:rFonts w:ascii="Cambria Math" w:hAnsi="Cambria Math"/>
          </w:rPr>
          <m:t>ε=1</m:t>
        </m:r>
      </m:oMath>
      <w:r w:rsidRPr="004E31DC">
        <w:t xml:space="preserve">, son los departamentos de San Marcos, Jalapa y </w:t>
      </w:r>
      <w:proofErr w:type="spellStart"/>
      <w:r w:rsidRPr="004E31DC">
        <w:t>Quetzaltenago</w:t>
      </w:r>
      <w:proofErr w:type="spellEnd"/>
      <w:r w:rsidRPr="004E31DC">
        <w:t xml:space="preserve">, que coinciden con los departamentos que mostraron mayor desigualdad medida a través del coeficiente de </w:t>
      </w:r>
      <w:proofErr w:type="spellStart"/>
      <w:r w:rsidRPr="004E31DC">
        <w:t>Gini</w:t>
      </w:r>
      <w:proofErr w:type="spellEnd"/>
      <w:r w:rsidRPr="004E31DC">
        <w:t xml:space="preserve">. Así mismo, los departamentos que muestran menor desigualdad, medida a través de este índice, son Sololá, Escuintla y El progreso, con 0.237, 0.265 y 0.267, respectivamente. </w:t>
      </w:r>
    </w:p>
    <w:p w14:paraId="58BDA344" w14:textId="77777777" w:rsidR="00F13E52" w:rsidRPr="004E31DC" w:rsidRDefault="00F13E52" w:rsidP="00E77744">
      <w:pPr>
        <w:jc w:val="both"/>
      </w:pPr>
    </w:p>
    <w:p w14:paraId="4B362F9E" w14:textId="77777777" w:rsidR="0003181A" w:rsidRPr="004E31DC" w:rsidRDefault="0003181A" w:rsidP="00E77744">
      <w:pPr>
        <w:jc w:val="both"/>
      </w:pPr>
    </w:p>
    <w:p w14:paraId="2A99D343" w14:textId="219E695A" w:rsidR="00F13E52" w:rsidRPr="004E31DC" w:rsidRDefault="00F13E52" w:rsidP="00F13E52">
      <w:pPr>
        <w:jc w:val="both"/>
        <w:rPr>
          <w:b/>
        </w:rPr>
      </w:pPr>
      <w:r w:rsidRPr="004E31DC">
        <w:rPr>
          <w:b/>
        </w:rPr>
        <w:t xml:space="preserve">32.10 Desigualdad en los departamentos según el índice de </w:t>
      </w:r>
      <w:proofErr w:type="spellStart"/>
      <w:r w:rsidRPr="004E31DC">
        <w:rPr>
          <w:b/>
        </w:rPr>
        <w:t>Atkinson</w:t>
      </w:r>
      <w:proofErr w:type="spellEnd"/>
      <w:r w:rsidRPr="004E31DC">
        <w:rPr>
          <w:b/>
        </w:rPr>
        <w:t xml:space="preserve"> con </w:t>
      </w:r>
      <m:oMath>
        <m:r>
          <m:rPr>
            <m:sty m:val="bi"/>
          </m:rPr>
          <w:rPr>
            <w:rFonts w:ascii="Cambria Math" w:hAnsi="Cambria Math"/>
          </w:rPr>
          <m:t>ε=2</m:t>
        </m:r>
      </m:oMath>
    </w:p>
    <w:p w14:paraId="6A4A82A3" w14:textId="0B8D11C2" w:rsidR="00F13E52" w:rsidRPr="004E31DC" w:rsidRDefault="00F13E52" w:rsidP="00F13E52">
      <w:pPr>
        <w:jc w:val="both"/>
      </w:pPr>
      <w:r w:rsidRPr="004E31DC">
        <w:t xml:space="preserve">Índice de </w:t>
      </w:r>
      <w:proofErr w:type="spellStart"/>
      <w:r w:rsidRPr="004E31DC">
        <w:t>Atkinson</w:t>
      </w:r>
      <w:proofErr w:type="spellEnd"/>
      <w:r w:rsidRPr="004E31DC">
        <w:t xml:space="preserve"> por departamento, para </w:t>
      </w:r>
      <m:oMath>
        <m:r>
          <w:rPr>
            <w:rFonts w:ascii="Cambria Math" w:hAnsi="Cambria Math"/>
          </w:rPr>
          <m:t>ε=2</m:t>
        </m:r>
      </m:oMath>
    </w:p>
    <w:p w14:paraId="47828420" w14:textId="77777777" w:rsidR="00F13E52" w:rsidRPr="004E31DC" w:rsidRDefault="00F13E52" w:rsidP="00F13E52">
      <w:pPr>
        <w:jc w:val="both"/>
      </w:pPr>
      <w:r w:rsidRPr="004E31DC">
        <w:t xml:space="preserve">Serie histórica por </w:t>
      </w:r>
      <w:proofErr w:type="spellStart"/>
      <w:r w:rsidRPr="004E31DC">
        <w:t>Encovi</w:t>
      </w:r>
      <w:proofErr w:type="spellEnd"/>
    </w:p>
    <w:p w14:paraId="7513A274" w14:textId="77777777" w:rsidR="00F13E52" w:rsidRPr="004E31DC" w:rsidRDefault="00F13E52" w:rsidP="00F13E52">
      <w:pPr>
        <w:jc w:val="both"/>
      </w:pPr>
    </w:p>
    <w:p w14:paraId="0D4C2C63" w14:textId="34C48AF9" w:rsidR="00F13E52" w:rsidRPr="004E31DC" w:rsidRDefault="00F13E52" w:rsidP="00F13E52">
      <w:pPr>
        <w:jc w:val="both"/>
      </w:pPr>
      <w:r w:rsidRPr="004E31DC">
        <w:t xml:space="preserve">Al aumentar el parámetro de aversión a la desigualdad, donde se pone mayor énfasis al extremo inferior de la distribución, las tendencias que se venían observando se modifican. El departamento de San Marcos, sigue mostrando el mayor nivel desigualdad, no obstante, se observa cómo aumenta el índice de </w:t>
      </w:r>
      <w:proofErr w:type="spellStart"/>
      <w:r w:rsidRPr="004E31DC">
        <w:t>Atkinson</w:t>
      </w:r>
      <w:proofErr w:type="spellEnd"/>
      <w:r w:rsidRPr="004E31DC">
        <w:t xml:space="preserve"> para otros departamentos, como Totonicapán.  El departamento de Sololá, Escuintla y El Progreso, muestran los niveles de desigualdad más bajos.</w:t>
      </w:r>
    </w:p>
    <w:p w14:paraId="731454F3" w14:textId="77777777" w:rsidR="00F13E52" w:rsidRPr="004E31DC" w:rsidRDefault="00F13E52" w:rsidP="00F13E52">
      <w:pPr>
        <w:jc w:val="both"/>
      </w:pPr>
    </w:p>
    <w:p w14:paraId="7150FE3C" w14:textId="77777777" w:rsidR="0003181A" w:rsidRPr="004E31DC" w:rsidRDefault="0003181A" w:rsidP="00F13E52">
      <w:pPr>
        <w:jc w:val="both"/>
      </w:pPr>
    </w:p>
    <w:p w14:paraId="05947F09" w14:textId="556B0E46" w:rsidR="0003181A" w:rsidRPr="004E31DC" w:rsidRDefault="0003181A" w:rsidP="0003181A">
      <w:pPr>
        <w:jc w:val="both"/>
        <w:rPr>
          <w:b/>
        </w:rPr>
      </w:pPr>
      <w:r w:rsidRPr="004E31DC">
        <w:rPr>
          <w:b/>
        </w:rPr>
        <w:t xml:space="preserve">32.11 Desigualdad en los departamentos según el índice de </w:t>
      </w:r>
      <w:proofErr w:type="spellStart"/>
      <w:r w:rsidRPr="004E31DC">
        <w:rPr>
          <w:b/>
        </w:rPr>
        <w:t>Theil</w:t>
      </w:r>
      <w:proofErr w:type="spellEnd"/>
    </w:p>
    <w:p w14:paraId="2CDA331E" w14:textId="070F7D9B" w:rsidR="0003181A" w:rsidRPr="004E31DC" w:rsidRDefault="0003181A" w:rsidP="0003181A">
      <w:pPr>
        <w:jc w:val="both"/>
      </w:pPr>
      <w:r w:rsidRPr="004E31DC">
        <w:t xml:space="preserve">Índice de </w:t>
      </w:r>
      <w:proofErr w:type="spellStart"/>
      <w:r w:rsidRPr="004E31DC">
        <w:t>Theil</w:t>
      </w:r>
      <w:proofErr w:type="spellEnd"/>
      <w:r w:rsidRPr="004E31DC">
        <w:t xml:space="preserve"> por departamento</w:t>
      </w:r>
    </w:p>
    <w:p w14:paraId="49E7DE3D" w14:textId="77777777" w:rsidR="0003181A" w:rsidRPr="004E31DC" w:rsidRDefault="0003181A" w:rsidP="0003181A">
      <w:pPr>
        <w:jc w:val="both"/>
      </w:pPr>
      <w:r w:rsidRPr="004E31DC">
        <w:t xml:space="preserve">Serie histórica por </w:t>
      </w:r>
      <w:proofErr w:type="spellStart"/>
      <w:r w:rsidRPr="004E31DC">
        <w:t>Encovi</w:t>
      </w:r>
      <w:proofErr w:type="spellEnd"/>
    </w:p>
    <w:p w14:paraId="5F45A9EB" w14:textId="77777777" w:rsidR="0003181A" w:rsidRPr="004E31DC" w:rsidRDefault="0003181A" w:rsidP="0003181A">
      <w:pPr>
        <w:jc w:val="both"/>
      </w:pPr>
    </w:p>
    <w:p w14:paraId="1C98F5B3" w14:textId="38A1E421" w:rsidR="0003181A" w:rsidRPr="004E31DC" w:rsidRDefault="00654428" w:rsidP="00CF50E5">
      <w:pPr>
        <w:jc w:val="both"/>
      </w:pPr>
      <w:r w:rsidRPr="004E31DC">
        <w:t xml:space="preserve">El departamento de San Marcos muestra el mayor nivel de desigualdad, medida a través del índice </w:t>
      </w:r>
      <w:proofErr w:type="spellStart"/>
      <w:r w:rsidRPr="004E31DC">
        <w:t>Theil</w:t>
      </w:r>
      <w:proofErr w:type="spellEnd"/>
      <w:r w:rsidRPr="004E31DC">
        <w:t xml:space="preserve">, al igual que para el resto de las estimaciones anteriores.  Le sigue el departamento de Quetzaltenango con 0.764 y Jalapa, con 0.755. Los niveles de desigualdad más bajos, se observan en los departamentos de Baja Verapaz y El Progreso, con 0.299 ambos departamentos, y Sololá con un índice de </w:t>
      </w:r>
      <w:proofErr w:type="spellStart"/>
      <w:r w:rsidRPr="004E31DC">
        <w:t>Theil</w:t>
      </w:r>
      <w:proofErr w:type="spellEnd"/>
      <w:r w:rsidRPr="004E31DC">
        <w:t xml:space="preserve"> de 0.276.</w:t>
      </w:r>
    </w:p>
    <w:p w14:paraId="0486D873" w14:textId="77777777" w:rsidR="0003181A" w:rsidRPr="004E31DC" w:rsidRDefault="0003181A" w:rsidP="00CF50E5">
      <w:pPr>
        <w:jc w:val="both"/>
        <w:rPr>
          <w:b/>
        </w:rPr>
      </w:pPr>
    </w:p>
    <w:p w14:paraId="170AB0AC" w14:textId="77777777" w:rsidR="00167D0C" w:rsidRPr="004E31DC" w:rsidRDefault="00167D0C" w:rsidP="00CF50E5">
      <w:pPr>
        <w:jc w:val="both"/>
        <w:rPr>
          <w:b/>
        </w:rPr>
      </w:pPr>
    </w:p>
    <w:p w14:paraId="7E2D4AC1" w14:textId="77777777" w:rsidR="00F13E52" w:rsidRPr="00F13E52" w:rsidRDefault="00F13E52" w:rsidP="00E77744">
      <w:pPr>
        <w:jc w:val="both"/>
        <w:rPr>
          <w:b/>
        </w:rPr>
      </w:pPr>
    </w:p>
    <w:sectPr w:rsidR="00F13E52" w:rsidRPr="00F13E52" w:rsidSect="009B446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5F912" w14:textId="77777777" w:rsidR="00BF7DF0" w:rsidRDefault="00BF7DF0" w:rsidP="006A37C4">
      <w:r>
        <w:separator/>
      </w:r>
    </w:p>
  </w:endnote>
  <w:endnote w:type="continuationSeparator" w:id="0">
    <w:p w14:paraId="54D1B2BC" w14:textId="77777777" w:rsidR="00BF7DF0" w:rsidRDefault="00BF7DF0" w:rsidP="006A3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287" w:usb1="000008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8A05E" w14:textId="77777777" w:rsidR="00BF7DF0" w:rsidRDefault="00BF7DF0" w:rsidP="006A37C4">
      <w:r>
        <w:separator/>
      </w:r>
    </w:p>
  </w:footnote>
  <w:footnote w:type="continuationSeparator" w:id="0">
    <w:p w14:paraId="6052FCB1" w14:textId="77777777" w:rsidR="00BF7DF0" w:rsidRDefault="00BF7DF0" w:rsidP="006A37C4">
      <w:r>
        <w:continuationSeparator/>
      </w:r>
    </w:p>
  </w:footnote>
  <w:footnote w:id="1">
    <w:p w14:paraId="11E135D7" w14:textId="68A4660C" w:rsidR="00BF7DF0" w:rsidRPr="00CF08AE" w:rsidRDefault="00BF7DF0" w:rsidP="00CF08AE">
      <w:pPr>
        <w:pStyle w:val="FootnoteText"/>
        <w:spacing w:line="276" w:lineRule="auto"/>
        <w:jc w:val="both"/>
        <w:rPr>
          <w:lang w:val="en-US"/>
        </w:rPr>
      </w:pPr>
      <w:r w:rsidRPr="00CF08AE">
        <w:rPr>
          <w:rStyle w:val="FootnoteReference"/>
          <w:sz w:val="20"/>
        </w:rPr>
        <w:footnoteRef/>
      </w:r>
      <w:r w:rsidRPr="00CF08AE">
        <w:rPr>
          <w:sz w:val="20"/>
        </w:rPr>
        <w:t xml:space="preserve"> </w:t>
      </w:r>
      <w:r w:rsidRPr="00CF08AE">
        <w:rPr>
          <w:sz w:val="20"/>
          <w:lang w:val="es-GT"/>
        </w:rPr>
        <w:t>Para 2011 y 2014 no se incluyó la pregunta de la sección b. Otros ingresos diferentes a los declarados durante los últimos 12 meses, del capítulo XI de Otros ingresos que no está incluida en la boleta de 2006.</w:t>
      </w:r>
    </w:p>
  </w:footnote>
  <w:footnote w:id="2">
    <w:p w14:paraId="64361CA6" w14:textId="00AE47F9" w:rsidR="00BF7DF0" w:rsidRPr="006A37C4" w:rsidRDefault="00BF7DF0" w:rsidP="006A37C4">
      <w:pPr>
        <w:pStyle w:val="FootnoteText"/>
        <w:spacing w:line="276" w:lineRule="auto"/>
        <w:jc w:val="both"/>
        <w:rPr>
          <w:lang w:val="en-US"/>
        </w:rPr>
      </w:pPr>
      <w:r w:rsidRPr="006A37C4">
        <w:rPr>
          <w:rStyle w:val="FootnoteReference"/>
          <w:sz w:val="20"/>
        </w:rPr>
        <w:footnoteRef/>
      </w:r>
      <w:r w:rsidRPr="006A37C4">
        <w:rPr>
          <w:sz w:val="20"/>
        </w:rPr>
        <w:t xml:space="preserve"> </w:t>
      </w:r>
      <w:r>
        <w:rPr>
          <w:sz w:val="20"/>
          <w:lang w:val="en-US"/>
        </w:rPr>
        <w:t xml:space="preserve">Para </w:t>
      </w:r>
      <w:proofErr w:type="spellStart"/>
      <w:r>
        <w:rPr>
          <w:sz w:val="20"/>
          <w:lang w:val="en-US"/>
        </w:rPr>
        <w:t>poder</w:t>
      </w:r>
      <w:proofErr w:type="spellEnd"/>
      <w:r>
        <w:rPr>
          <w:sz w:val="20"/>
          <w:lang w:val="en-US"/>
        </w:rPr>
        <w:t xml:space="preserve"> </w:t>
      </w:r>
      <w:proofErr w:type="spellStart"/>
      <w:r>
        <w:rPr>
          <w:sz w:val="20"/>
          <w:lang w:val="en-US"/>
        </w:rPr>
        <w:t>hacer</w:t>
      </w:r>
      <w:proofErr w:type="spellEnd"/>
      <w:r>
        <w:rPr>
          <w:sz w:val="20"/>
          <w:lang w:val="en-US"/>
        </w:rPr>
        <w:t xml:space="preserve"> </w:t>
      </w:r>
      <w:proofErr w:type="spellStart"/>
      <w:r>
        <w:rPr>
          <w:sz w:val="20"/>
          <w:lang w:val="en-US"/>
        </w:rPr>
        <w:t>las</w:t>
      </w:r>
      <w:proofErr w:type="spellEnd"/>
      <w:r>
        <w:rPr>
          <w:sz w:val="20"/>
          <w:lang w:val="en-US"/>
        </w:rPr>
        <w:t xml:space="preserve"> </w:t>
      </w:r>
      <w:proofErr w:type="spellStart"/>
      <w:r>
        <w:rPr>
          <w:sz w:val="20"/>
          <w:lang w:val="en-US"/>
        </w:rPr>
        <w:t>comparaciones</w:t>
      </w:r>
      <w:proofErr w:type="spellEnd"/>
      <w:r>
        <w:rPr>
          <w:sz w:val="20"/>
          <w:lang w:val="en-US"/>
        </w:rPr>
        <w:t xml:space="preserve"> de </w:t>
      </w:r>
      <w:proofErr w:type="spellStart"/>
      <w:r>
        <w:rPr>
          <w:sz w:val="20"/>
          <w:lang w:val="en-US"/>
        </w:rPr>
        <w:t>desigualdad</w:t>
      </w:r>
      <w:proofErr w:type="spellEnd"/>
      <w:r>
        <w:rPr>
          <w:sz w:val="20"/>
          <w:lang w:val="en-US"/>
        </w:rPr>
        <w:t xml:space="preserve">, </w:t>
      </w:r>
      <w:proofErr w:type="spellStart"/>
      <w:r>
        <w:rPr>
          <w:sz w:val="20"/>
          <w:lang w:val="en-US"/>
        </w:rPr>
        <w:t>es</w:t>
      </w:r>
      <w:proofErr w:type="spellEnd"/>
      <w:r>
        <w:rPr>
          <w:sz w:val="20"/>
          <w:lang w:val="en-US"/>
        </w:rPr>
        <w:t xml:space="preserve"> </w:t>
      </w:r>
      <w:proofErr w:type="spellStart"/>
      <w:r>
        <w:rPr>
          <w:sz w:val="20"/>
          <w:lang w:val="en-US"/>
        </w:rPr>
        <w:t>importante</w:t>
      </w:r>
      <w:proofErr w:type="spellEnd"/>
      <w:r>
        <w:rPr>
          <w:sz w:val="20"/>
          <w:lang w:val="en-US"/>
        </w:rPr>
        <w:t xml:space="preserve"> </w:t>
      </w:r>
      <w:proofErr w:type="spellStart"/>
      <w:r>
        <w:rPr>
          <w:sz w:val="20"/>
          <w:lang w:val="en-US"/>
        </w:rPr>
        <w:t>que</w:t>
      </w:r>
      <w:proofErr w:type="spellEnd"/>
      <w:r>
        <w:rPr>
          <w:sz w:val="20"/>
          <w:lang w:val="en-US"/>
        </w:rPr>
        <w:t xml:space="preserve"> </w:t>
      </w:r>
      <w:proofErr w:type="spellStart"/>
      <w:r>
        <w:rPr>
          <w:sz w:val="20"/>
          <w:lang w:val="en-US"/>
        </w:rPr>
        <w:t>las</w:t>
      </w:r>
      <w:proofErr w:type="spellEnd"/>
      <w:r>
        <w:rPr>
          <w:sz w:val="20"/>
          <w:lang w:val="en-US"/>
        </w:rPr>
        <w:t xml:space="preserve"> </w:t>
      </w:r>
      <w:proofErr w:type="spellStart"/>
      <w:r>
        <w:rPr>
          <w:sz w:val="20"/>
          <w:lang w:val="en-US"/>
        </w:rPr>
        <w:t>estimaciones</w:t>
      </w:r>
      <w:proofErr w:type="spellEnd"/>
      <w:r>
        <w:rPr>
          <w:sz w:val="20"/>
          <w:lang w:val="en-US"/>
        </w:rPr>
        <w:t xml:space="preserve"> de </w:t>
      </w:r>
      <w:proofErr w:type="spellStart"/>
      <w:r>
        <w:rPr>
          <w:sz w:val="20"/>
          <w:lang w:val="en-US"/>
        </w:rPr>
        <w:t>ingreso</w:t>
      </w:r>
      <w:proofErr w:type="spellEnd"/>
      <w:r>
        <w:rPr>
          <w:sz w:val="20"/>
          <w:lang w:val="en-US"/>
        </w:rPr>
        <w:t xml:space="preserve"> </w:t>
      </w:r>
      <w:proofErr w:type="spellStart"/>
      <w:proofErr w:type="gramStart"/>
      <w:r>
        <w:rPr>
          <w:sz w:val="20"/>
          <w:lang w:val="en-US"/>
        </w:rPr>
        <w:t>sean</w:t>
      </w:r>
      <w:proofErr w:type="spellEnd"/>
      <w:proofErr w:type="gramEnd"/>
      <w:r>
        <w:rPr>
          <w:sz w:val="20"/>
          <w:lang w:val="en-US"/>
        </w:rPr>
        <w:t xml:space="preserve"> </w:t>
      </w:r>
      <w:proofErr w:type="spellStart"/>
      <w:r>
        <w:rPr>
          <w:sz w:val="20"/>
          <w:lang w:val="en-US"/>
        </w:rPr>
        <w:t>comparables</w:t>
      </w:r>
      <w:proofErr w:type="spellEnd"/>
      <w:r>
        <w:rPr>
          <w:sz w:val="20"/>
          <w:lang w:val="en-US"/>
        </w:rPr>
        <w:t xml:space="preserve"> </w:t>
      </w:r>
      <w:proofErr w:type="spellStart"/>
      <w:r>
        <w:rPr>
          <w:sz w:val="20"/>
          <w:lang w:val="en-US"/>
        </w:rPr>
        <w:t>para</w:t>
      </w:r>
      <w:proofErr w:type="spellEnd"/>
      <w:r>
        <w:rPr>
          <w:sz w:val="20"/>
          <w:lang w:val="en-US"/>
        </w:rPr>
        <w:t xml:space="preserve"> </w:t>
      </w:r>
      <w:proofErr w:type="spellStart"/>
      <w:r>
        <w:rPr>
          <w:sz w:val="20"/>
          <w:lang w:val="en-US"/>
        </w:rPr>
        <w:t>todas</w:t>
      </w:r>
      <w:proofErr w:type="spellEnd"/>
      <w:r>
        <w:rPr>
          <w:sz w:val="20"/>
          <w:lang w:val="en-US"/>
        </w:rPr>
        <w:t xml:space="preserve"> </w:t>
      </w:r>
      <w:proofErr w:type="spellStart"/>
      <w:r>
        <w:rPr>
          <w:sz w:val="20"/>
          <w:lang w:val="en-US"/>
        </w:rPr>
        <w:t>las</w:t>
      </w:r>
      <w:proofErr w:type="spellEnd"/>
      <w:r>
        <w:rPr>
          <w:sz w:val="20"/>
          <w:lang w:val="en-US"/>
        </w:rPr>
        <w:t xml:space="preserve"> </w:t>
      </w:r>
      <w:proofErr w:type="spellStart"/>
      <w:r>
        <w:rPr>
          <w:sz w:val="20"/>
          <w:lang w:val="en-US"/>
        </w:rPr>
        <w:t>encuestas</w:t>
      </w:r>
      <w:proofErr w:type="spellEnd"/>
      <w:r>
        <w:rPr>
          <w:sz w:val="20"/>
          <w:lang w:val="en-US"/>
        </w:rPr>
        <w:t xml:space="preserve">. </w:t>
      </w:r>
      <w:proofErr w:type="spellStart"/>
      <w:r>
        <w:rPr>
          <w:sz w:val="20"/>
          <w:lang w:val="en-US"/>
        </w:rPr>
        <w:t>Por</w:t>
      </w:r>
      <w:proofErr w:type="spellEnd"/>
      <w:r>
        <w:rPr>
          <w:sz w:val="20"/>
          <w:lang w:val="en-US"/>
        </w:rPr>
        <w:t xml:space="preserve"> lo </w:t>
      </w:r>
      <w:proofErr w:type="spellStart"/>
      <w:r>
        <w:rPr>
          <w:sz w:val="20"/>
          <w:lang w:val="en-US"/>
        </w:rPr>
        <w:t>tanto</w:t>
      </w:r>
      <w:proofErr w:type="spellEnd"/>
      <w:r>
        <w:rPr>
          <w:sz w:val="20"/>
          <w:lang w:val="en-US"/>
        </w:rPr>
        <w:t xml:space="preserve">, </w:t>
      </w:r>
      <w:proofErr w:type="spellStart"/>
      <w:r>
        <w:rPr>
          <w:sz w:val="20"/>
          <w:lang w:val="en-US"/>
        </w:rPr>
        <w:t>aunque</w:t>
      </w:r>
      <w:proofErr w:type="spellEnd"/>
      <w:r>
        <w:rPr>
          <w:sz w:val="20"/>
          <w:lang w:val="en-US"/>
        </w:rPr>
        <w:t xml:space="preserve"> se </w:t>
      </w:r>
      <w:proofErr w:type="spellStart"/>
      <w:r>
        <w:rPr>
          <w:sz w:val="20"/>
          <w:lang w:val="en-US"/>
        </w:rPr>
        <w:t>incluyan</w:t>
      </w:r>
      <w:proofErr w:type="spellEnd"/>
      <w:r>
        <w:rPr>
          <w:sz w:val="20"/>
          <w:lang w:val="en-US"/>
        </w:rPr>
        <w:t xml:space="preserve"> </w:t>
      </w:r>
      <w:proofErr w:type="spellStart"/>
      <w:r>
        <w:rPr>
          <w:sz w:val="20"/>
          <w:lang w:val="en-US"/>
        </w:rPr>
        <w:t>las</w:t>
      </w:r>
      <w:proofErr w:type="spellEnd"/>
      <w:r>
        <w:rPr>
          <w:sz w:val="20"/>
          <w:lang w:val="en-US"/>
        </w:rPr>
        <w:t xml:space="preserve"> </w:t>
      </w:r>
      <w:proofErr w:type="spellStart"/>
      <w:r>
        <w:rPr>
          <w:sz w:val="20"/>
          <w:lang w:val="en-US"/>
        </w:rPr>
        <w:t>estimaciones</w:t>
      </w:r>
      <w:proofErr w:type="spellEnd"/>
      <w:r>
        <w:rPr>
          <w:sz w:val="20"/>
          <w:lang w:val="en-US"/>
        </w:rPr>
        <w:t xml:space="preserve"> de </w:t>
      </w:r>
      <w:proofErr w:type="spellStart"/>
      <w:r>
        <w:rPr>
          <w:sz w:val="20"/>
          <w:lang w:val="en-US"/>
        </w:rPr>
        <w:t>desigualdad</w:t>
      </w:r>
      <w:proofErr w:type="spellEnd"/>
      <w:r>
        <w:rPr>
          <w:sz w:val="20"/>
          <w:lang w:val="en-US"/>
        </w:rPr>
        <w:t xml:space="preserve"> </w:t>
      </w:r>
      <w:proofErr w:type="spellStart"/>
      <w:r>
        <w:rPr>
          <w:sz w:val="20"/>
          <w:lang w:val="en-US"/>
        </w:rPr>
        <w:t>para</w:t>
      </w:r>
      <w:proofErr w:type="spellEnd"/>
      <w:r>
        <w:rPr>
          <w:sz w:val="20"/>
          <w:lang w:val="en-US"/>
        </w:rPr>
        <w:t xml:space="preserve"> el </w:t>
      </w:r>
      <w:proofErr w:type="spellStart"/>
      <w:r>
        <w:rPr>
          <w:sz w:val="20"/>
          <w:lang w:val="en-US"/>
        </w:rPr>
        <w:t>año</w:t>
      </w:r>
      <w:proofErr w:type="spellEnd"/>
      <w:r>
        <w:rPr>
          <w:sz w:val="20"/>
          <w:lang w:val="en-US"/>
        </w:rPr>
        <w:t xml:space="preserve"> 2000, hay </w:t>
      </w:r>
      <w:proofErr w:type="spellStart"/>
      <w:r>
        <w:rPr>
          <w:sz w:val="20"/>
          <w:lang w:val="en-US"/>
        </w:rPr>
        <w:t>que</w:t>
      </w:r>
      <w:proofErr w:type="spellEnd"/>
      <w:r>
        <w:rPr>
          <w:sz w:val="20"/>
          <w:lang w:val="en-US"/>
        </w:rPr>
        <w:t xml:space="preserve"> </w:t>
      </w:r>
      <w:proofErr w:type="spellStart"/>
      <w:r>
        <w:rPr>
          <w:sz w:val="20"/>
          <w:lang w:val="en-US"/>
        </w:rPr>
        <w:t>tomar</w:t>
      </w:r>
      <w:proofErr w:type="spellEnd"/>
      <w:r>
        <w:rPr>
          <w:sz w:val="20"/>
          <w:lang w:val="en-US"/>
        </w:rPr>
        <w:t xml:space="preserve"> en </w:t>
      </w:r>
      <w:proofErr w:type="spellStart"/>
      <w:r>
        <w:rPr>
          <w:sz w:val="20"/>
          <w:lang w:val="en-US"/>
        </w:rPr>
        <w:t>cuenta</w:t>
      </w:r>
      <w:proofErr w:type="spellEnd"/>
      <w:r>
        <w:rPr>
          <w:sz w:val="20"/>
          <w:lang w:val="en-US"/>
        </w:rPr>
        <w:t xml:space="preserve"> </w:t>
      </w:r>
      <w:proofErr w:type="spellStart"/>
      <w:r>
        <w:rPr>
          <w:sz w:val="20"/>
          <w:lang w:val="en-US"/>
        </w:rPr>
        <w:t>esas</w:t>
      </w:r>
      <w:proofErr w:type="spellEnd"/>
      <w:r>
        <w:rPr>
          <w:sz w:val="20"/>
          <w:lang w:val="en-US"/>
        </w:rPr>
        <w:t xml:space="preserve"> </w:t>
      </w:r>
      <w:proofErr w:type="spellStart"/>
      <w:r>
        <w:rPr>
          <w:sz w:val="20"/>
          <w:lang w:val="en-US"/>
        </w:rPr>
        <w:t>diferencias</w:t>
      </w:r>
      <w:proofErr w:type="spellEnd"/>
      <w:r>
        <w:rPr>
          <w:sz w:val="20"/>
          <w:lang w:val="en-US"/>
        </w:rPr>
        <w:t xml:space="preserve"> al </w:t>
      </w:r>
      <w:proofErr w:type="spellStart"/>
      <w:r>
        <w:rPr>
          <w:sz w:val="20"/>
          <w:lang w:val="en-US"/>
        </w:rPr>
        <w:t>momento</w:t>
      </w:r>
      <w:proofErr w:type="spellEnd"/>
      <w:r>
        <w:rPr>
          <w:sz w:val="20"/>
          <w:lang w:val="en-US"/>
        </w:rPr>
        <w:t xml:space="preserve"> de </w:t>
      </w:r>
      <w:proofErr w:type="spellStart"/>
      <w:r>
        <w:rPr>
          <w:sz w:val="20"/>
          <w:lang w:val="en-US"/>
        </w:rPr>
        <w:t>comparar</w:t>
      </w:r>
      <w:proofErr w:type="spellEnd"/>
      <w:r>
        <w:rPr>
          <w:sz w:val="20"/>
          <w:lang w:val="en-US"/>
        </w:rPr>
        <w:t xml:space="preserve"> los </w:t>
      </w:r>
      <w:proofErr w:type="spellStart"/>
      <w:r>
        <w:rPr>
          <w:sz w:val="20"/>
          <w:lang w:val="en-US"/>
        </w:rPr>
        <w:t>resultados</w:t>
      </w:r>
      <w:proofErr w:type="spellEnd"/>
      <w:r>
        <w:rPr>
          <w:sz w:val="20"/>
          <w:lang w:val="en-US"/>
        </w:rPr>
        <w:t xml:space="preserve">. </w:t>
      </w:r>
      <w:proofErr w:type="spellStart"/>
      <w:r>
        <w:rPr>
          <w:sz w:val="20"/>
          <w:lang w:val="en-US"/>
        </w:rPr>
        <w:t>Esto</w:t>
      </w:r>
      <w:proofErr w:type="spellEnd"/>
      <w:r>
        <w:rPr>
          <w:sz w:val="20"/>
          <w:lang w:val="en-US"/>
        </w:rPr>
        <w:t xml:space="preserve"> </w:t>
      </w:r>
      <w:proofErr w:type="spellStart"/>
      <w:r>
        <w:rPr>
          <w:sz w:val="20"/>
          <w:lang w:val="en-US"/>
        </w:rPr>
        <w:t>aplica</w:t>
      </w:r>
      <w:proofErr w:type="spellEnd"/>
      <w:r>
        <w:rPr>
          <w:sz w:val="20"/>
          <w:lang w:val="en-US"/>
        </w:rPr>
        <w:t xml:space="preserve"> </w:t>
      </w:r>
      <w:proofErr w:type="spellStart"/>
      <w:r>
        <w:rPr>
          <w:sz w:val="20"/>
          <w:lang w:val="en-US"/>
        </w:rPr>
        <w:t>únicamente</w:t>
      </w:r>
      <w:proofErr w:type="spellEnd"/>
      <w:r>
        <w:rPr>
          <w:sz w:val="20"/>
          <w:lang w:val="en-US"/>
        </w:rPr>
        <w:t xml:space="preserve"> a los </w:t>
      </w:r>
      <w:proofErr w:type="spellStart"/>
      <w:r>
        <w:rPr>
          <w:sz w:val="20"/>
          <w:lang w:val="en-US"/>
        </w:rPr>
        <w:t>resultados</w:t>
      </w:r>
      <w:proofErr w:type="spellEnd"/>
      <w:r>
        <w:rPr>
          <w:sz w:val="20"/>
          <w:lang w:val="en-US"/>
        </w:rPr>
        <w:t xml:space="preserve"> </w:t>
      </w:r>
      <w:proofErr w:type="spellStart"/>
      <w:r>
        <w:rPr>
          <w:sz w:val="20"/>
          <w:lang w:val="en-US"/>
        </w:rPr>
        <w:t>relacionados</w:t>
      </w:r>
      <w:proofErr w:type="spellEnd"/>
      <w:r>
        <w:rPr>
          <w:sz w:val="20"/>
          <w:lang w:val="en-US"/>
        </w:rPr>
        <w:t xml:space="preserve"> con los </w:t>
      </w:r>
      <w:proofErr w:type="spellStart"/>
      <w:r>
        <w:rPr>
          <w:sz w:val="20"/>
          <w:lang w:val="en-US"/>
        </w:rPr>
        <w:t>ingresos</w:t>
      </w:r>
      <w:proofErr w:type="spellEnd"/>
      <w:r>
        <w:rPr>
          <w:sz w:val="20"/>
          <w:lang w:val="en-US"/>
        </w:rPr>
        <w:t xml:space="preserve">, </w:t>
      </w:r>
      <w:proofErr w:type="spellStart"/>
      <w:r>
        <w:rPr>
          <w:sz w:val="20"/>
          <w:lang w:val="en-US"/>
        </w:rPr>
        <w:t>ya</w:t>
      </w:r>
      <w:proofErr w:type="spellEnd"/>
      <w:r>
        <w:rPr>
          <w:sz w:val="20"/>
          <w:lang w:val="en-US"/>
        </w:rPr>
        <w:t xml:space="preserve"> </w:t>
      </w:r>
      <w:proofErr w:type="spellStart"/>
      <w:r>
        <w:rPr>
          <w:sz w:val="20"/>
          <w:lang w:val="en-US"/>
        </w:rPr>
        <w:t>que</w:t>
      </w:r>
      <w:proofErr w:type="spellEnd"/>
      <w:r>
        <w:rPr>
          <w:sz w:val="20"/>
          <w:lang w:val="en-US"/>
        </w:rPr>
        <w:t xml:space="preserve"> el </w:t>
      </w:r>
      <w:proofErr w:type="spellStart"/>
      <w:r>
        <w:rPr>
          <w:sz w:val="20"/>
          <w:lang w:val="en-US"/>
        </w:rPr>
        <w:t>resto</w:t>
      </w:r>
      <w:proofErr w:type="spellEnd"/>
      <w:r>
        <w:rPr>
          <w:sz w:val="20"/>
          <w:lang w:val="en-US"/>
        </w:rPr>
        <w:t xml:space="preserve"> de </w:t>
      </w:r>
      <w:proofErr w:type="spellStart"/>
      <w:r>
        <w:rPr>
          <w:sz w:val="20"/>
          <w:lang w:val="en-US"/>
        </w:rPr>
        <w:t>indicadores</w:t>
      </w:r>
      <w:proofErr w:type="spellEnd"/>
      <w:r>
        <w:rPr>
          <w:sz w:val="20"/>
          <w:lang w:val="en-US"/>
        </w:rPr>
        <w:t xml:space="preserve"> </w:t>
      </w:r>
      <w:proofErr w:type="spellStart"/>
      <w:r>
        <w:rPr>
          <w:sz w:val="20"/>
          <w:lang w:val="en-US"/>
        </w:rPr>
        <w:t>que</w:t>
      </w:r>
      <w:proofErr w:type="spellEnd"/>
      <w:r>
        <w:rPr>
          <w:sz w:val="20"/>
          <w:lang w:val="en-US"/>
        </w:rPr>
        <w:t xml:space="preserve"> se </w:t>
      </w:r>
      <w:proofErr w:type="spellStart"/>
      <w:r>
        <w:rPr>
          <w:sz w:val="20"/>
          <w:lang w:val="en-US"/>
        </w:rPr>
        <w:t>comparan</w:t>
      </w:r>
      <w:proofErr w:type="spellEnd"/>
      <w:r>
        <w:rPr>
          <w:sz w:val="20"/>
          <w:lang w:val="en-US"/>
        </w:rPr>
        <w:t xml:space="preserve"> </w:t>
      </w:r>
      <w:proofErr w:type="gramStart"/>
      <w:r>
        <w:rPr>
          <w:sz w:val="20"/>
          <w:lang w:val="en-US"/>
        </w:rPr>
        <w:t>a lo</w:t>
      </w:r>
      <w:proofErr w:type="gramEnd"/>
      <w:r>
        <w:rPr>
          <w:sz w:val="20"/>
          <w:lang w:val="en-US"/>
        </w:rPr>
        <w:t xml:space="preserve"> largo de </w:t>
      </w:r>
      <w:proofErr w:type="spellStart"/>
      <w:r>
        <w:rPr>
          <w:sz w:val="20"/>
          <w:lang w:val="en-US"/>
        </w:rPr>
        <w:t>está</w:t>
      </w:r>
      <w:proofErr w:type="spellEnd"/>
      <w:r>
        <w:rPr>
          <w:sz w:val="20"/>
          <w:lang w:val="en-US"/>
        </w:rPr>
        <w:t xml:space="preserve"> </w:t>
      </w:r>
      <w:proofErr w:type="spellStart"/>
      <w:r>
        <w:rPr>
          <w:sz w:val="20"/>
          <w:lang w:val="en-US"/>
        </w:rPr>
        <w:t>publicación</w:t>
      </w:r>
      <w:proofErr w:type="spellEnd"/>
      <w:r>
        <w:rPr>
          <w:sz w:val="20"/>
          <w:lang w:val="en-US"/>
        </w:rPr>
        <w:t xml:space="preserve">, </w:t>
      </w:r>
      <w:proofErr w:type="spellStart"/>
      <w:r>
        <w:rPr>
          <w:sz w:val="20"/>
          <w:lang w:val="en-US"/>
        </w:rPr>
        <w:t>si</w:t>
      </w:r>
      <w:proofErr w:type="spellEnd"/>
      <w:r>
        <w:rPr>
          <w:sz w:val="20"/>
          <w:lang w:val="en-US"/>
        </w:rPr>
        <w:t xml:space="preserve"> se </w:t>
      </w:r>
      <w:proofErr w:type="spellStart"/>
      <w:r>
        <w:rPr>
          <w:sz w:val="20"/>
          <w:lang w:val="en-US"/>
        </w:rPr>
        <w:t>estiman</w:t>
      </w:r>
      <w:proofErr w:type="spellEnd"/>
      <w:r>
        <w:rPr>
          <w:sz w:val="20"/>
          <w:lang w:val="en-US"/>
        </w:rPr>
        <w:t xml:space="preserve"> con </w:t>
      </w:r>
      <w:proofErr w:type="spellStart"/>
      <w:r>
        <w:rPr>
          <w:sz w:val="20"/>
          <w:lang w:val="en-US"/>
        </w:rPr>
        <w:t>las</w:t>
      </w:r>
      <w:proofErr w:type="spellEnd"/>
      <w:r>
        <w:rPr>
          <w:sz w:val="20"/>
          <w:lang w:val="en-US"/>
        </w:rPr>
        <w:t xml:space="preserve"> </w:t>
      </w:r>
      <w:proofErr w:type="spellStart"/>
      <w:r>
        <w:rPr>
          <w:sz w:val="20"/>
          <w:lang w:val="en-US"/>
        </w:rPr>
        <w:t>mismas</w:t>
      </w:r>
      <w:proofErr w:type="spellEnd"/>
      <w:r>
        <w:rPr>
          <w:sz w:val="20"/>
          <w:lang w:val="en-US"/>
        </w:rPr>
        <w:t xml:space="preserve"> variables.  </w:t>
      </w:r>
    </w:p>
  </w:footnote>
  <w:footnote w:id="3">
    <w:p w14:paraId="307860AF" w14:textId="1F056670" w:rsidR="00BF7DF0" w:rsidRPr="0004337E" w:rsidRDefault="00BF7DF0" w:rsidP="0004337E">
      <w:pPr>
        <w:jc w:val="both"/>
        <w:rPr>
          <w:sz w:val="20"/>
        </w:rPr>
      </w:pPr>
      <w:r>
        <w:rPr>
          <w:rStyle w:val="FootnoteReference"/>
        </w:rPr>
        <w:footnoteRef/>
      </w:r>
      <w:r>
        <w:t xml:space="preserve"> </w:t>
      </w:r>
      <w:r w:rsidRPr="0004337E">
        <w:rPr>
          <w:sz w:val="20"/>
        </w:rPr>
        <w:t>Para calcular la participación en los ingresos de cada quintil, se ordena a la población de menor a mayor ingreso, y se div</w:t>
      </w:r>
      <w:r>
        <w:rPr>
          <w:sz w:val="20"/>
        </w:rPr>
        <w:t xml:space="preserve">ide entre cinco grupos de población iguales. Luego se obtiene la sumatoria de ingresos de cada quintil y esta se divide entre la suma de todos los ingresos. </w:t>
      </w:r>
    </w:p>
  </w:footnote>
  <w:footnote w:id="4">
    <w:p w14:paraId="48A96F5F" w14:textId="303FAA56" w:rsidR="00BF7DF0" w:rsidRPr="0004337E" w:rsidRDefault="00BF7DF0" w:rsidP="00572117">
      <w:pPr>
        <w:jc w:val="both"/>
        <w:rPr>
          <w:sz w:val="20"/>
        </w:rPr>
      </w:pPr>
      <w:r>
        <w:rPr>
          <w:rStyle w:val="FootnoteReference"/>
        </w:rPr>
        <w:footnoteRef/>
      </w:r>
      <w:r>
        <w:t xml:space="preserve"> </w:t>
      </w:r>
      <w:r w:rsidRPr="0004337E">
        <w:rPr>
          <w:sz w:val="20"/>
        </w:rPr>
        <w:t>Para calcular la participación en los ingresos de cada quintil, se ordena a la población de menor a mayor ingreso, y se div</w:t>
      </w:r>
      <w:r>
        <w:rPr>
          <w:sz w:val="20"/>
        </w:rPr>
        <w:t>ide entre cinco grupos de población iguales. Luego se obtiene la sumatoria de ingresos de cada quintil y esta se divide entre la suma de todos los ingresos.</w:t>
      </w:r>
    </w:p>
  </w:footnote>
  <w:footnote w:id="5">
    <w:p w14:paraId="3EEAFB0B" w14:textId="77777777" w:rsidR="00BF7DF0" w:rsidRPr="0004337E" w:rsidRDefault="00BF7DF0" w:rsidP="00E27B53">
      <w:pPr>
        <w:jc w:val="both"/>
        <w:rPr>
          <w:sz w:val="20"/>
        </w:rPr>
      </w:pPr>
      <w:r>
        <w:rPr>
          <w:rStyle w:val="FootnoteReference"/>
        </w:rPr>
        <w:footnoteRef/>
      </w:r>
      <w:r>
        <w:t xml:space="preserve"> </w:t>
      </w:r>
      <w:r w:rsidRPr="0004337E">
        <w:rPr>
          <w:sz w:val="20"/>
        </w:rPr>
        <w:t>Para calcular la participación en los ingresos de cada quintil, se ordena a la población de menor a mayor ingreso, y se div</w:t>
      </w:r>
      <w:r>
        <w:rPr>
          <w:sz w:val="20"/>
        </w:rPr>
        <w:t>ide entre cinco grupos de población iguales. Luego se obtiene la sumatoria de ingresos de cada quintil y esta se divide entre la suma de todos los ingresos.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6243D"/>
    <w:multiLevelType w:val="hybridMultilevel"/>
    <w:tmpl w:val="7414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44"/>
    <w:rsid w:val="0003181A"/>
    <w:rsid w:val="0004337E"/>
    <w:rsid w:val="00141536"/>
    <w:rsid w:val="00143185"/>
    <w:rsid w:val="00143640"/>
    <w:rsid w:val="00152463"/>
    <w:rsid w:val="00167D0C"/>
    <w:rsid w:val="00183B17"/>
    <w:rsid w:val="0038229B"/>
    <w:rsid w:val="003D6700"/>
    <w:rsid w:val="00464AE2"/>
    <w:rsid w:val="004E31DC"/>
    <w:rsid w:val="004F0157"/>
    <w:rsid w:val="00545CCB"/>
    <w:rsid w:val="00572117"/>
    <w:rsid w:val="0061721F"/>
    <w:rsid w:val="00654428"/>
    <w:rsid w:val="006946C4"/>
    <w:rsid w:val="006A37C4"/>
    <w:rsid w:val="00886DD5"/>
    <w:rsid w:val="008F5DC5"/>
    <w:rsid w:val="009B4468"/>
    <w:rsid w:val="009C02D9"/>
    <w:rsid w:val="00A0781E"/>
    <w:rsid w:val="00AB6EC1"/>
    <w:rsid w:val="00B408E7"/>
    <w:rsid w:val="00BC7FBA"/>
    <w:rsid w:val="00BF7DF0"/>
    <w:rsid w:val="00C012DC"/>
    <w:rsid w:val="00C03CAF"/>
    <w:rsid w:val="00CF08AE"/>
    <w:rsid w:val="00CF50E5"/>
    <w:rsid w:val="00DF7EFB"/>
    <w:rsid w:val="00E1781F"/>
    <w:rsid w:val="00E27B53"/>
    <w:rsid w:val="00E57F28"/>
    <w:rsid w:val="00E77744"/>
    <w:rsid w:val="00EE20D3"/>
    <w:rsid w:val="00F13E52"/>
    <w:rsid w:val="00F1607D"/>
    <w:rsid w:val="00FC502C"/>
    <w:rsid w:val="00FD7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253E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744"/>
    <w:rPr>
      <w:color w:val="808080"/>
    </w:rPr>
  </w:style>
  <w:style w:type="paragraph" w:styleId="BalloonText">
    <w:name w:val="Balloon Text"/>
    <w:basedOn w:val="Normal"/>
    <w:link w:val="BalloonTextChar"/>
    <w:uiPriority w:val="99"/>
    <w:semiHidden/>
    <w:unhideWhenUsed/>
    <w:rsid w:val="00E77744"/>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744"/>
    <w:rPr>
      <w:rFonts w:ascii="Lucida Grande" w:hAnsi="Lucida Grande"/>
      <w:sz w:val="18"/>
      <w:szCs w:val="18"/>
      <w:lang w:val="es-ES_tradnl"/>
    </w:rPr>
  </w:style>
  <w:style w:type="paragraph" w:styleId="FootnoteText">
    <w:name w:val="footnote text"/>
    <w:basedOn w:val="Normal"/>
    <w:link w:val="FootnoteTextChar"/>
    <w:uiPriority w:val="99"/>
    <w:unhideWhenUsed/>
    <w:rsid w:val="006A37C4"/>
  </w:style>
  <w:style w:type="character" w:customStyle="1" w:styleId="FootnoteTextChar">
    <w:name w:val="Footnote Text Char"/>
    <w:basedOn w:val="DefaultParagraphFont"/>
    <w:link w:val="FootnoteText"/>
    <w:uiPriority w:val="99"/>
    <w:rsid w:val="006A37C4"/>
    <w:rPr>
      <w:lang w:val="es-ES_tradnl"/>
    </w:rPr>
  </w:style>
  <w:style w:type="character" w:styleId="FootnoteReference">
    <w:name w:val="footnote reference"/>
    <w:basedOn w:val="DefaultParagraphFont"/>
    <w:uiPriority w:val="99"/>
    <w:unhideWhenUsed/>
    <w:rsid w:val="006A37C4"/>
    <w:rPr>
      <w:vertAlign w:val="superscript"/>
    </w:rPr>
  </w:style>
  <w:style w:type="paragraph" w:styleId="ListParagraph">
    <w:name w:val="List Paragraph"/>
    <w:basedOn w:val="Normal"/>
    <w:uiPriority w:val="34"/>
    <w:qFormat/>
    <w:rsid w:val="00CF08AE"/>
    <w:pPr>
      <w:spacing w:after="200" w:line="276" w:lineRule="auto"/>
      <w:ind w:left="720"/>
      <w:contextualSpacing/>
    </w:pPr>
    <w:rPr>
      <w:rFonts w:eastAsiaTheme="minorHAnsi"/>
      <w:sz w:val="22"/>
      <w:szCs w:val="22"/>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744"/>
    <w:rPr>
      <w:color w:val="808080"/>
    </w:rPr>
  </w:style>
  <w:style w:type="paragraph" w:styleId="BalloonText">
    <w:name w:val="Balloon Text"/>
    <w:basedOn w:val="Normal"/>
    <w:link w:val="BalloonTextChar"/>
    <w:uiPriority w:val="99"/>
    <w:semiHidden/>
    <w:unhideWhenUsed/>
    <w:rsid w:val="00E77744"/>
    <w:rPr>
      <w:rFonts w:ascii="Lucida Grande" w:hAnsi="Lucida Grande"/>
      <w:sz w:val="18"/>
      <w:szCs w:val="18"/>
    </w:rPr>
  </w:style>
  <w:style w:type="character" w:customStyle="1" w:styleId="BalloonTextChar">
    <w:name w:val="Balloon Text Char"/>
    <w:basedOn w:val="DefaultParagraphFont"/>
    <w:link w:val="BalloonText"/>
    <w:uiPriority w:val="99"/>
    <w:semiHidden/>
    <w:rsid w:val="00E77744"/>
    <w:rPr>
      <w:rFonts w:ascii="Lucida Grande" w:hAnsi="Lucida Grande"/>
      <w:sz w:val="18"/>
      <w:szCs w:val="18"/>
      <w:lang w:val="es-ES_tradnl"/>
    </w:rPr>
  </w:style>
  <w:style w:type="paragraph" w:styleId="FootnoteText">
    <w:name w:val="footnote text"/>
    <w:basedOn w:val="Normal"/>
    <w:link w:val="FootnoteTextChar"/>
    <w:uiPriority w:val="99"/>
    <w:unhideWhenUsed/>
    <w:rsid w:val="006A37C4"/>
  </w:style>
  <w:style w:type="character" w:customStyle="1" w:styleId="FootnoteTextChar">
    <w:name w:val="Footnote Text Char"/>
    <w:basedOn w:val="DefaultParagraphFont"/>
    <w:link w:val="FootnoteText"/>
    <w:uiPriority w:val="99"/>
    <w:rsid w:val="006A37C4"/>
    <w:rPr>
      <w:lang w:val="es-ES_tradnl"/>
    </w:rPr>
  </w:style>
  <w:style w:type="character" w:styleId="FootnoteReference">
    <w:name w:val="footnote reference"/>
    <w:basedOn w:val="DefaultParagraphFont"/>
    <w:uiPriority w:val="99"/>
    <w:unhideWhenUsed/>
    <w:rsid w:val="006A37C4"/>
    <w:rPr>
      <w:vertAlign w:val="superscript"/>
    </w:rPr>
  </w:style>
  <w:style w:type="paragraph" w:styleId="ListParagraph">
    <w:name w:val="List Paragraph"/>
    <w:basedOn w:val="Normal"/>
    <w:uiPriority w:val="34"/>
    <w:qFormat/>
    <w:rsid w:val="00CF08AE"/>
    <w:pPr>
      <w:spacing w:after="200" w:line="276" w:lineRule="auto"/>
      <w:ind w:left="720"/>
      <w:contextualSpacing/>
    </w:pPr>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8FB5E3-7665-5B44-9DF9-E2D6DFFED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1216</Words>
  <Characters>6937</Characters>
  <Application>Microsoft Macintosh Word</Application>
  <DocSecurity>0</DocSecurity>
  <Lines>57</Lines>
  <Paragraphs>16</Paragraphs>
  <ScaleCrop>false</ScaleCrop>
  <Company/>
  <LinksUpToDate>false</LinksUpToDate>
  <CharactersWithSpaces>8137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Escobar</dc:creator>
  <cp:keywords/>
  <dc:description/>
  <cp:lastModifiedBy>Pamela Escobar</cp:lastModifiedBy>
  <cp:revision>12</cp:revision>
  <dcterms:created xsi:type="dcterms:W3CDTF">2015-11-16T17:05:00Z</dcterms:created>
  <dcterms:modified xsi:type="dcterms:W3CDTF">2015-11-24T06:09:00Z</dcterms:modified>
</cp:coreProperties>
</file>