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 w:val="0"/>
          <w:i w:val="0"/>
          <w:color w:val="111111"/>
          <w:sz w:val="22"/>
        </w:rPr>
        <w:t>Figuras de método para colar no TCC. No Word: clique na figura → Copiar → colar no capítulo. Largura de página = 16 cm. A legenda ABNT vai abaixo da imagem, não dentro dela. Recolocar os números (Figura 1, 2, …) na numeração do documento.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927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odos_arquitetur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2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Arial" w:hAnsi="Arial" w:eastAsia="Arial"/>
          <w:b w:val="0"/>
          <w:i/>
          <w:color w:val="111111"/>
          <w:sz w:val="20"/>
        </w:rPr>
        <w:t>Figura A — Comparação das arquiteturas: caminho da mensagem no baseline e na FSM.</w:t>
      </w:r>
    </w:p>
    <w:p>
      <w:pPr>
        <w:jc w:val="both"/>
      </w:pPr>
      <w:r>
        <w:rPr>
          <w:rFonts w:ascii="Arial" w:hAnsi="Arial" w:eastAsia="Arial"/>
          <w:b w:val="0"/>
          <w:i w:val="0"/>
          <w:color w:val="111111"/>
          <w:sz w:val="18"/>
        </w:rPr>
        <w:t>Fonte: elaboração própria.</w:t>
        <w:br/>
        <w:t>Notas: O baseline responde com um único prompt de sistema. A FSM classifica o evento do usuário, aplica transições e guardas, e o gerador fala a partir do pacote de instrução do estado atual. Ambos usam o mesmo modelo gerador (qwen3.5:9b) e a mesma base de conhecimento completa, embutida no prompt; o bloco compartilhado (persona, tom e regras gerais) também é o mesmo. O classificador (regras + qwen3.5:4b) pertence só à FSM. Legenda abaixo da figura (ABNT); a imagem não traz título embutido.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646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odos_fluxo_avali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4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Arial" w:hAnsi="Arial" w:eastAsia="Arial"/>
          <w:b w:val="0"/>
          <w:i/>
          <w:color w:val="111111"/>
          <w:sz w:val="20"/>
        </w:rPr>
        <w:t>Figura B — Fluxo do experimento e da avaliação.</w:t>
      </w:r>
    </w:p>
    <w:p>
      <w:pPr>
        <w:jc w:val="both"/>
      </w:pPr>
      <w:r>
        <w:rPr>
          <w:rFonts w:ascii="Arial" w:hAnsi="Arial" w:eastAsia="Arial"/>
          <w:b w:val="0"/>
          <w:i w:val="0"/>
          <w:color w:val="111111"/>
          <w:sz w:val="18"/>
        </w:rPr>
        <w:t>Fonte: elaboração própria.</w:t>
        <w:br/>
        <w:t>Notas: Cenários congelados geram diálogos com os dois agentes e o mesmo usuário simulado. A avaliação automática (juiz cego, duas chamadas, mais avaliadores determinísticos) precedeu o censo humano. A avaliação humana cega dos 348 diálogos foi motivada pelas limitações observadas no juiz (concordância apenas moderada no piloto; cegueira de estilo não garantida). As anotações foram congeladas em 2026-09-20, antes do desvelamento e da comparação pareada. Legenda abaixo da figura (ABNT); a imagem não traz título embutido.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189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ndice_maquina_es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Arial" w:hAnsi="Arial" w:eastAsia="Arial"/>
          <w:b w:val="0"/>
          <w:i/>
          <w:color w:val="111111"/>
          <w:sz w:val="20"/>
        </w:rPr>
        <w:t>Figura C — Máquina de estados da FSM.</w:t>
      </w:r>
    </w:p>
    <w:p>
      <w:pPr>
        <w:jc w:val="both"/>
      </w:pPr>
      <w:r>
        <w:rPr>
          <w:rFonts w:ascii="Arial" w:hAnsi="Arial" w:eastAsia="Arial"/>
          <w:b w:val="0"/>
          <w:i w:val="0"/>
          <w:color w:val="111111"/>
          <w:sz w:val="18"/>
        </w:rPr>
        <w:t>Fonte: elaboração própria.</w:t>
        <w:br/>
        <w:t>Notas: Nomes conforme data/fsm/machine.yaml. Identificadores em inglês são os da implementação; o glossário em português vai entre parênteses. As transições a partir de qualquer estado (out_of_scope_request e farewell) saem da caixa «qualquer estado», não como uma seta por estado. Guardas: order_and_email_present e required_data_collected. closing e out_of_scope são estados de aceitação, não estados terminais. Legenda abaixo da figura (ABNT); a imagem não traz título embutido.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