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Statistical Detection of Procurement Fraud:</w:t>
      </w:r>
    </w:p>
    <w:p>
      <w:pPr>
        <w:spacing w:after="400"/>
        <w:jc w:val="center"/>
      </w:pPr>
      <w:r>
        <w:rPr>
          <w:b/>
          <w:bCs/>
          <w:sz w:val="32"/>
          <w:szCs w:val="32"/>
        </w:rPr>
        <w:t xml:space="preserve">A Multi-Method Ensemble Approach with Empirical Validation</w:t>
      </w:r>
    </w:p>
    <w:p>
      <w:pPr>
        <w:spacing w:after="200"/>
        <w:jc w:val="center"/>
      </w:pPr>
      <w:r>
        <w:rPr>
          <w:sz w:val="24"/>
          <w:szCs w:val="24"/>
        </w:rPr>
        <w:t xml:space="preserve">SUNLIGHT Project Technical Paper</w:t>
      </w:r>
    </w:p>
    <w:p>
      <w:pPr>
        <w:spacing w:after="200"/>
        <w:jc w:val="center"/>
      </w:pPr>
      <w:r>
        <w:rPr>
          <w:sz w:val="24"/>
          <w:szCs w:val="24"/>
        </w:rPr>
        <w:t xml:space="preserve">Version 2.0 — February 2026</w:t>
      </w:r>
    </w:p>
    <w:p>
      <w:pPr>
        <w:spacing w:after="600"/>
        <w:jc w:val="center"/>
      </w:pPr>
      <w:r>
        <w:rPr>
          <w:i/>
          <w:iCs/>
          <w:sz w:val="22"/>
          <w:szCs w:val="22"/>
        </w:rPr>
        <w:t xml:space="preserve">Pre-print / Institutional Review</w:t>
      </w:r>
    </w:p>
    <w:p>
      <w:pPr>
        <w:pStyle w:val="Heading1"/>
      </w:pPr>
      <w:r>
        <w:t xml:space="preserve">Abstract</w:t>
      </w:r>
    </w:p>
    <w:p>
      <w:pPr>
        <w:spacing w:after="200"/>
        <w:jc w:val="both"/>
      </w:pPr>
      <w:r>
        <w:rPr>
          <w:sz w:val="24"/>
          <w:szCs w:val="24"/>
        </w:rPr>
        <w:t xml:space="preserve">We present a novel statistical framework for detecting pricing anomalies in government procurement contracts. Our methodology addresses three fundamental challenges in fraud detection: (1) the heavy-tailed, non-Gaussian distribution of contract values, (2) the base rate problem in rare-event classification, and (3) the need for uncertainty quantification that satisfies evidentiary standards.</w:t>
      </w:r>
    </w:p>
    <w:p>
      <w:pPr>
        <w:spacing w:after="200"/>
        <w:jc w:val="both"/>
      </w:pPr>
      <w:r>
        <w:rPr>
          <w:sz w:val="24"/>
          <w:szCs w:val="24"/>
        </w:rPr>
        <w:t xml:space="preserve">We introduce a five-test ensemble approach combining non-parametric percentile ranking, z-score analysis, bootstrap confidence intervals for markup estimation, Bayesian posterior probability with domain-calibrated priors, and temporal peer-group matching. Validation against 10 Department of Justice prosecuted cases (2005-2015) demonstrates 90% sensitivity with 99.6% of fraud value captured. The framework achieves this performance while maintaining conservative specificity through a unanimity requirement—all statistical tests must agree before classification.</w:t>
      </w:r>
    </w:p>
    <w:p>
      <w:pPr>
        <w:spacing w:after="400"/>
      </w:pPr>
      <w:r>
        <w:rPr>
          <w:b/>
          <w:bCs/>
          <w:sz w:val="24"/>
          <w:szCs w:val="24"/>
        </w:rPr>
        <w:t xml:space="preserve">Keywords: </w:t>
      </w:r>
      <w:r>
        <w:rPr>
          <w:i/>
          <w:iCs/>
          <w:sz w:val="24"/>
          <w:szCs w:val="24"/>
        </w:rPr>
        <w:t xml:space="preserve">procurement fraud, anomaly detection, bootstrap methods, Bayesian inference, government accountability, False Claims Act</w:t>
      </w:r>
    </w:p>
    <w:p>
      <w:pPr>
        <w:pStyle w:val="Heading1"/>
      </w:pPr>
      <w:r>
        <w:t xml:space="preserve">1. Introduction</w:t>
      </w:r>
    </w:p>
    <w:p>
      <w:pPr>
        <w:pStyle w:val="Heading2"/>
      </w:pPr>
      <w:r>
        <w:t xml:space="preserve">1.1 The Scale of the Problem</w:t>
      </w:r>
    </w:p>
    <w:p>
      <w:pPr>
        <w:spacing w:after="200"/>
        <w:jc w:val="both"/>
      </w:pPr>
      <w:r>
        <w:rPr>
          <w:sz w:val="24"/>
          <w:szCs w:val="24"/>
        </w:rPr>
        <w:t xml:space="preserve">The U.S. federal government obligates approximately $700 billion annually in contract spending (USAspending.gov, 2024). Conservative estimates place procurement fraud between 1-3% of contract value, implying $7-21 billion in annual losses. Despite the magnitude, detection remains largely reactive—dependent on whistleblowers, audits, or post-hoc investigations. The Government Accountability Office has repeatedly identified contract management as a high-risk area, yet systematic screening tools remain underdeveloped.</w:t>
      </w:r>
    </w:p>
    <w:p>
      <w:pPr>
        <w:pStyle w:val="Heading2"/>
      </w:pPr>
      <w:r>
        <w:t xml:space="preserve">1.2 Limitations of Existing Approaches</w:t>
      </w:r>
    </w:p>
    <w:p>
      <w:pPr>
        <w:spacing w:after="200"/>
        <w:jc w:val="both"/>
      </w:pPr>
      <w:r>
        <w:rPr>
          <w:sz w:val="24"/>
          <w:szCs w:val="24"/>
        </w:rPr>
        <w:t xml:space="preserve">Current fraud detection methodologies suffer from several critical deficiencies:</w:t>
      </w:r>
    </w:p>
    <w:p>
      <w:pPr>
        <w:spacing w:after="120"/>
        <w:jc w:val="both"/>
      </w:pPr>
      <w:r>
        <w:rPr>
          <w:b/>
          <w:bCs/>
          <w:sz w:val="24"/>
          <w:szCs w:val="24"/>
        </w:rPr>
        <w:t xml:space="preserve">Rule-Based Systems </w:t>
      </w:r>
      <w:r>
        <w:rPr>
          <w:sz w:val="24"/>
          <w:szCs w:val="24"/>
        </w:rPr>
        <w:t xml:space="preserve">flag contracts exceeding arbitrary thresholds (e.g., &gt;$25M, sole-source) without statistical grounding. These generate excessive false positives while missing sophisticated schemes that operate just below thresholds.</w:t>
      </w:r>
    </w:p>
    <w:p>
      <w:pPr>
        <w:spacing w:after="120"/>
        <w:jc w:val="both"/>
      </w:pPr>
      <w:r>
        <w:rPr>
          <w:b/>
          <w:bCs/>
          <w:sz w:val="24"/>
          <w:szCs w:val="24"/>
        </w:rPr>
        <w:t xml:space="preserve">Machine Learning Approaches </w:t>
      </w:r>
      <w:r>
        <w:rPr>
          <w:sz w:val="24"/>
          <w:szCs w:val="24"/>
        </w:rPr>
        <w:t xml:space="preserve">achieve high accuracy on training data but suffer from opacity incompatible with legal evidentiary standards, overfitting to historical fraud patterns, and inability to quantify uncertainty for individual predictions.</w:t>
      </w:r>
    </w:p>
    <w:p>
      <w:pPr>
        <w:spacing w:after="200"/>
        <w:jc w:val="both"/>
      </w:pPr>
      <w:r>
        <w:rPr>
          <w:b/>
          <w:bCs/>
          <w:sz w:val="24"/>
          <w:szCs w:val="24"/>
        </w:rPr>
        <w:t xml:space="preserve">Benford's Law Analysis </w:t>
      </w:r>
      <w:r>
        <w:rPr>
          <w:sz w:val="24"/>
          <w:szCs w:val="24"/>
        </w:rPr>
        <w:t xml:space="preserve">detects digit-frequency manipulation but misses pricing fraud where values are legitimately generated through standard procurement processes.</w:t>
      </w:r>
    </w:p>
    <w:p>
      <w:pPr>
        <w:pStyle w:val="Heading2"/>
      </w:pPr>
      <w:r>
        <w:t xml:space="preserve">1.3 Our Contribution</w:t>
      </w:r>
    </w:p>
    <w:p>
      <w:pPr>
        <w:spacing w:after="200"/>
        <w:jc w:val="both"/>
      </w:pPr>
      <w:r>
        <w:rPr>
          <w:sz w:val="24"/>
          <w:szCs w:val="24"/>
        </w:rPr>
        <w:t xml:space="preserve">We propose SUNLIGHT (Statistical Underlying Non-compliance Leveraging Institutional Government Holdings for Transparency), a methodology designed for three simultaneous constraints: (1) Court Admissibility—every statistic explainable to a lay jury; (2) Academic Rigor—every method grounded in peer-reviewed literature; (3) Institutional Credibility—conservative design minimizing false accusations.</w:t>
      </w:r>
    </w:p>
    <w:p>
      <w:pPr>
        <w:spacing w:after="200"/>
        <w:jc w:val="both"/>
      </w:pPr>
      <w:r>
        <w:rPr>
          <w:sz w:val="24"/>
          <w:szCs w:val="24"/>
        </w:rPr>
        <w:t xml:space="preserve">Our key methodological innovations include: temporal peer-group matching with dynamic comparison sets based on agency and contract timing (±2 years); a five-test ensemble with unanimity requirement where classification requires agreement across independent statistical tests; bootstrap-based uncertainty quantification providing distribution-free confidence intervals valid for small samples; and Bayesian posterior estimation with empirical priors calibrated to DOJ prosecution rates.</w:t>
      </w:r>
    </w:p>
    <w:p>
      <w:r>
        <w:br w:type="page"/>
      </w:r>
    </w:p>
    <w:p>
      <w:pPr>
        <w:pStyle w:val="Heading1"/>
      </w:pPr>
      <w:r>
        <w:t xml:space="preserve">2. Theoretical Framework</w:t>
      </w:r>
    </w:p>
    <w:p>
      <w:pPr>
        <w:pStyle w:val="Heading2"/>
      </w:pPr>
      <w:r>
        <w:t xml:space="preserve">2.1 The Peer-Group Matching Problem</w:t>
      </w:r>
    </w:p>
    <w:p>
      <w:pPr>
        <w:pStyle w:val="Heading3"/>
      </w:pPr>
      <w:r>
        <w:t xml:space="preserve">2.1.1 Formal Definition</w:t>
      </w:r>
    </w:p>
    <w:p>
      <w:pPr>
        <w:spacing w:after="200"/>
        <w:jc w:val="both"/>
      </w:pPr>
      <w:r>
        <w:rPr>
          <w:sz w:val="24"/>
          <w:szCs w:val="24"/>
        </w:rPr>
        <w:t xml:space="preserve">Let C = {c₁, c₂, ..., cₙ} be the universe of federal contracts. For a target contract cₜ with attributes (idₜ, vₜ, aₜ, τₜ) where vₜ is contract value, aₜ is awarding agency, and τₜ is award date, we define the peer group P(cₜ) as all contracts cᵢ where: agency matches (aᵢ = aₜ), temporal proximity within ±2 years (|year(τᵢ) - year(τₜ)| ≤ 2), contract is distinct (i ≠ t), and value is positive (vᵢ &gt; 0).</w:t>
      </w:r>
    </w:p>
    <w:p>
      <w:pPr>
        <w:pStyle w:val="Heading3"/>
      </w:pPr>
      <w:r>
        <w:t xml:space="preserve">2.1.2 Rationale</w:t>
      </w:r>
    </w:p>
    <w:p>
      <w:pPr>
        <w:spacing w:after="200"/>
        <w:jc w:val="both"/>
      </w:pPr>
      <w:r>
        <w:rPr>
          <w:sz w:val="24"/>
          <w:szCs w:val="24"/>
        </w:rPr>
        <w:t xml:space="preserve">Agency-specific peer groups control for mission heterogeneity (defense contracts differ structurally from health services), regulatory environment (agency-specific procurement rules and oversight intensity), and market conditions (different vendor pools and competition levels). Temporal windowing (±2 years) controls for inflation, policy shifts, and market evolution including entry/exit of vendors and technological change.</w:t>
      </w:r>
    </w:p>
    <w:p>
      <w:pPr>
        <w:pStyle w:val="Heading3"/>
      </w:pPr>
      <w:r>
        <w:t xml:space="preserve">2.1.3 Minimum Peer Requirement</w:t>
      </w:r>
    </w:p>
    <w:p>
      <w:pPr>
        <w:spacing w:after="200"/>
        <w:jc w:val="both"/>
      </w:pPr>
      <w:r>
        <w:rPr>
          <w:sz w:val="24"/>
          <w:szCs w:val="24"/>
        </w:rPr>
        <w:t xml:space="preserve">We require |P(cₜ)| ≥ 20 for analysis. This threshold balances statistical power (sufficient observations for reliable inference), coverage (including contracts from smaller agencies), and conservatism (avoiding spurious conclusions from tiny samples). Contracts failing this requirement receive "INSUFFICIENT DATA" classification rather than false confidence.</w:t>
      </w:r>
    </w:p>
    <w:p>
      <w:pPr>
        <w:pStyle w:val="Heading2"/>
      </w:pPr>
      <w:r>
        <w:t xml:space="preserve">2.2 The Five-Test Ensemble</w:t>
      </w:r>
    </w:p>
    <w:p>
      <w:pPr>
        <w:spacing w:after="200"/>
        <w:jc w:val="both"/>
      </w:pPr>
      <w:r>
        <w:rPr>
          <w:sz w:val="24"/>
          <w:szCs w:val="24"/>
        </w:rPr>
        <w:t xml:space="preserve">We employ five independent statistical tests, each capturing different aspects of anomalous pricing:</w:t>
      </w:r>
    </w:p>
    <w:p>
      <w:pPr>
        <w:pStyle w:val="Heading3"/>
      </w:pPr>
      <w:r>
        <w:t xml:space="preserve">Test 1: Percentile Rank</w:t>
      </w:r>
    </w:p>
    <w:p>
      <w:pPr>
        <w:spacing w:after="200"/>
        <w:jc w:val="both"/>
      </w:pPr>
      <w:r>
        <w:rPr>
          <w:sz w:val="24"/>
          <w:szCs w:val="24"/>
        </w:rPr>
        <w:t xml:space="preserve">Percentile(vₜ) = (|{vᵢ ∈ P(cₜ) : vᵢ ≤ vₜ}| / |P(cₜ)|) × 100. This non-parametric rank within peer distribution is robust to outliers and distribution shape. A contract at the 99th percentile exceeds 99% of comparable contracts. Threshold: &gt;95th percentile for YELLOW flag consideration.</w:t>
      </w:r>
    </w:p>
    <w:p>
      <w:pPr>
        <w:pStyle w:val="Heading3"/>
      </w:pPr>
      <w:r>
        <w:t xml:space="preserve">Test 2: Z-Score</w:t>
      </w:r>
    </w:p>
    <w:p>
      <w:pPr>
        <w:spacing w:after="200"/>
        <w:jc w:val="both"/>
      </w:pPr>
      <w:r>
        <w:rPr>
          <w:sz w:val="24"/>
          <w:szCs w:val="24"/>
        </w:rPr>
        <w:t xml:space="preserve">zₜ = (vₜ - v̄ₚ) / σₚ, where v̄ₚ is peer mean and σₚ is peer standard deviation. This measures distance from peer mean in standard deviation units. Under normality, z &gt; 3 has probability p &lt; 0.001. Caveat: Z-scores assume approximate normality; we include this test for interpretability but do not rely on it alone given heavy-tailed contract distributions. Threshold: &gt;2.0 for YELLOW, &gt;3.0 for RED.</w:t>
      </w:r>
    </w:p>
    <w:p>
      <w:pPr>
        <w:pStyle w:val="Heading3"/>
      </w:pPr>
      <w:r>
        <w:t xml:space="preserve">Test 3: Markup Percentage vs. Median</w:t>
      </w:r>
    </w:p>
    <w:p>
      <w:pPr>
        <w:spacing w:after="200"/>
        <w:jc w:val="both"/>
      </w:pPr>
      <w:r>
        <w:rPr>
          <w:sz w:val="24"/>
          <w:szCs w:val="24"/>
        </w:rPr>
        <w:t xml:space="preserve">Markupₜ = ((vₜ - ṽₚ) / ṽₚ) × 100%, where ṽₚ = median(P(cₜ)). This measures percentage deviation from peer median. Median is preferred over mean for robustness to extreme values. Threshold: &gt;100% for YELLOW, &gt;300% for RED.</w:t>
      </w:r>
    </w:p>
    <w:p>
      <w:pPr>
        <w:pStyle w:val="Heading3"/>
      </w:pPr>
      <w:r>
        <w:t xml:space="preserve">Test 4: Bootstrap Confidence Interval</w:t>
      </w:r>
    </w:p>
    <w:p>
      <w:pPr>
        <w:spacing w:after="200"/>
        <w:jc w:val="both"/>
      </w:pPr>
      <w:r>
        <w:rPr>
          <w:sz w:val="24"/>
          <w:szCs w:val="24"/>
        </w:rPr>
        <w:t xml:space="preserve">For b = 1 to B (B = 1000): sample P*ᵦ with replacement from P(cₜ), compute markupᵦ = (vₜ - median(P*ᵦ)) / median(P*ᵦ) × 100. The 95% CI is [percentile(markup₁...ᵦ, 2.5), percentile(markup₁...ᵦ, 97.5)]. Key innovation: we classify based on the lower bound of the CI, not the point estimate. A CI of [150%, 400%] means we are 95% confident the true markup exceeds 150%—the conservative bound. Threshold: CI lower bound &gt;75% for YELLOW, &gt;300% for RED.</w:t>
      </w:r>
    </w:p>
    <w:p>
      <w:pPr>
        <w:pStyle w:val="Heading3"/>
      </w:pPr>
      <w:r>
        <w:t xml:space="preserve">Test 5: Bayesian Posterior Fraud Probability</w:t>
      </w:r>
    </w:p>
    <w:p>
      <w:pPr>
        <w:spacing w:after="200"/>
        <w:jc w:val="both"/>
      </w:pPr>
      <w:r>
        <w:rPr>
          <w:sz w:val="24"/>
          <w:szCs w:val="24"/>
        </w:rPr>
        <w:t xml:space="preserve">P(Fraud|O⁺) = P(O⁺|Fraud) × P(Fraud) / [P(O⁺|Fraud) × P(Fraud) + P(O⁺|¬Fraud) × P(¬Fraud)], where O⁺ denotes positive outlier test. Parameters calibrated from DOJ data: P(Fraud) = 0.02 (base rate), P(O⁺|Fraud) = 0.90 (sensitivity), P(O⁺|¬Fraud) = 0.05 (false positive rate). For outlier contracts: P(Fraud|O⁺) = (0.90 × 0.02) / (0.018 + 0.049) = 26.9%. Even with strong statistical evidence, the base rate means only ~27% of flagged contracts are expected to be truly fraudulent.</w:t>
      </w:r>
    </w:p>
    <w:p>
      <w:pPr>
        <w:pStyle w:val="Heading2"/>
      </w:pPr>
      <w:r>
        <w:t xml:space="preserve">2.3 Classification Logic</w:t>
      </w:r>
    </w:p>
    <w:p>
      <w:pPr>
        <w:pStyle w:val="Heading3"/>
      </w:pPr>
      <w:r>
        <w:t xml:space="preserve">2.3.1 Unanimity Requirement</w:t>
      </w:r>
    </w:p>
    <w:p>
      <w:pPr>
        <w:spacing w:after="200"/>
        <w:jc w:val="both"/>
      </w:pPr>
      <w:r>
        <w:rPr>
          <w:sz w:val="24"/>
          <w:szCs w:val="24"/>
        </w:rPr>
        <w:t xml:space="preserve">Unlike typical ensemble methods using majority voting, we require unanimous agreement among relevant tests:</w:t>
      </w:r>
    </w:p>
    <w:p>
      <w:pPr>
        <w:spacing w:after="120"/>
      </w:pPr>
      <w:r>
        <w:rPr>
          <w:b/>
          <w:bCs/>
          <w:sz w:val="24"/>
          <w:szCs w:val="24"/>
        </w:rPr>
        <w:t xml:space="preserve">RED Classification (Prosecution-Ready): </w:t>
      </w:r>
      <w:r>
        <w:rPr>
          <w:sz w:val="24"/>
          <w:szCs w:val="24"/>
        </w:rPr>
        <w:t xml:space="preserve">ALL of: Percentile &gt; 99th, Z-score &gt; 3.0, Markup &gt; 300%, Bootstrap CI lower bound &gt; 300%, Posterior fraud probability &gt; 50%.</w:t>
      </w:r>
    </w:p>
    <w:p>
      <w:pPr>
        <w:spacing w:after="120"/>
      </w:pPr>
      <w:r>
        <w:rPr>
          <w:b/>
          <w:bCs/>
          <w:sz w:val="24"/>
          <w:szCs w:val="24"/>
        </w:rPr>
        <w:t xml:space="preserve">YELLOW Classification (Investigation-Worthy): </w:t>
      </w:r>
      <w:r>
        <w:rPr>
          <w:sz w:val="24"/>
          <w:szCs w:val="24"/>
        </w:rPr>
        <w:t xml:space="preserve">ALL of: Percentile &gt; 95th, Z-score &gt; 2.0, Markup &gt; 100%, Bootstrap CI lower bound &gt; 75%.</w:t>
      </w:r>
    </w:p>
    <w:p>
      <w:pPr>
        <w:spacing w:after="200"/>
      </w:pPr>
      <w:r>
        <w:rPr>
          <w:b/>
          <w:bCs/>
          <w:sz w:val="24"/>
          <w:szCs w:val="24"/>
        </w:rPr>
        <w:t xml:space="preserve">GREEN/GRAY Classification: </w:t>
      </w:r>
      <w:r>
        <w:rPr>
          <w:sz w:val="24"/>
          <w:szCs w:val="24"/>
        </w:rPr>
        <w:t xml:space="preserve">Does not meet YELLOW criteria (GREEN) or insufficient peer data with |P| &lt; 20 (GRAY).</w:t>
      </w:r>
    </w:p>
    <w:p>
      <w:pPr>
        <w:pStyle w:val="Heading3"/>
      </w:pPr>
      <w:r>
        <w:t xml:space="preserve">2.3.2 Rationale for Unanimity</w:t>
      </w:r>
    </w:p>
    <w:p>
      <w:pPr>
        <w:spacing w:after="200"/>
        <w:jc w:val="both"/>
      </w:pPr>
      <w:r>
        <w:rPr>
          <w:sz w:val="24"/>
          <w:szCs w:val="24"/>
        </w:rPr>
        <w:t xml:space="preserve">The unanimity requirement is deliberately conservative: (1) Independence—each test captures different statistical properties; (2) Robustness—a true anomaly should manifest across multiple measures; (3) False Positive Control—requiring all tests dramatically reduces Type I errors; (4) Evidentiary Strength—"all five independent tests agree" is compelling to courts.</w:t>
      </w:r>
    </w:p>
    <w:p>
      <w:pPr>
        <w:spacing w:after="200"/>
        <w:jc w:val="both"/>
      </w:pPr>
      <w:r>
        <w:rPr>
          <w:sz w:val="24"/>
          <w:szCs w:val="24"/>
        </w:rPr>
        <w:t xml:space="preserve">Expected false positive rate under independence assumption: If each test has 5% false positive rate, P(All 5 positive | Legitimate) = 0.05⁵ = 0.0000003125. This represents approximately 3 false positives per 10 million contracts—acceptable for institutional deployment.</w:t>
      </w:r>
    </w:p>
    <w:p>
      <w:r>
        <w:br w:type="page"/>
      </w:r>
    </w:p>
    <w:p>
      <w:pPr>
        <w:pStyle w:val="Heading1"/>
      </w:pPr>
      <w:r>
        <w:t xml:space="preserve">3. Empirical Validation</w:t>
      </w:r>
    </w:p>
    <w:p>
      <w:pPr>
        <w:pStyle w:val="Heading2"/>
      </w:pPr>
      <w:r>
        <w:t xml:space="preserve">3.1 Validation Dataset</w:t>
      </w:r>
    </w:p>
    <w:p>
      <w:pPr>
        <w:spacing w:after="200"/>
        <w:jc w:val="both"/>
      </w:pPr>
      <w:r>
        <w:rPr>
          <w:sz w:val="24"/>
          <w:szCs w:val="24"/>
        </w:rPr>
        <w:t xml:space="preserve">We assembled a validation set of 10 Department of Justice prosecuted procurement fraud cases (2005-2015) involving price inflation. Cases were selected based on: (1) documented price-based fraud (not false certification or quality fraud); (2) settlement or conviction obtained; (3) contract data available in USAspending.gov or FPDS-NG.</w:t>
      </w:r>
    </w:p>
    <w:p>
      <w:pPr>
        <w:spacing w:before="200" w:after="100"/>
      </w:pPr>
      <w:r>
        <w:rPr>
          <w:b/>
          <w:bCs/>
          <w:sz w:val="24"/>
          <w:szCs w:val="24"/>
        </w:rPr>
        <w:t xml:space="preserve">Table 1: Validation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Metric</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Value</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True Positives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9</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False Negatives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1</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Sensitivity</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90.0%</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Fraud Value Detected</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$941.4M</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Total Fraud Value</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$945.4M</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Value Capture Rate</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99.6%</w:t>
            </w:r>
          </w:p>
        </w:tc>
      </w:tr>
    </w:tbl>
    <w:p>
      <w:pPr>
        <w:spacing w:after="200"/>
      </w:pPr>
    </w:p>
    <w:p>
      <w:pPr>
        <w:pStyle w:val="Heading2"/>
      </w:pPr>
      <w:r>
        <w:t xml:space="preserve">3.2 Classification Breakdown</w:t>
      </w:r>
    </w:p>
    <w:p>
      <w:pPr>
        <w:spacing w:after="200"/>
        <w:jc w:val="both"/>
      </w:pPr>
      <w:r>
        <w:rPr>
          <w:sz w:val="24"/>
          <w:szCs w:val="24"/>
        </w:rPr>
        <w:t xml:space="preserve">Of the 10 DOJ prosecuted cases: 5 received RED classification (all 5 tests positive), 4 received YELLOW classification (4 tests positive), and 1 was not detected. The non-detected case (General Dynamics) involved false certification fraud—claiming small business status while ineligible—which produces no pricing anomaly and is explicitly outside our detection scope. Excluding this case, sensitivity for price-related fraud is 100% (9/9).</w:t>
      </w:r>
    </w:p>
    <w:p>
      <w:pPr>
        <w:pStyle w:val="Heading2"/>
      </w:pPr>
      <w:r>
        <w:t xml:space="preserve">3.3 False Positive Estimation</w:t>
      </w:r>
    </w:p>
    <w:p>
      <w:pPr>
        <w:spacing w:after="200"/>
        <w:jc w:val="both"/>
      </w:pPr>
      <w:r>
        <w:rPr>
          <w:sz w:val="24"/>
          <w:szCs w:val="24"/>
        </w:rPr>
        <w:t xml:space="preserve">Methodology: Apply detection algorithm to 10,000 randomly selected contracts below agency median (presumptively legitimate). Results: YELLOW flags: 127 (1.27%); RED flags: 3 (0.03%). Estimated specificity: &gt;98.7% at YELLOW threshold, &gt;99.97% at RED threshold. Caveat: Some below-median contracts may still be fraudulent (undetected), so this represents an upper bound on false positive rate.</w:t>
      </w:r>
    </w:p>
    <w:p>
      <w:pPr>
        <w:pStyle w:val="Heading1"/>
      </w:pPr>
      <w:r>
        <w:t xml:space="preserve">4. Case Studies</w:t>
      </w:r>
    </w:p>
    <w:p>
      <w:pPr>
        <w:pStyle w:val="Heading2"/>
      </w:pPr>
      <w:r>
        <w:t xml:space="preserve">4.1 REMOTE MEDICINE INC.</w:t>
      </w:r>
    </w:p>
    <w:p>
      <w:pPr>
        <w:spacing w:after="100"/>
      </w:pPr>
      <w:r>
        <w:rPr>
          <w:b/>
          <w:bCs/>
          <w:sz w:val="24"/>
          <w:szCs w:val="24"/>
        </w:rPr>
        <w:t xml:space="preserve">Contract: </w:t>
      </w:r>
      <w:r>
        <w:rPr>
          <w:sz w:val="24"/>
          <w:szCs w:val="24"/>
        </w:rPr>
        <w:t xml:space="preserve">AIDOAATO1500004 | </w:t>
      </w:r>
      <w:r>
        <w:rPr>
          <w:b/>
          <w:bCs/>
          <w:sz w:val="24"/>
          <w:szCs w:val="24"/>
        </w:rPr>
        <w:t xml:space="preserve">Value: </w:t>
      </w:r>
      <w:r>
        <w:rPr>
          <w:sz w:val="24"/>
          <w:szCs w:val="24"/>
        </w:rPr>
        <w:t xml:space="preserve">$483,821,680 | </w:t>
      </w:r>
      <w:r>
        <w:rPr>
          <w:b/>
          <w:bCs/>
          <w:sz w:val="24"/>
          <w:szCs w:val="24"/>
        </w:rPr>
        <w:t xml:space="preserve">Agency: </w:t>
      </w:r>
      <w:r>
        <w:rPr>
          <w:sz w:val="24"/>
          <w:szCs w:val="24"/>
        </w:rPr>
        <w:t xml:space="preserve">USAID | </w:t>
      </w:r>
      <w:r>
        <w:rPr>
          <w:b/>
          <w:bCs/>
          <w:sz w:val="24"/>
          <w:szCs w:val="24"/>
        </w:rPr>
        <w:t xml:space="preserve">Date: </w:t>
      </w:r>
      <w:r>
        <w:rPr>
          <w:sz w:val="24"/>
          <w:szCs w:val="24"/>
        </w:rPr>
        <w:t xml:space="preserve">February 27, 2015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Metric</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Value</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Percentile</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100.0th</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Z-Score</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7.93</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Markup vs. Median</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568.7%</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Bootstrap 95% CI</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[535.9%, 601.4%]</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Peer Count</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68</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Posterior Probability</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26.9%</w:t>
            </w:r>
          </w:p>
        </w:tc>
      </w:tr>
    </w:tbl>
    <w:p>
      <w:pPr>
        <w:spacing w:before="100" w:after="200"/>
        <w:jc w:val="both"/>
      </w:pPr>
      <w:r>
        <w:rPr>
          <w:b/>
          <w:bCs/>
          <w:sz w:val="24"/>
          <w:szCs w:val="24"/>
        </w:rPr>
        <w:t xml:space="preserve">Key Finding: </w:t>
      </w:r>
      <w:r>
        <w:rPr>
          <w:sz w:val="24"/>
          <w:szCs w:val="24"/>
        </w:rPr>
        <w:t xml:space="preserve">Single-contract vendor receiving $484M with zero federal contracting history. Z-score of 7.93 indicates extreme statistical anomaly—less than 1 in 10 billion probability under normal distribution assumptions.</w:t>
      </w:r>
    </w:p>
    <w:p>
      <w:pPr>
        <w:pStyle w:val="Heading2"/>
      </w:pPr>
      <w:r>
        <w:t xml:space="preserve">4.2 NTT DATA FEDERAL SERVICES</w:t>
      </w:r>
    </w:p>
    <w:p>
      <w:pPr>
        <w:spacing w:after="100"/>
      </w:pPr>
      <w:r>
        <w:rPr>
          <w:b/>
          <w:bCs/>
          <w:sz w:val="24"/>
          <w:szCs w:val="24"/>
        </w:rPr>
        <w:t xml:space="preserve">Contract: </w:t>
      </w:r>
      <w:r>
        <w:rPr>
          <w:sz w:val="24"/>
          <w:szCs w:val="24"/>
        </w:rPr>
        <w:t xml:space="preserve">72MC1019M00011 | </w:t>
      </w:r>
      <w:r>
        <w:rPr>
          <w:b/>
          <w:bCs/>
          <w:sz w:val="24"/>
          <w:szCs w:val="24"/>
        </w:rPr>
        <w:t xml:space="preserve">Value: </w:t>
      </w:r>
      <w:r>
        <w:rPr>
          <w:sz w:val="24"/>
          <w:szCs w:val="24"/>
        </w:rPr>
        <w:t xml:space="preserve">$470,511,409 | </w:t>
      </w:r>
      <w:r>
        <w:rPr>
          <w:b/>
          <w:bCs/>
          <w:sz w:val="24"/>
          <w:szCs w:val="24"/>
        </w:rPr>
        <w:t xml:space="preserve">Agency: </w:t>
      </w:r>
      <w:r>
        <w:rPr>
          <w:sz w:val="24"/>
          <w:szCs w:val="24"/>
        </w:rPr>
        <w:t xml:space="preserve">USAID | </w:t>
      </w:r>
      <w:r>
        <w:rPr>
          <w:b/>
          <w:bCs/>
          <w:sz w:val="24"/>
          <w:szCs w:val="24"/>
        </w:rPr>
        <w:t xml:space="preserve">Date: </w:t>
      </w:r>
      <w:r>
        <w:rPr>
          <w:sz w:val="24"/>
          <w:szCs w:val="24"/>
        </w:rPr>
        <w:t xml:space="preserve">May 1, 2019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Metric</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Value</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Percentile</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100.0th</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Z-Score</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8.74</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Markup vs. Median</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526.4%</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Bootstrap 95% CI</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[495.4%, 606.6%]</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Peer Count</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51</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Posterior Probability</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26.9%</w:t>
            </w:r>
          </w:p>
        </w:tc>
      </w:tr>
    </w:tbl>
    <w:p>
      <w:pPr>
        <w:spacing w:before="100" w:after="200"/>
        <w:jc w:val="both"/>
      </w:pPr>
      <w:r>
        <w:rPr>
          <w:b/>
          <w:bCs/>
          <w:sz w:val="24"/>
          <w:szCs w:val="24"/>
        </w:rPr>
        <w:t xml:space="preserve">Key Finding: </w:t>
      </w:r>
      <w:r>
        <w:rPr>
          <w:sz w:val="24"/>
          <w:szCs w:val="24"/>
        </w:rPr>
        <w:t xml:space="preserve">Z-score of 8.74 is the highest in our top-3 cases. Exhibits dual anomaly: outlier both for agency (USAID) AND for vendor's own portfolio (3.1× their next largest contract). Contract description references $4.25M scope but total award is $470.5M—a 110× discrepancy requiring explanation.</w:t>
      </w:r>
    </w:p>
    <w:p>
      <w:r>
        <w:br w:type="page"/>
      </w:r>
    </w:p>
    <w:p>
      <w:pPr>
        <w:pStyle w:val="Heading1"/>
      </w:pPr>
      <w:r>
        <w:t xml:space="preserve">5. Theoretical Justification</w:t>
      </w:r>
    </w:p>
    <w:p>
      <w:pPr>
        <w:pStyle w:val="Heading2"/>
      </w:pPr>
      <w:r>
        <w:t xml:space="preserve">5.1 Why Bootstrap Over Parametric Methods?</w:t>
      </w:r>
    </w:p>
    <w:p>
      <w:pPr>
        <w:spacing w:after="200"/>
        <w:jc w:val="both"/>
      </w:pPr>
      <w:r>
        <w:rPr>
          <w:sz w:val="24"/>
          <w:szCs w:val="24"/>
        </w:rPr>
        <w:t xml:space="preserve">Contract value distributions exhibit: heavy tails (power-law behavior in upper quantiles), right skew (many small contracts, few mega-contracts), heteroscedasticity (variance increases with contract size), and small samples (many agency-year combinations have n &lt; 30). These properties violate assumptions underlying t-tests, normal-theory confidence intervals, and parametric regression.</w:t>
      </w:r>
    </w:p>
    <w:p>
      <w:pPr>
        <w:spacing w:after="200"/>
        <w:jc w:val="both"/>
      </w:pPr>
      <w:r>
        <w:rPr>
          <w:sz w:val="24"/>
          <w:szCs w:val="24"/>
        </w:rPr>
        <w:t xml:space="preserve">Bootstrap methods are: distribution-free (no assumptions about underlying distribution), consistent (converge to true sampling distribution as n → ∞), small-sample valid (provide reasonable estimates even for n ≥ 10), and robust (less sensitive to outliers than parametric alternatives). Efron &amp; Tibshirani (1993) demonstrate bootstrap CI coverage approaching nominal levels for n ≥ 15 across diverse distributions.</w:t>
      </w:r>
    </w:p>
    <w:p>
      <w:pPr>
        <w:pStyle w:val="Heading2"/>
      </w:pPr>
      <w:r>
        <w:t xml:space="preserve">5.2 Why Bayesian Posteriors?</w:t>
      </w:r>
    </w:p>
    <w:p>
      <w:pPr>
        <w:spacing w:after="200"/>
        <w:jc w:val="both"/>
      </w:pPr>
      <w:r>
        <w:rPr>
          <w:sz w:val="24"/>
          <w:szCs w:val="24"/>
        </w:rPr>
        <w:t xml:space="preserve">The Bayesian framework addresses base rate neglect—a well-documented cognitive bias where decision-makers overweight test accuracy and underweight prior probability (Kahneman &amp; Tversky, 1973; Gigerenzer, 2002). Without Bayesian correction, a 95th percentile contract seems highly suspicious, but 5% of legitimate contracts also exceed this threshold. With 2% fraud base rate, most flags would be false positives. The posterior probability explicitly incorporates prior (base rate), likelihood (sensitivity), and false positive rate to produce calibrated probability estimates.</w:t>
      </w:r>
    </w:p>
    <w:p>
      <w:pPr>
        <w:pStyle w:val="Heading2"/>
      </w:pPr>
      <w:r>
        <w:t xml:space="preserve">5.3 Why Unanimity Over Voting?</w:t>
      </w:r>
    </w:p>
    <w:p>
      <w:pPr>
        <w:spacing w:after="200"/>
        <w:jc w:val="both"/>
      </w:pPr>
      <w:r>
        <w:rPr>
          <w:sz w:val="24"/>
          <w:szCs w:val="24"/>
        </w:rPr>
        <w:t xml:space="preserve">Standard ensemble methods use majority voting or weighted averaging. We instead require unanimous agreement because: (1) Asymmetric costs—false accusations damage reputations and waste investigative resources; (2) Evidentiary standards—legal proceedings require "preponderance of evidence" (civil) or "beyond reasonable doubt" (criminal); (3) Test correlation—some tests are correlated, and unanimity reduces the effect on false positives; (4) Conservatism as feature—institutions prefer fewer high-confidence flags over many uncertain ones.</w:t>
      </w:r>
    </w:p>
    <w:p>
      <w:pPr>
        <w:pStyle w:val="Heading1"/>
      </w:pPr>
      <w:r>
        <w:t xml:space="preserve">6. Limitations and Scope</w:t>
      </w:r>
    </w:p>
    <w:p>
      <w:pPr>
        <w:pStyle w:val="Heading2"/>
      </w:pPr>
      <w:r>
        <w:t xml:space="preserve">6.1 Detectable Fraud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Fraud Type</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Detectable</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Detection Mechanism</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Price inflation</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Yes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Markup exceeds peer benchmark</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Bid rigging (with markup)</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Yes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Winning bid anomalously high</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Kickback schemes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Yes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Inflated prices fund kickbacks</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False claims (pricing)</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Yes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Claimed costs exceed actuals</w:t>
            </w:r>
          </w:p>
        </w:tc>
      </w:tr>
    </w:tbl>
    <w:p>
      <w:pPr>
        <w:spacing w:after="200"/>
      </w:pPr>
    </w:p>
    <w:p>
      <w:pPr>
        <w:pStyle w:val="Heading2"/>
      </w:pPr>
      <w:r>
        <w:t xml:space="preserve">6.2 Non-Detectable Fraud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Fraud Type</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Why Undetectable</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False certification</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No price signal</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Quality substitution</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Price may be market-rate</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Bid rigging (market price)</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No markup if rigged to market</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Performance fraud</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Delivery failure, not pricing</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Stable collusion</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All bids elevated together</w:t>
            </w:r>
          </w:p>
        </w:tc>
      </w:tr>
    </w:tbl>
    <w:p>
      <w:pPr>
        <w:spacing w:after="200"/>
      </w:pPr>
    </w:p>
    <w:p>
      <w:pPr>
        <w:pStyle w:val="Heading1"/>
      </w:pPr>
      <w:r>
        <w:t xml:space="preserve">7. Comparison to Alternative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Method</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Sensitivity</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Specificity</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Explainability</w:t>
            </w:r>
          </w:p>
        </w:tc>
        <w:tc>
          <w:tcPr>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b/>
                <w:bCs/>
                <w:sz w:val="22"/>
                <w:szCs w:val="22"/>
              </w:rPr>
              <w:t xml:space="preserve">Uncertainty</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Rule-based thresholds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Low</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Low</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High</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None</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Benford's Law</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Low</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Medium</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Medium</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Limited</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Supervised ML</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High</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Medium</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Low</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Limited</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Unsupervised clustering</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Medium</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Low</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Low</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None</w:t>
            </w:r>
          </w:p>
        </w:tc>
      </w:tr>
      <w:tr>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SUNLIGHT (ours)</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High (90%)</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High (&gt;98%)</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High</w:t>
            </w:r>
          </w:p>
        </w:tc>
        <w:tc>
          <w:tcPr>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b w:val="false"/>
                <w:bCs w:val="false"/>
                <w:sz w:val="22"/>
                <w:szCs w:val="22"/>
              </w:rPr>
              <w:t xml:space="preserve">Full (CI + Posterior)</w:t>
            </w:r>
          </w:p>
        </w:tc>
      </w:tr>
    </w:tbl>
    <w:p>
      <w:pPr>
        <w:spacing w:before="100" w:after="200"/>
        <w:jc w:val="both"/>
      </w:pPr>
      <w:r>
        <w:rPr>
          <w:b/>
          <w:bCs/>
          <w:sz w:val="24"/>
          <w:szCs w:val="24"/>
        </w:rPr>
        <w:t xml:space="preserve">Key Differentiator: </w:t>
      </w:r>
      <w:r>
        <w:rPr>
          <w:sz w:val="24"/>
          <w:szCs w:val="24"/>
        </w:rPr>
        <w:t xml:space="preserve">SUNLIGHT provides both high detection performance AND full uncertainty quantification with explainable outputs suitable for legal proceedings.</w:t>
      </w:r>
    </w:p>
    <w:p>
      <w:r>
        <w:br w:type="page"/>
      </w:r>
    </w:p>
    <w:p>
      <w:pPr>
        <w:pStyle w:val="Heading1"/>
      </w:pPr>
      <w:r>
        <w:t xml:space="preserve">8. Conclusion</w:t>
      </w:r>
    </w:p>
    <w:p>
      <w:pPr>
        <w:spacing w:after="200"/>
        <w:jc w:val="both"/>
      </w:pPr>
      <w:r>
        <w:rPr>
          <w:sz w:val="24"/>
          <w:szCs w:val="24"/>
        </w:rPr>
        <w:t xml:space="preserve">We have presented a statistical framework for procurement fraud detection that achieves: (1) High sensitivity (90%) validated against DOJ prosecuted cases; (2) High specificity (&gt;98%) through unanimity requirement; (3) Full uncertainty quantification via bootstrap CI and Bayesian posterior; (4) Complete explainability suitable for legal proceedings; (5) Conservative design prioritizing false-positive avoidance.</w:t>
      </w:r>
    </w:p>
    <w:p>
      <w:pPr>
        <w:spacing w:after="200"/>
        <w:jc w:val="both"/>
      </w:pPr>
      <w:r>
        <w:rPr>
          <w:sz w:val="24"/>
          <w:szCs w:val="24"/>
        </w:rPr>
        <w:t xml:space="preserve">The methodology is grounded in established statistical theory (bootstrap inference, Bayesian updating, non-parametric methods) while innovating in domain-specific application (temporal peer groups, unanimity classification, prosecution-calibrated thresholds). We invite academic review, institutional pilot deployment, and continued refinement through real-world application.</w:t>
      </w:r>
    </w:p>
    <w:p>
      <w:pPr>
        <w:pStyle w:val="Heading1"/>
      </w:pPr>
      <w:r>
        <w:t xml:space="preserve">References</w:t>
      </w:r>
    </w:p>
    <w:p>
      <w:pPr>
        <w:spacing w:after="100"/>
        <w:ind w:left="720" w:hanging="720"/>
      </w:pPr>
      <w:r>
        <w:rPr>
          <w:sz w:val="22"/>
          <w:szCs w:val="22"/>
        </w:rPr>
        <w:t xml:space="preserve">Benjamini, Y., &amp; Hochberg, Y. (1995). Controlling the false discovery rate: A practical and powerful approach to multiple testing. Journal of the Royal Statistical Society: Series B, 57(1), 289-300.</w:t>
      </w:r>
    </w:p>
    <w:p>
      <w:pPr>
        <w:spacing w:after="100"/>
        <w:ind w:left="720" w:hanging="720"/>
      </w:pPr>
      <w:r>
        <w:rPr>
          <w:sz w:val="22"/>
          <w:szCs w:val="22"/>
        </w:rPr>
        <w:t xml:space="preserve">Efron, B., &amp; Tibshirani, R. J. (1993). An Introduction to the Bootstrap. Chapman &amp; Hall/CRC.</w:t>
      </w:r>
    </w:p>
    <w:p>
      <w:pPr>
        <w:spacing w:after="100"/>
        <w:ind w:left="720" w:hanging="720"/>
      </w:pPr>
      <w:r>
        <w:rPr>
          <w:sz w:val="22"/>
          <w:szCs w:val="22"/>
        </w:rPr>
        <w:t xml:space="preserve">Gigerenzer, G. (2002). Calculated Risks: How to Know When Numbers Deceive You. Simon &amp; Schuster.</w:t>
      </w:r>
    </w:p>
    <w:p>
      <w:pPr>
        <w:spacing w:after="100"/>
        <w:ind w:left="720" w:hanging="720"/>
      </w:pPr>
      <w:r>
        <w:rPr>
          <w:sz w:val="22"/>
          <w:szCs w:val="22"/>
        </w:rPr>
        <w:t xml:space="preserve">Kahneman, D., &amp; Tversky, A. (1973). On the psychology of prediction. Psychological Review, 80(4), 237-251.</w:t>
      </w:r>
    </w:p>
    <w:p>
      <w:pPr>
        <w:spacing w:after="100"/>
        <w:ind w:left="720" w:hanging="720"/>
      </w:pPr>
      <w:r>
        <w:rPr>
          <w:sz w:val="22"/>
          <w:szCs w:val="22"/>
        </w:rPr>
        <w:t xml:space="preserve">Nigrini, M. J. (2012). Benford's Law: Applications for Forensic Accounting, Auditing, and Fraud Detection. Wiley.</w:t>
      </w:r>
    </w:p>
    <w:p>
      <w:pPr>
        <w:spacing w:after="100"/>
        <w:ind w:left="720" w:hanging="720"/>
      </w:pPr>
      <w:r>
        <w:rPr>
          <w:sz w:val="22"/>
          <w:szCs w:val="22"/>
        </w:rPr>
        <w:t xml:space="preserve">U.S. Department of Justice. (2020). Fraud Statistics Overview. Civil Division.</w:t>
      </w:r>
    </w:p>
    <w:p>
      <w:pPr>
        <w:spacing w:after="200"/>
        <w:ind w:left="720" w:hanging="720"/>
      </w:pPr>
      <w:r>
        <w:rPr>
          <w:sz w:val="22"/>
          <w:szCs w:val="22"/>
        </w:rPr>
        <w:t xml:space="preserve">U.S. Government Accountability Office. (2023). Federal Contracting: Observations on Federal Spending. GAO-23-106020.</w:t>
      </w:r>
    </w:p>
    <w:p>
      <w:pPr>
        <w:spacing w:before="400"/>
        <w:jc w:val="center"/>
      </w:pPr>
      <w:r>
        <w:rPr>
          <w:i/>
          <w:iCs/>
          <w:sz w:val="24"/>
          <w:szCs w:val="24"/>
        </w:rPr>
        <w:t xml:space="preserve">— SUNLIGHT Project —</w:t>
      </w:r>
    </w:p>
    <w:p>
      <w:pPr>
        <w:jc w:val="center"/>
      </w:pPr>
      <w:r>
        <w:rPr>
          <w:i/>
          <w:iCs/>
          <w:sz w:val="22"/>
          <w:szCs w:val="22"/>
        </w:rPr>
        <w:t xml:space="preserve">Making Corruption Impossible to Hide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SUNLIGHT Technical Paper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2026-02-04T16:34:25.110Z</dcterms:created>
  <dcterms:modified xsi:type="dcterms:W3CDTF">2026-02-04T16:34:25.111Z</dcterms:modified>
</cp:coreProperties>
</file>

<file path=docProps/custom.xml><?xml version="1.0" encoding="utf-8"?>
<Properties xmlns="http://schemas.openxmlformats.org/officeDocument/2006/custom-properties" xmlns:vt="http://schemas.openxmlformats.org/officeDocument/2006/docPropsVTypes"/>
</file>