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888888"/>
          <w:sz w:val="20"/>
          <w:szCs w:val="20"/>
        </w:rPr>
        <w:t xml:space="preserve">UNIVERSIDAD NACIONAL DE INGENIERIA</w:t>
      </w:r>
    </w:p>
    <w:p>
      <w:pPr>
        <w:spacing w:after="80" w:before="0"/>
        <w:jc w:val="center"/>
      </w:pPr>
      <w:r>
        <w:rPr>
          <w:rFonts w:ascii="Arial" w:cs="Arial" w:eastAsia="Arial" w:hAnsi="Arial"/>
          <w:color w:val="888888"/>
          <w:sz w:val="20"/>
          <w:szCs w:val="20"/>
        </w:rPr>
        <w:t xml:space="preserve">Maestria en Ingenieria Estadistica</w:t>
      </w:r>
    </w:p>
    <w:p>
      <w:pPr>
        <w:spacing w:after="320" w:before="0"/>
        <w:jc w:val="center"/>
      </w:pPr>
      <w:r>
        <w:rPr>
          <w:rFonts w:ascii="Arial" w:cs="Arial" w:eastAsia="Arial" w:hAnsi="Arial"/>
          <w:color w:val="888888"/>
          <w:sz w:val="20"/>
          <w:szCs w:val="20"/>
        </w:rPr>
        <w:t xml:space="preserve">Inferencia Causal Aplicada con Python  |  ICA 2026-I</w:t>
      </w:r>
    </w:p>
    <w:p>
      <w:pPr>
        <w:pBdr>
          <w:top w:val="single" w:color="1F4E79" w:sz="12" w:space="1"/>
        </w:pBdr>
        <w:spacing w:after="160" w:before="0"/>
        <w:jc w:val="center"/>
      </w:pPr>
      <w:r>
        <w:rPr>
          <w:rFonts w:ascii="Arial" w:cs="Arial" w:eastAsia="Arial" w:hAnsi="Arial"/>
          <w:b/>
          <w:bCs/>
          <w:color w:val="1F4E79"/>
          <w:sz w:val="36"/>
          <w:szCs w:val="36"/>
        </w:rPr>
        <w:t xml:space="preserve">ETAPA 1: PLANIFICACION DEL PROYECTO</w:t>
      </w:r>
    </w:p>
    <w:p>
      <w:pPr>
        <w:spacing w:after="80" w:before="80"/>
        <w:jc w:val="center"/>
      </w:pPr>
      <w:r>
        <w:rPr>
          <w:rFonts w:ascii="Arial" w:cs="Arial" w:eastAsia="Arial" w:hAnsi="Arial"/>
          <w:b/>
          <w:bCs/>
          <w:color w:val="404040"/>
          <w:sz w:val="26"/>
          <w:szCs w:val="26"/>
        </w:rPr>
        <w:t xml:space="preserve">Propuesta N.o 4 - Categoria 3: Datasets Benchmark</w:t>
      </w:r>
    </w:p>
    <w:p>
      <w:pPr>
        <w:pBdr>
          <w:bottom w:val="single" w:color="1F4E79" w:sz="12" w:space="1"/>
        </w:pBdr>
        <w:spacing w:after="480" w:before="80"/>
        <w:jc w:val="center"/>
      </w:pPr>
      <w:r>
        <w:rPr>
          <w:rFonts w:ascii="Arial" w:cs="Arial" w:eastAsia="Arial" w:hAnsi="Arial"/>
          <w:i/>
          <w:iCs/>
          <w:color w:val="404040"/>
          <w:sz w:val="24"/>
          <w:szCs w:val="24"/>
        </w:rPr>
        <w:t xml:space="preserve">LaLonde / NSW: Evaluacion de Metodos Observacionales Mediante Benchmarking Experimental</w:t>
      </w:r>
    </w:p>
    <w:p>
      <w:pPr>
        <w:spacing w:after="60" w:before="240"/>
        <w:jc w:val="center"/>
      </w:pPr>
      <w:r>
        <w:rPr>
          <w:rFonts w:ascii="Arial" w:cs="Arial" w:eastAsia="Arial" w:hAnsi="Arial"/>
          <w:color w:val="404040"/>
          <w:sz w:val="22"/>
          <w:szCs w:val="22"/>
        </w:rPr>
        <w:t xml:space="preserve">Estudiante: Hugo Fernando Quiroz</w:t>
      </w:r>
    </w:p>
    <w:p>
      <w:pPr>
        <w:spacing w:after="60" w:before="0"/>
        <w:jc w:val="center"/>
      </w:pPr>
      <w:r>
        <w:rPr>
          <w:rFonts w:ascii="Arial" w:cs="Arial" w:eastAsia="Arial" w:hAnsi="Arial"/>
          <w:color w:val="404040"/>
          <w:sz w:val="22"/>
          <w:szCs w:val="22"/>
        </w:rPr>
        <w:t xml:space="preserve">Docente: Dr. Jaime Lincovil Curivil</w:t>
      </w:r>
    </w:p>
    <w:p>
      <w:pPr>
        <w:spacing w:after="60" w:before="0"/>
        <w:jc w:val="center"/>
      </w:pPr>
      <w:r>
        <w:rPr>
          <w:rFonts w:ascii="Arial" w:cs="Arial" w:eastAsia="Arial" w:hAnsi="Arial"/>
          <w:color w:val="404040"/>
          <w:sz w:val="22"/>
          <w:szCs w:val="22"/>
        </w:rPr>
        <w:t xml:space="preserve">Fecha de entrega: 15 de mayo de 2026</w:t>
      </w:r>
    </w:p>
    <w:p>
      <w:r>
        <w:br w:type="page"/>
      </w:r>
    </w:p>
    <w:p>
      <w:pPr>
        <w:pStyle w:val="Heading1"/>
        <w:spacing w:after="160" w:before="320"/>
      </w:pPr>
      <w:r>
        <w:rPr>
          <w:rFonts w:ascii="Arial" w:cs="Arial" w:eastAsia="Arial" w:hAnsi="Arial"/>
          <w:b/>
          <w:bCs/>
          <w:color w:val="1F4E79"/>
          <w:sz w:val="28"/>
          <w:szCs w:val="28"/>
        </w:rPr>
        <w:t xml:space="preserve">1. Pregunta Causal y Nivel en la Jerarquia GCE</w:t>
      </w:r>
    </w:p>
    <w:p>
      <w:pPr>
        <w:pStyle w:val="Heading2"/>
        <w:spacing w:after="120" w:before="240"/>
      </w:pPr>
      <w:r>
        <w:rPr>
          <w:rFonts w:ascii="Arial" w:cs="Arial" w:eastAsia="Arial" w:hAnsi="Arial"/>
          <w:b/>
          <w:bCs/>
          <w:color w:val="1F4E79"/>
          <w:sz w:val="24"/>
          <w:szCs w:val="24"/>
        </w:rPr>
        <w:t xml:space="preserve">1.1. Motivacion y contexto</w:t>
      </w:r>
    </w:p>
    <w:p>
      <w:pPr>
        <w:spacing w:after="80" w:before="80"/>
        <w:jc w:val="both"/>
      </w:pPr>
      <w:r>
        <w:rPr>
          <w:rFonts w:ascii="Arial" w:cs="Arial" w:eastAsia="Arial" w:hAnsi="Arial"/>
          <w:color w:val="404040"/>
          <w:sz w:val="22"/>
          <w:szCs w:val="22"/>
        </w:rPr>
        <w:t xml:space="preserve">El estudio seminal de LaLonde (1986) demostro que los metodos econometricos observacionales de la epoca no lograban replicar el efecto causal del programa de capacitacion laboral NSW (National Supported Work), estimado via experimento aleatorizado controlado (RCT). Este hallazgo genero un debate metodologico de larga data: bajo que condiciones y con que estimadores los datos observacionales son suficientes para inferir efectos causales.</w:t>
      </w:r>
    </w:p>
    <w:p>
      <w:pPr>
        <w:spacing w:after="80" w:before="80"/>
        <w:jc w:val="both"/>
      </w:pPr>
      <w:r>
        <w:rPr>
          <w:rFonts w:ascii="Arial" w:cs="Arial" w:eastAsia="Arial" w:hAnsi="Arial"/>
          <w:color w:val="404040"/>
          <w:sz w:val="22"/>
          <w:szCs w:val="22"/>
        </w:rPr>
        <w:t xml:space="preserve">Dehejia y Wahba (1999) retomaron el problema mostrando que el Propensity Score Matching, aplicado sobre un subconjunto curado del CPS-1, si lograba recuperar el estimado experimental. La discusion subsiguiente ha convertido al dataset LaLonde/NSW en el benchmark canonico para evaluar la validez de los metodos de inferencia causal observacional.</w:t>
      </w:r>
    </w:p>
    <w:p>
      <w:pPr>
        <w:spacing w:after="80" w:before="80"/>
        <w:jc w:val="both"/>
      </w:pPr>
      <w:r>
        <w:rPr>
          <w:rFonts w:ascii="Arial" w:cs="Arial" w:eastAsia="Arial" w:hAnsi="Arial"/>
          <w:color w:val="404040"/>
          <w:sz w:val="22"/>
          <w:szCs w:val="22"/>
        </w:rPr>
        <w:t xml:space="preserve">Este proyecto replica y extiende esa tradicion, incorporando estimadores modernos (AIPW, DML, Control Sintetico) y herramientas formales de inferencia causal (DAGs, criterio backdoor, analisis de sensibilidad), con el objetivo de establecer limites precisos sobre cuando los metodos observacionales son confiables en el contexto de evaluacion de programas sociales.</w:t>
      </w:r>
    </w:p>
    <w:p>
      <w:pPr>
        <w:spacing w:after="60" w:before="60"/>
      </w:pPr>
      <w:r>
        <w:t xml:space="preserve"/>
      </w:r>
    </w:p>
    <w:p>
      <w:pPr>
        <w:pStyle w:val="Heading2"/>
        <w:spacing w:after="120" w:before="240"/>
      </w:pPr>
      <w:r>
        <w:rPr>
          <w:rFonts w:ascii="Arial" w:cs="Arial" w:eastAsia="Arial" w:hAnsi="Arial"/>
          <w:b/>
          <w:bCs/>
          <w:color w:val="1F4E79"/>
          <w:sz w:val="24"/>
          <w:szCs w:val="24"/>
        </w:rPr>
        <w:t xml:space="preserve">1.2. Pregunta causal formal</w:t>
      </w:r>
    </w:p>
    <w:p>
      <w:pPr>
        <w:spacing w:after="80" w:before="80"/>
        <w:jc w:val="both"/>
      </w:pPr>
      <w:r>
        <w:rPr>
          <w:rFonts w:ascii="Arial" w:cs="Arial" w:eastAsia="Arial" w:hAnsi="Arial"/>
          <w:b/>
          <w:bCs/>
          <w:color w:val="404040"/>
          <w:sz w:val="22"/>
          <w:szCs w:val="22"/>
        </w:rPr>
        <w:t xml:space="preserve">Pregunta principal (Nivel 1): </w:t>
      </w:r>
      <w:r>
        <w:rPr>
          <w:rFonts w:ascii="Arial" w:cs="Arial" w:eastAsia="Arial" w:hAnsi="Arial"/>
          <w:color w:val="404040"/>
          <w:sz w:val="22"/>
          <w:szCs w:val="22"/>
        </w:rPr>
        <w:t xml:space="preserve">Cual es el efecto promedio del programa NSW sobre los ingresos reales de 1978 de los participantes, condicionado en las covariables pre-tratamiento observadas?</w:t>
      </w:r>
    </w:p>
    <w:p>
      <w:pPr>
        <w:spacing w:after="60" w:before="60"/>
      </w:pPr>
      <w:r>
        <w:t xml:space="preserve"/>
      </w:r>
    </w:p>
    <w:p>
      <w:pPr>
        <w:spacing w:after="80" w:before="80"/>
        <w:jc w:val="both"/>
      </w:pPr>
      <w:r>
        <w:rPr>
          <w:rFonts w:ascii="Arial" w:cs="Arial" w:eastAsia="Arial" w:hAnsi="Arial"/>
          <w:b/>
          <w:bCs/>
          <w:color w:val="404040"/>
          <w:sz w:val="22"/>
          <w:szCs w:val="22"/>
        </w:rPr>
        <w:t xml:space="preserve">Pregunta contrafactual (Nivel 3): </w:t>
      </w:r>
      <w:r>
        <w:rPr>
          <w:rFonts w:ascii="Arial" w:cs="Arial" w:eastAsia="Arial" w:hAnsi="Arial"/>
          <w:color w:val="404040"/>
          <w:sz w:val="22"/>
          <w:szCs w:val="22"/>
        </w:rPr>
        <w:t xml:space="preserve">Cuanto habrian ganado en 1978 los participantes del programa NSW si no hubieran participado?</w:t>
      </w:r>
    </w:p>
    <w:p>
      <w:pPr>
        <w:spacing w:after="60" w:before="60"/>
      </w:pPr>
      <w:r>
        <w:t xml:space="preserve"/>
      </w:r>
    </w:p>
    <w:p>
      <w:pPr>
        <w:spacing w:after="80" w:before="80"/>
        <w:jc w:val="both"/>
      </w:pPr>
      <w:r>
        <w:rPr>
          <w:rFonts w:ascii="Arial" w:cs="Arial" w:eastAsia="Arial" w:hAnsi="Arial"/>
          <w:b/>
          <w:bCs/>
          <w:color w:val="404040"/>
          <w:sz w:val="22"/>
          <w:szCs w:val="22"/>
        </w:rPr>
        <w:t xml:space="preserve">Pregunta metodologica (Nivel 1): </w:t>
      </w:r>
      <w:r>
        <w:rPr>
          <w:rFonts w:ascii="Arial" w:cs="Arial" w:eastAsia="Arial" w:hAnsi="Arial"/>
          <w:color w:val="404040"/>
          <w:sz w:val="22"/>
          <w:szCs w:val="22"/>
        </w:rPr>
        <w:t xml:space="preserve">Pueden los metodos observacionales modernos (AIPW, DML, Control Sintetico) replicar el efecto causal estimado por el RCT de NSW, cuando se sustituye el grupo control experimental por el CPS-1 o PSID?</w:t>
      </w:r>
    </w:p>
    <w:p>
      <w:pPr>
        <w:spacing w:after="60" w:before="60"/>
      </w:pPr>
      <w:r>
        <w:t xml:space="preserve"/>
      </w:r>
    </w:p>
    <w:p>
      <w:pPr>
        <w:pStyle w:val="Heading2"/>
        <w:spacing w:after="120" w:before="240"/>
      </w:pPr>
      <w:r>
        <w:rPr>
          <w:rFonts w:ascii="Arial" w:cs="Arial" w:eastAsia="Arial" w:hAnsi="Arial"/>
          <w:b/>
          <w:bCs/>
          <w:color w:val="1F4E79"/>
          <w:sz w:val="24"/>
          <w:szCs w:val="24"/>
        </w:rPr>
        <w:t xml:space="preserve">1.3. Nivel GCE y estimando formal</w:t>
      </w:r>
    </w:p>
    <w:p>
      <w:pPr>
        <w:spacing w:after="80" w:before="80"/>
        <w:jc w:val="both"/>
      </w:pPr>
      <w:r>
        <w:rPr>
          <w:rFonts w:ascii="Arial" w:cs="Arial" w:eastAsia="Arial" w:hAnsi="Arial"/>
          <w:color w:val="404040"/>
          <w:sz w:val="22"/>
          <w:szCs w:val="22"/>
        </w:rPr>
        <w:t xml:space="preserve">El proyecto opera en dos niveles de la Jerarquia de Preguntas Causales (GCE) de Bareinboim et al. (2022):</w:t>
      </w:r>
    </w:p>
    <w:p>
      <w:pPr>
        <w:pStyle w:val="ListParagraph"/>
        <w:numPr>
          <w:ilvl w:val="0"/>
          <w:numId w:val="2"/>
        </w:numPr>
        <w:spacing w:after="60" w:before="60"/>
      </w:pPr>
      <w:r>
        <w:rPr>
          <w:rFonts w:ascii="Arial" w:cs="Arial" w:eastAsia="Arial" w:hAnsi="Arial"/>
          <w:color w:val="404040"/>
          <w:sz w:val="22"/>
          <w:szCs w:val="22"/>
        </w:rPr>
        <w:t xml:space="preserve">Nivel 1 (Intervencion): estimar E[Y | do(T=1)] - E[Y | do(T=0)] usando datos observacionales con ajuste por confusores observables.</w:t>
      </w:r>
    </w:p>
    <w:p>
      <w:pPr>
        <w:pStyle w:val="ListParagraph"/>
        <w:numPr>
          <w:ilvl w:val="0"/>
          <w:numId w:val="2"/>
        </w:numPr>
        <w:spacing w:after="60" w:before="60"/>
      </w:pPr>
      <w:r>
        <w:rPr>
          <w:rFonts w:ascii="Arial" w:cs="Arial" w:eastAsia="Arial" w:hAnsi="Arial"/>
          <w:color w:val="404040"/>
          <w:sz w:val="22"/>
          <w:szCs w:val="22"/>
        </w:rPr>
        <w:t xml:space="preserve">Nivel 3 (Contrafactual): estimar E[Y(1) - Y(0) | T=1], el efecto potencial sobre quienes participaron, que requiere supuestos adicionales sobre resultados potenciales.</w:t>
      </w:r>
    </w:p>
    <w:p>
      <w:pPr>
        <w:spacing w:after="60" w:before="60"/>
      </w:pPr>
      <w:r>
        <w:t xml:space="preserve"/>
      </w:r>
    </w:p>
    <w:p>
      <w:pPr>
        <w:spacing w:after="80" w:before="80"/>
        <w:jc w:val="both"/>
      </w:pPr>
      <w:r>
        <w:rPr>
          <w:rFonts w:ascii="Arial" w:cs="Arial" w:eastAsia="Arial" w:hAnsi="Arial"/>
          <w:color w:val="404040"/>
          <w:sz w:val="22"/>
          <w:szCs w:val="22"/>
        </w:rPr>
        <w:t xml:space="preserve">El estimando primario es el ATT (Average Treatment Effect on the Treated):</w:t>
      </w:r>
    </w:p>
    <w:p>
      <w:pPr>
        <w:spacing w:after="120" w:before="120"/>
        <w:jc w:val="center"/>
      </w:pPr>
      <w:r>
        <w:rPr>
          <w:rFonts w:ascii="Courier New" w:cs="Courier New" w:eastAsia="Courier New" w:hAnsi="Courier New"/>
          <w:b/>
          <w:bCs/>
          <w:color w:val="1F4E79"/>
          <w:sz w:val="22"/>
          <w:szCs w:val="22"/>
        </w:rPr>
        <w:t xml:space="preserve">ATT = E[Y(1) - Y(0) | T = 1]</w:t>
      </w:r>
    </w:p>
    <w:p>
      <w:pPr>
        <w:spacing w:after="80" w:before="80"/>
        <w:jc w:val="both"/>
      </w:pPr>
      <w:r>
        <w:rPr>
          <w:rFonts w:ascii="Arial" w:cs="Arial" w:eastAsia="Arial" w:hAnsi="Arial"/>
          <w:color w:val="404040"/>
          <w:sz w:val="22"/>
          <w:szCs w:val="22"/>
        </w:rPr>
        <w:t xml:space="preserve">donde Y(1) e Y(0) son los resultados potenciales bajo tratamiento y control (marco de Rubin / Neyman). El ATT es el estimando natural porque el interes de politica publica recae en el efecto sobre quienes efectivamente participan.</w:t>
      </w:r>
    </w:p>
    <w:p>
      <w:pPr>
        <w:spacing w:after="80" w:before="80"/>
        <w:jc w:val="both"/>
      </w:pPr>
      <w:r>
        <w:rPr>
          <w:rFonts w:ascii="Arial" w:cs="Arial" w:eastAsia="Arial" w:hAnsi="Arial"/>
          <w:color w:val="404040"/>
          <w:sz w:val="22"/>
          <w:szCs w:val="22"/>
        </w:rPr>
        <w:t xml:space="preserve">El benchmark de referencia es el estimado experimental: ATT_RCT = 1,794 dolares (LaLonde, 1986), con error estandar de aproximadamente 632 dolares.</w:t>
      </w:r>
    </w:p>
    <w:p>
      <w:r>
        <w:br w:type="page"/>
      </w:r>
    </w:p>
    <w:p>
      <w:pPr>
        <w:pStyle w:val="Heading1"/>
        <w:spacing w:after="160" w:before="320"/>
      </w:pPr>
      <w:r>
        <w:rPr>
          <w:rFonts w:ascii="Arial" w:cs="Arial" w:eastAsia="Arial" w:hAnsi="Arial"/>
          <w:b/>
          <w:bCs/>
          <w:color w:val="1F4E79"/>
          <w:sz w:val="28"/>
          <w:szCs w:val="28"/>
        </w:rPr>
        <w:t xml:space="preserve">2. Especificacion del DAG</w:t>
      </w:r>
    </w:p>
    <w:p>
      <w:pPr>
        <w:pStyle w:val="Heading2"/>
        <w:spacing w:after="120" w:before="240"/>
      </w:pPr>
      <w:r>
        <w:rPr>
          <w:rFonts w:ascii="Arial" w:cs="Arial" w:eastAsia="Arial" w:hAnsi="Arial"/>
          <w:b/>
          <w:bCs/>
          <w:color w:val="1F4E79"/>
          <w:sz w:val="24"/>
          <w:szCs w:val="24"/>
        </w:rPr>
        <w:t xml:space="preserve">2.1. Variables del modelo causal</w:t>
      </w:r>
    </w:p>
    <w:p>
      <w:pPr>
        <w:spacing w:after="80" w:before="80"/>
        <w:jc w:val="both"/>
      </w:pPr>
      <w:r>
        <w:rPr>
          <w:rFonts w:ascii="Arial" w:cs="Arial" w:eastAsia="Arial" w:hAnsi="Arial"/>
          <w:color w:val="404040"/>
          <w:sz w:val="22"/>
          <w:szCs w:val="22"/>
        </w:rPr>
        <w:t xml:space="preserve">El siguiente cuadro presenta todas las variables incluidas en el DAG, su tipo, rol causal y justificacion teorica. La variable latente U representa los factores no observados que confunden la relacion tratamiento-resultado en los datos observacionales.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200"/>
        <w:gridCol w:w="1560"/>
        <w:gridCol w:w="3500"/>
      </w:tblGrid>
      <w:tr>
        <w:trPr>
          <w:tblHeader/>
        </w:trPr>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Simbolo</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Variable</w:t>
            </w:r>
          </w:p>
        </w:tc>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Tipo</w:t>
            </w:r>
          </w:p>
        </w:tc>
        <w:tc>
          <w:tcPr>
            <w:tcW w:type="dxa" w:w="15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 causal</w:t>
            </w:r>
          </w:p>
        </w:tc>
        <w:tc>
          <w:tcPr>
            <w:tcW w:type="dxa" w:w="3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Justificacion</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treat (NSW)</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Binaria</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Tratamiento</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Participacion en el programa NSW de capacitacion laboral. Aleatorizado en datos experimentales; seleccion en datos observacionales.</w:t>
            </w:r>
          </w:p>
        </w:tc>
      </w:tr>
      <w:tr>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re78</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Continua</w:t>
            </w:r>
          </w:p>
        </w:tc>
        <w:tc>
          <w:tcPr>
            <w:tcW w:type="dxa" w:w="1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Resultado</w:t>
            </w:r>
          </w:p>
        </w:tc>
        <w:tc>
          <w:tcPr>
            <w:tcW w:type="dxa" w:w="3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Ingresos reales en 1978 (post-intervencion). Variable de resultado primaria.</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age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Edad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Continua</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Confounder</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Determina elegibilidad y probabilidad de busqueda de empleo activa.</w:t>
            </w:r>
          </w:p>
        </w:tc>
      </w:tr>
      <w:tr>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educ</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Anos de educacion</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Continua</w:t>
            </w:r>
          </w:p>
        </w:tc>
        <w:tc>
          <w:tcPr>
            <w:tcW w:type="dxa" w:w="1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Confounder</w:t>
            </w:r>
          </w:p>
        </w:tc>
        <w:tc>
          <w:tcPr>
            <w:tcW w:type="dxa" w:w="3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Afecta tanto la seleccion al programa como los ingresos esperados en el mercado laboral.</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black</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Raza afroamericana</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Binaria</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Confounder</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Variable demografica con efecto directo sobre ingresos via discriminacion estructural.</w:t>
            </w:r>
          </w:p>
        </w:tc>
      </w:tr>
      <w:tr>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hispan</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Etnia hispana</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Binaria</w:t>
            </w:r>
          </w:p>
        </w:tc>
        <w:tc>
          <w:tcPr>
            <w:tcW w:type="dxa" w:w="1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Confounder</w:t>
            </w:r>
          </w:p>
        </w:tc>
        <w:tc>
          <w:tcPr>
            <w:tcW w:type="dxa" w:w="3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Barreras linguisticas y de acceso en el mercado laboral de EE.UU.</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married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Estado civil casado</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Binaria</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Confounder</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Correlacionado con estabilidad laboral y motivacion para participar en programas.</w:t>
            </w:r>
          </w:p>
        </w:tc>
      </w:tr>
      <w:tr>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nodegree</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 diploma escolar</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Binaria</w:t>
            </w:r>
          </w:p>
        </w:tc>
        <w:tc>
          <w:tcPr>
            <w:tcW w:type="dxa" w:w="1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Confounder</w:t>
            </w:r>
          </w:p>
        </w:tc>
        <w:tc>
          <w:tcPr>
            <w:tcW w:type="dxa" w:w="3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Proxy de capital humano bajo; criterio de elegibilidad para NSW.</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re74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Ingresos 1974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Continua</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Confounder/proxy U</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Historial de empleo pre-programa. Proxy parcial de habilidad no observada U.</w:t>
            </w:r>
          </w:p>
        </w:tc>
      </w:tr>
      <w:tr>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re75</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Ingresos 1975</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Continua</w:t>
            </w:r>
          </w:p>
        </w:tc>
        <w:tc>
          <w:tcPr>
            <w:tcW w:type="dxa" w:w="1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Confounder/proxy U</w:t>
            </w:r>
          </w:p>
        </w:tc>
        <w:tc>
          <w:tcPr>
            <w:tcW w:type="dxa" w:w="3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Ingresos un ano antes del programa. Permite ademas la prueba de placebo temporal.</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U</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Habilidades latentes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Latente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Confounder no obs.</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Motivacion, redes sociales, habilidades blandas. No medida; confunde T-Y en datos observacionales.</w:t>
            </w:r>
          </w:p>
        </w:tc>
      </w:tr>
    </w:tbl>
    <w:p>
      <w:pPr>
        <w:spacing w:after="60" w:before="60"/>
      </w:pPr>
      <w:r>
        <w:t xml:space="preserve"/>
      </w:r>
    </w:p>
    <w:p>
      <w:pPr>
        <w:spacing w:after="60" w:before="60"/>
      </w:pPr>
      <w:r>
        <w:t xml:space="preserve"/>
      </w:r>
    </w:p>
    <w:p>
      <w:pPr>
        <w:pStyle w:val="Heading2"/>
        <w:spacing w:after="120" w:before="240"/>
      </w:pPr>
      <w:r>
        <w:rPr>
          <w:rFonts w:ascii="Arial" w:cs="Arial" w:eastAsia="Arial" w:hAnsi="Arial"/>
          <w:b/>
          <w:bCs/>
          <w:color w:val="1F4E79"/>
          <w:sz w:val="24"/>
          <w:szCs w:val="24"/>
        </w:rPr>
        <w:t xml:space="preserve">2.2. Estructura del DAG y justificacion de aristas</w:t>
      </w:r>
    </w:p>
    <w:p>
      <w:pPr>
        <w:spacing w:after="80" w:before="80"/>
        <w:jc w:val="both"/>
      </w:pPr>
      <w:r>
        <w:rPr>
          <w:rFonts w:ascii="Arial" w:cs="Arial" w:eastAsia="Arial" w:hAnsi="Arial"/>
          <w:color w:val="404040"/>
          <w:sz w:val="22"/>
          <w:szCs w:val="22"/>
        </w:rPr>
        <w:t xml:space="preserve">El DAG del modelo incluye las siguientes relaciones causales, justificadas por teoria economica y el diseno del estudio:</w:t>
      </w:r>
    </w:p>
    <w:p>
      <w:pPr>
        <w:pStyle w:val="ListParagraph"/>
        <w:numPr>
          <w:ilvl w:val="0"/>
          <w:numId w:val="2"/>
        </w:numPr>
        <w:spacing w:after="60" w:before="60"/>
      </w:pPr>
      <w:r>
        <w:rPr>
          <w:rFonts w:ascii="Arial" w:cs="Arial" w:eastAsia="Arial" w:hAnsi="Arial"/>
          <w:color w:val="404040"/>
          <w:sz w:val="22"/>
          <w:szCs w:val="22"/>
        </w:rPr>
        <w:t xml:space="preserve">age, educ, black, hispan, married, nodegree --&gt; T: Las caracteristicas demograficas y de capital humano determinan la elegibilidad y la probabilidad de inscripcion en NSW. LaLonde (1986) documenta que el programa estaba dirigido a individuos con baja educacion y antecedentes de desempleo.</w:t>
      </w:r>
    </w:p>
    <w:p>
      <w:pPr>
        <w:pStyle w:val="ListParagraph"/>
        <w:numPr>
          <w:ilvl w:val="0"/>
          <w:numId w:val="2"/>
        </w:numPr>
        <w:spacing w:after="60" w:before="60"/>
      </w:pPr>
      <w:r>
        <w:rPr>
          <w:rFonts w:ascii="Arial" w:cs="Arial" w:eastAsia="Arial" w:hAnsi="Arial"/>
          <w:color w:val="404040"/>
          <w:sz w:val="22"/>
          <w:szCs w:val="22"/>
        </w:rPr>
        <w:t xml:space="preserve">age, educ, black, hispan, married, nodegree --&gt; Y(re78): Las mismas covariables afectan directamente los ingresos via capital humano, acceso al mercado laboral y discriminacion estructural.</w:t>
      </w:r>
    </w:p>
    <w:p>
      <w:pPr>
        <w:pStyle w:val="ListParagraph"/>
        <w:numPr>
          <w:ilvl w:val="0"/>
          <w:numId w:val="2"/>
        </w:numPr>
        <w:spacing w:after="60" w:before="60"/>
      </w:pPr>
      <w:r>
        <w:rPr>
          <w:rFonts w:ascii="Arial" w:cs="Arial" w:eastAsia="Arial" w:hAnsi="Arial"/>
          <w:color w:val="404040"/>
          <w:sz w:val="22"/>
          <w:szCs w:val="22"/>
        </w:rPr>
        <w:t xml:space="preserve">re74, re75 --&gt; T: El historial de ingresos determina la elegibilidad (criterio de desempleo previo) y la propension a participar en el programa.</w:t>
      </w:r>
    </w:p>
    <w:p>
      <w:pPr>
        <w:pStyle w:val="ListParagraph"/>
        <w:numPr>
          <w:ilvl w:val="0"/>
          <w:numId w:val="2"/>
        </w:numPr>
        <w:spacing w:after="60" w:before="60"/>
      </w:pPr>
      <w:r>
        <w:rPr>
          <w:rFonts w:ascii="Arial" w:cs="Arial" w:eastAsia="Arial" w:hAnsi="Arial"/>
          <w:color w:val="404040"/>
          <w:sz w:val="22"/>
          <w:szCs w:val="22"/>
        </w:rPr>
        <w:t xml:space="preserve">re74, re75 --&gt; Y(re78): El desempeno laboral pasado predice el futuro. re75 actua ademas como variable de placebo temporal en el analisis de sensibilidad.</w:t>
      </w:r>
    </w:p>
    <w:p>
      <w:pPr>
        <w:pStyle w:val="ListParagraph"/>
        <w:numPr>
          <w:ilvl w:val="0"/>
          <w:numId w:val="2"/>
        </w:numPr>
        <w:spacing w:after="60" w:before="60"/>
      </w:pPr>
      <w:r>
        <w:rPr>
          <w:rFonts w:ascii="Arial" w:cs="Arial" w:eastAsia="Arial" w:hAnsi="Arial"/>
          <w:color w:val="404040"/>
          <w:sz w:val="22"/>
          <w:szCs w:val="22"/>
        </w:rPr>
        <w:t xml:space="preserve">U --&gt; T y U --&gt; Y: Las habilidades latentes (motivacion, redes sociales, habilidades blandas) confunden la relacion T-Y en datos observacionales. U no es observable; re74 y re75 actuan como proxies parciales.</w:t>
      </w:r>
    </w:p>
    <w:p>
      <w:pPr>
        <w:pStyle w:val="ListParagraph"/>
        <w:numPr>
          <w:ilvl w:val="0"/>
          <w:numId w:val="2"/>
        </w:numPr>
        <w:spacing w:after="60" w:before="60"/>
      </w:pPr>
      <w:r>
        <w:rPr>
          <w:rFonts w:ascii="Arial" w:cs="Arial" w:eastAsia="Arial" w:hAnsi="Arial"/>
          <w:color w:val="404040"/>
          <w:sz w:val="22"/>
          <w:szCs w:val="22"/>
        </w:rPr>
        <w:t xml:space="preserve">T --&gt; Y: El efecto causal de interes. En los datos experimentales de NSW, T es independiente de U por aleatorizacion.</w:t>
      </w:r>
    </w:p>
    <w:p>
      <w:pPr>
        <w:spacing w:after="60" w:before="60"/>
      </w:pPr>
      <w:r>
        <w:t xml:space="preserve"/>
      </w:r>
    </w:p>
    <w:p>
      <w:pPr>
        <w:pStyle w:val="Heading2"/>
        <w:spacing w:after="120" w:before="240"/>
      </w:pPr>
      <w:r>
        <w:rPr>
          <w:rFonts w:ascii="Arial" w:cs="Arial" w:eastAsia="Arial" w:hAnsi="Arial"/>
          <w:b/>
          <w:bCs/>
          <w:color w:val="1F4E79"/>
          <w:sz w:val="24"/>
          <w:szCs w:val="24"/>
        </w:rPr>
        <w:t xml:space="preserve">2.3. D-separacion e ignorabilidad condicional</w:t>
      </w:r>
    </w:p>
    <w:p>
      <w:pPr>
        <w:spacing w:after="80" w:before="80"/>
        <w:jc w:val="both"/>
      </w:pPr>
      <w:r>
        <w:rPr>
          <w:rFonts w:ascii="Arial" w:cs="Arial" w:eastAsia="Arial" w:hAnsi="Arial"/>
          <w:color w:val="404040"/>
          <w:sz w:val="22"/>
          <w:szCs w:val="22"/>
        </w:rPr>
        <w:t xml:space="preserve">En los datos experimentales de NSW, la aleatorizacion garantiza T _||_ U, por lo que el efecto causal es identificable directamente mediante diferencia de medias.</w:t>
      </w:r>
    </w:p>
    <w:p>
      <w:pPr>
        <w:spacing w:after="80" w:before="80"/>
        <w:jc w:val="both"/>
      </w:pPr>
      <w:r>
        <w:rPr>
          <w:rFonts w:ascii="Arial" w:cs="Arial" w:eastAsia="Arial" w:hAnsi="Arial"/>
          <w:color w:val="404040"/>
          <w:sz w:val="22"/>
          <w:szCs w:val="22"/>
        </w:rPr>
        <w:t xml:space="preserve">En los datos observacionales (CPS-1 o PSID), T no es independiente de los confusores. El supuesto de identificacion requerido es la Ignorabilidad Condicional (CIA):</w:t>
      </w:r>
    </w:p>
    <w:p>
      <w:pPr>
        <w:spacing w:after="120" w:before="120"/>
        <w:jc w:val="center"/>
      </w:pPr>
      <w:r>
        <w:rPr>
          <w:rFonts w:ascii="Courier New" w:cs="Courier New" w:eastAsia="Courier New" w:hAnsi="Courier New"/>
          <w:b/>
          <w:bCs/>
          <w:color w:val="1F4E79"/>
          <w:sz w:val="22"/>
          <w:szCs w:val="22"/>
        </w:rPr>
        <w:t xml:space="preserve">Y(0), Y(1)  _||_  T  |  X = {age, educ, black, hispan, married, nodegree, re74, re75}</w:t>
      </w:r>
    </w:p>
    <w:p>
      <w:pPr>
        <w:spacing w:after="80" w:before="80"/>
        <w:jc w:val="both"/>
      </w:pPr>
      <w:r>
        <w:rPr>
          <w:rFonts w:ascii="Arial" w:cs="Arial" w:eastAsia="Arial" w:hAnsi="Arial"/>
          <w:color w:val="404040"/>
          <w:sz w:val="22"/>
          <w:szCs w:val="22"/>
        </w:rPr>
        <w:t xml:space="preserve">La d-separacion puede verificarse computacionalmente con pgmpy: al condicionar sobre X, el camino de puerta trasera T &lt;- U -&gt; Y queda bloqueado bajo el supuesto de que U es capturado suficientemente por re74 y re75. Sin embargo, U no es completamente observable, lo que constituye la limitacion central del analisis observacional y la razon por la cual se requiere analisis de sensibilidad exhaustivo en la Etapa 3.</w:t>
      </w:r>
    </w:p>
    <w:p>
      <w:r>
        <w:br w:type="page"/>
      </w:r>
    </w:p>
    <w:p>
      <w:pPr>
        <w:pStyle w:val="Heading1"/>
        <w:spacing w:after="160" w:before="320"/>
      </w:pPr>
      <w:r>
        <w:rPr>
          <w:rFonts w:ascii="Arial" w:cs="Arial" w:eastAsia="Arial" w:hAnsi="Arial"/>
          <w:b/>
          <w:bCs/>
          <w:color w:val="1F4E79"/>
          <w:sz w:val="28"/>
          <w:szCs w:val="28"/>
        </w:rPr>
        <w:t xml:space="preserve">3. Estrategia de Identificacion</w:t>
      </w:r>
    </w:p>
    <w:p>
      <w:pPr>
        <w:pStyle w:val="Heading2"/>
        <w:spacing w:after="120" w:before="240"/>
      </w:pPr>
      <w:r>
        <w:rPr>
          <w:rFonts w:ascii="Arial" w:cs="Arial" w:eastAsia="Arial" w:hAnsi="Arial"/>
          <w:b/>
          <w:bCs/>
          <w:color w:val="1F4E79"/>
          <w:sz w:val="24"/>
          <w:szCs w:val="24"/>
        </w:rPr>
        <w:t xml:space="preserve">3.1. Criterio Backdoor</w:t>
      </w:r>
    </w:p>
    <w:p>
      <w:pPr>
        <w:spacing w:after="80" w:before="80"/>
        <w:jc w:val="both"/>
      </w:pPr>
      <w:r>
        <w:rPr>
          <w:rFonts w:ascii="Arial" w:cs="Arial" w:eastAsia="Arial" w:hAnsi="Arial"/>
          <w:color w:val="404040"/>
          <w:sz w:val="22"/>
          <w:szCs w:val="22"/>
        </w:rPr>
        <w:t xml:space="preserve">La estrategia primaria de identificacion es el criterio backdoor (Pearl, 2009). Un conjunto de variables X satisface el criterio backdoor con respecto al par (T, Y) si: (i) ningun nodo en X es descendiente de T, y (ii) X bloquea todos los caminos backdoor entre T e Y.</w:t>
      </w:r>
    </w:p>
    <w:p>
      <w:pPr>
        <w:spacing w:after="80" w:before="80"/>
        <w:jc w:val="both"/>
      </w:pPr>
      <w:r>
        <w:rPr>
          <w:rFonts w:ascii="Arial" w:cs="Arial" w:eastAsia="Arial" w:hAnsi="Arial"/>
          <w:color w:val="404040"/>
          <w:sz w:val="22"/>
          <w:szCs w:val="22"/>
        </w:rPr>
        <w:t xml:space="preserve">En el DAG especificado, el unico camino backdoor abierto es T &lt;- U -&gt; Y. El conjunto X = {age, educ, black, hispan, married, nodegree, re74, re75} bloquea este camino bajo el supuesto CIA. El conjunto de ajuste minimo es X completo. Bajo el criterio backdoor, el ATT es identificable como:</w:t>
      </w:r>
    </w:p>
    <w:p>
      <w:pPr>
        <w:spacing w:after="120" w:before="120"/>
        <w:jc w:val="center"/>
      </w:pPr>
      <w:r>
        <w:rPr>
          <w:rFonts w:ascii="Courier New" w:cs="Courier New" w:eastAsia="Courier New" w:hAnsi="Courier New"/>
          <w:b/>
          <w:bCs/>
          <w:color w:val="1F4E79"/>
          <w:sz w:val="22"/>
          <w:szCs w:val="22"/>
        </w:rPr>
        <w:t xml:space="preserve">ATT = E [ E[Y | T=1, X] - E[Y | T=0, X]  |  T=1 ]</w:t>
      </w:r>
    </w:p>
    <w:p>
      <w:pPr>
        <w:spacing w:after="80" w:before="80"/>
        <w:jc w:val="both"/>
      </w:pPr>
      <w:r>
        <w:rPr>
          <w:rFonts w:ascii="Arial" w:cs="Arial" w:eastAsia="Arial" w:hAnsi="Arial"/>
          <w:color w:val="404040"/>
          <w:sz w:val="22"/>
          <w:szCs w:val="22"/>
        </w:rPr>
        <w:t xml:space="preserve">Esta expresion es la base de todos los estimadores implementados en el proyecto. Cada estimador difiere en como modela los nuisance functions E[Y|T,X] y P(T=1|X).</w:t>
      </w:r>
    </w:p>
    <w:p>
      <w:pPr>
        <w:spacing w:after="60" w:before="60"/>
      </w:pPr>
      <w:r>
        <w:t xml:space="preserve"/>
      </w:r>
    </w:p>
    <w:p>
      <w:pPr>
        <w:pStyle w:val="Heading2"/>
        <w:spacing w:after="120" w:before="240"/>
      </w:pPr>
      <w:r>
        <w:rPr>
          <w:rFonts w:ascii="Arial" w:cs="Arial" w:eastAsia="Arial" w:hAnsi="Arial"/>
          <w:b/>
          <w:bCs/>
          <w:color w:val="1F4E79"/>
          <w:sz w:val="24"/>
          <w:szCs w:val="24"/>
        </w:rPr>
        <w:t xml:space="preserve">3.2. Supuesto de Overlap (Positividad)</w:t>
      </w:r>
    </w:p>
    <w:p>
      <w:pPr>
        <w:spacing w:after="80" w:before="80"/>
        <w:jc w:val="both"/>
      </w:pPr>
      <w:r>
        <w:rPr>
          <w:rFonts w:ascii="Arial" w:cs="Arial" w:eastAsia="Arial" w:hAnsi="Arial"/>
          <w:color w:val="404040"/>
          <w:sz w:val="22"/>
          <w:szCs w:val="22"/>
        </w:rPr>
        <w:t xml:space="preserve">Para que la identificacion sea valida en toda la distribucion de X condicional a T=1, se requiere:</w:t>
      </w:r>
    </w:p>
    <w:p>
      <w:pPr>
        <w:spacing w:after="120" w:before="120"/>
        <w:jc w:val="center"/>
      </w:pPr>
      <w:r>
        <w:rPr>
          <w:rFonts w:ascii="Courier New" w:cs="Courier New" w:eastAsia="Courier New" w:hAnsi="Courier New"/>
          <w:b/>
          <w:bCs/>
          <w:color w:val="1F4E79"/>
          <w:sz w:val="22"/>
          <w:szCs w:val="22"/>
        </w:rPr>
        <w:t xml:space="preserve">0 &lt; P(T=1 | X) &lt; 1   para todo X en soporte(X | T=1)</w:t>
      </w:r>
    </w:p>
    <w:p>
      <w:pPr>
        <w:spacing w:after="80" w:before="80"/>
        <w:jc w:val="both"/>
      </w:pPr>
      <w:r>
        <w:rPr>
          <w:rFonts w:ascii="Arial" w:cs="Arial" w:eastAsia="Arial" w:hAnsi="Arial"/>
          <w:color w:val="404040"/>
          <w:sz w:val="22"/>
          <w:szCs w:val="22"/>
        </w:rPr>
        <w:t xml:space="preserve">La violacion de este supuesto es una de las principales fuentes de sesgo en los grupos CPS-1 y PSID, que tienen distribucion demografica muy distinta a los participantes de NSW. La diagnostica de overlap sera la primera tarea de la Etapa 2 (histogramas de propensity score, estadisticas de balance estandarizadas).</w:t>
      </w:r>
    </w:p>
    <w:p>
      <w:pPr>
        <w:spacing w:after="60" w:before="60"/>
      </w:pPr>
      <w:r>
        <w:t xml:space="preserve"/>
      </w:r>
    </w:p>
    <w:p>
      <w:pPr>
        <w:pStyle w:val="Heading2"/>
        <w:spacing w:after="120" w:before="240"/>
      </w:pPr>
      <w:r>
        <w:rPr>
          <w:rFonts w:ascii="Arial" w:cs="Arial" w:eastAsia="Arial" w:hAnsi="Arial"/>
          <w:b/>
          <w:bCs/>
          <w:color w:val="1F4E79"/>
          <w:sz w:val="24"/>
          <w:szCs w:val="24"/>
        </w:rPr>
        <w:t xml:space="preserve">3.3. Pipeline metodologico completo</w:t>
      </w:r>
    </w:p>
    <w:p>
      <w:pPr>
        <w:spacing w:after="80" w:before="80"/>
        <w:jc w:val="both"/>
      </w:pPr>
      <w:r>
        <w:rPr>
          <w:rFonts w:ascii="Arial" w:cs="Arial" w:eastAsia="Arial" w:hAnsi="Arial"/>
          <w:color w:val="404040"/>
          <w:sz w:val="22"/>
          <w:szCs w:val="22"/>
        </w:rPr>
        <w:t xml:space="preserve">El pipeline completo, alineado con el enunciado del proyecto, es:</w:t>
      </w:r>
    </w:p>
    <w:p>
      <w:pPr>
        <w:pStyle w:val="ListParagraph"/>
        <w:numPr>
          <w:ilvl w:val="0"/>
          <w:numId w:val="2"/>
        </w:numPr>
        <w:spacing w:after="60" w:before="60"/>
      </w:pPr>
      <w:r>
        <w:rPr>
          <w:rFonts w:ascii="Arial" w:cs="Arial" w:eastAsia="Arial" w:hAnsi="Arial"/>
          <w:color w:val="404040"/>
          <w:sz w:val="22"/>
          <w:szCs w:val="22"/>
        </w:rPr>
        <w:t xml:space="preserve">DAG + d-separacion (pgmpy)  --&gt;  Identificacion algebraica (criterio backdoor)</w:t>
      </w:r>
    </w:p>
    <w:p>
      <w:pPr>
        <w:pStyle w:val="ListParagraph"/>
        <w:numPr>
          <w:ilvl w:val="0"/>
          <w:numId w:val="2"/>
        </w:numPr>
        <w:spacing w:after="60" w:before="60"/>
      </w:pPr>
      <w:r>
        <w:rPr>
          <w:rFonts w:ascii="Arial" w:cs="Arial" w:eastAsia="Arial" w:hAnsi="Arial"/>
          <w:color w:val="404040"/>
          <w:sz w:val="22"/>
          <w:szCs w:val="22"/>
        </w:rPr>
        <w:t xml:space="preserve">Estimacion 1: PSM - Matching por Propensity Score (referencia historica Dehejia &amp; Wahba 1999)</w:t>
      </w:r>
    </w:p>
    <w:p>
      <w:pPr>
        <w:pStyle w:val="ListParagraph"/>
        <w:numPr>
          <w:ilvl w:val="0"/>
          <w:numId w:val="2"/>
        </w:numPr>
        <w:spacing w:after="60" w:before="60"/>
      </w:pPr>
      <w:r>
        <w:rPr>
          <w:rFonts w:ascii="Arial" w:cs="Arial" w:eastAsia="Arial" w:hAnsi="Arial"/>
          <w:color w:val="404040"/>
          <w:sz w:val="22"/>
          <w:szCs w:val="22"/>
        </w:rPr>
        <w:t xml:space="preserve">Estimacion 2: AIPW - Augmented Inverse Probability Weighting (estimador doblemente robusto)</w:t>
      </w:r>
    </w:p>
    <w:p>
      <w:pPr>
        <w:pStyle w:val="ListParagraph"/>
        <w:numPr>
          <w:ilvl w:val="0"/>
          <w:numId w:val="2"/>
        </w:numPr>
        <w:spacing w:after="60" w:before="60"/>
      </w:pPr>
      <w:r>
        <w:rPr>
          <w:rFonts w:ascii="Arial" w:cs="Arial" w:eastAsia="Arial" w:hAnsi="Arial"/>
          <w:color w:val="404040"/>
          <w:sz w:val="22"/>
          <w:szCs w:val="22"/>
        </w:rPr>
        <w:t xml:space="preserve">Estimacion 3: DML - Double Machine Learning con cross-fitting para nuisance functions</w:t>
      </w:r>
    </w:p>
    <w:p>
      <w:pPr>
        <w:pStyle w:val="ListParagraph"/>
        <w:numPr>
          <w:ilvl w:val="0"/>
          <w:numId w:val="2"/>
        </w:numPr>
        <w:spacing w:after="60" w:before="60"/>
      </w:pPr>
      <w:r>
        <w:rPr>
          <w:rFonts w:ascii="Arial" w:cs="Arial" w:eastAsia="Arial" w:hAnsi="Arial"/>
          <w:color w:val="404040"/>
          <w:sz w:val="22"/>
          <w:szCs w:val="22"/>
        </w:rPr>
        <w:t xml:space="preserve">Estimacion 4: Control Sintetico (SynC) para comparacion de tendencias pre/post</w:t>
      </w:r>
    </w:p>
    <w:p>
      <w:pPr>
        <w:pStyle w:val="ListParagraph"/>
        <w:numPr>
          <w:ilvl w:val="0"/>
          <w:numId w:val="2"/>
        </w:numPr>
        <w:spacing w:after="60" w:before="60"/>
      </w:pPr>
      <w:r>
        <w:rPr>
          <w:rFonts w:ascii="Arial" w:cs="Arial" w:eastAsia="Arial" w:hAnsi="Arial"/>
          <w:color w:val="404040"/>
          <w:sz w:val="22"/>
          <w:szCs w:val="22"/>
        </w:rPr>
        <w:t xml:space="preserve">Metrica de distancia W1 (Wasserstein) pre/post para evaluar comparabilidad de grupos</w:t>
      </w:r>
    </w:p>
    <w:p>
      <w:pPr>
        <w:pStyle w:val="ListParagraph"/>
        <w:numPr>
          <w:ilvl w:val="0"/>
          <w:numId w:val="2"/>
        </w:numPr>
        <w:spacing w:after="60" w:before="60"/>
      </w:pPr>
      <w:r>
        <w:rPr>
          <w:rFonts w:ascii="Arial" w:cs="Arial" w:eastAsia="Arial" w:hAnsi="Arial"/>
          <w:color w:val="404040"/>
          <w:sz w:val="22"/>
          <w:szCs w:val="22"/>
        </w:rPr>
        <w:t xml:space="preserve">Descomposicion Goodman-Bacon para el DiD con adopcion escalonada</w:t>
      </w:r>
    </w:p>
    <w:p>
      <w:pPr>
        <w:pStyle w:val="ListParagraph"/>
        <w:numPr>
          <w:ilvl w:val="0"/>
          <w:numId w:val="2"/>
        </w:numPr>
        <w:spacing w:after="60" w:before="60"/>
      </w:pPr>
      <w:r>
        <w:rPr>
          <w:rFonts w:ascii="Arial" w:cs="Arial" w:eastAsia="Arial" w:hAnsi="Arial"/>
          <w:color w:val="404040"/>
          <w:sz w:val="22"/>
          <w:szCs w:val="22"/>
        </w:rPr>
        <w:t xml:space="preserve">Sensibilidad: placebo temporal (re74/re75 como outcome), Rosenbaum Gamma, E-value</w:t>
      </w:r>
    </w:p>
    <w:p>
      <w:pPr>
        <w:spacing w:after="60" w:before="60"/>
      </w:pPr>
      <w:r>
        <w:t xml:space="preserve"/>
      </w:r>
    </w:p>
    <w:p>
      <w:pPr>
        <w:pStyle w:val="Heading2"/>
        <w:spacing w:after="120" w:before="240"/>
      </w:pPr>
      <w:r>
        <w:rPr>
          <w:rFonts w:ascii="Arial" w:cs="Arial" w:eastAsia="Arial" w:hAnsi="Arial"/>
          <w:b/>
          <w:bCs/>
          <w:color w:val="1F4E79"/>
          <w:sz w:val="24"/>
          <w:szCs w:val="24"/>
        </w:rPr>
        <w:t xml:space="preserve">3.4. Limitaciones de validez externa</w:t>
      </w:r>
    </w:p>
    <w:p>
      <w:pPr>
        <w:spacing w:after="80" w:before="80"/>
        <w:jc w:val="both"/>
      </w:pPr>
      <w:r>
        <w:rPr>
          <w:rFonts w:ascii="Arial" w:cs="Arial" w:eastAsia="Arial" w:hAnsi="Arial"/>
          <w:color w:val="404040"/>
          <w:sz w:val="22"/>
          <w:szCs w:val="22"/>
        </w:rPr>
        <w:t xml:space="preserve">Incluso con identificacion interna valida, el proyecto tiene limitaciones de validez externa:</w:t>
      </w:r>
    </w:p>
    <w:p>
      <w:pPr>
        <w:pStyle w:val="ListParagraph"/>
        <w:numPr>
          <w:ilvl w:val="0"/>
          <w:numId w:val="2"/>
        </w:numPr>
        <w:spacing w:after="60" w:before="60"/>
      </w:pPr>
      <w:r>
        <w:rPr>
          <w:rFonts w:ascii="Arial" w:cs="Arial" w:eastAsia="Arial" w:hAnsi="Arial"/>
          <w:color w:val="404040"/>
          <w:sz w:val="22"/>
          <w:szCs w:val="22"/>
        </w:rPr>
        <w:t xml:space="preserve">El programa NSW opero en 1975-1979 en EE.UU. La extrapolacion a contextos latinoamericanos contemporaneos requiere cautela sobre transportabilidad causal.</w:t>
      </w:r>
    </w:p>
    <w:p>
      <w:pPr>
        <w:pStyle w:val="ListParagraph"/>
        <w:numPr>
          <w:ilvl w:val="0"/>
          <w:numId w:val="2"/>
        </w:numPr>
        <w:spacing w:after="60" w:before="60"/>
      </w:pPr>
      <w:r>
        <w:rPr>
          <w:rFonts w:ascii="Arial" w:cs="Arial" w:eastAsia="Arial" w:hAnsi="Arial"/>
          <w:color w:val="404040"/>
          <w:sz w:val="22"/>
          <w:szCs w:val="22"/>
        </w:rPr>
        <w:t xml:space="preserve">La muestra tratada es pequena (N=185), lo que limita la precision de estimadores heterogeneos (CATE).</w:t>
      </w:r>
    </w:p>
    <w:p>
      <w:pPr>
        <w:pStyle w:val="ListParagraph"/>
        <w:numPr>
          <w:ilvl w:val="0"/>
          <w:numId w:val="2"/>
        </w:numPr>
        <w:spacing w:after="60" w:before="60"/>
      </w:pPr>
      <w:r>
        <w:rPr>
          <w:rFonts w:ascii="Arial" w:cs="Arial" w:eastAsia="Arial" w:hAnsi="Arial"/>
          <w:color w:val="404040"/>
          <w:sz w:val="22"/>
          <w:szCs w:val="22"/>
        </w:rPr>
        <w:t xml:space="preserve">El confundimiento latente U nunca puede descartarse completamente en los datos observacionales. El analisis de sensibilidad en la Etapa 3 cuantificara el Rosenbaum Gamma y E-value necesarios para invalidar las conclusiones.</w:t>
      </w:r>
    </w:p>
    <w:p>
      <w:r>
        <w:br w:type="page"/>
      </w:r>
    </w:p>
    <w:p>
      <w:pPr>
        <w:pStyle w:val="Heading1"/>
        <w:spacing w:after="160" w:before="320"/>
      </w:pPr>
      <w:r>
        <w:rPr>
          <w:rFonts w:ascii="Arial" w:cs="Arial" w:eastAsia="Arial" w:hAnsi="Arial"/>
          <w:b/>
          <w:bCs/>
          <w:color w:val="1F4E79"/>
          <w:sz w:val="28"/>
          <w:szCs w:val="28"/>
        </w:rPr>
        <w:t xml:space="preserve">4. Plan de Datos</w:t>
      </w:r>
    </w:p>
    <w:p>
      <w:pPr>
        <w:pStyle w:val="Heading2"/>
        <w:spacing w:after="120" w:before="240"/>
      </w:pPr>
      <w:r>
        <w:rPr>
          <w:rFonts w:ascii="Arial" w:cs="Arial" w:eastAsia="Arial" w:hAnsi="Arial"/>
          <w:b/>
          <w:bCs/>
          <w:color w:val="1F4E79"/>
          <w:sz w:val="24"/>
          <w:szCs w:val="24"/>
        </w:rPr>
        <w:t xml:space="preserve">4.1. Fuentes de datos</w:t>
      </w:r>
    </w:p>
    <w:p>
      <w:pPr>
        <w:spacing w:after="80" w:before="80"/>
        <w:jc w:val="both"/>
      </w:pPr>
      <w:r>
        <w:rPr>
          <w:rFonts w:ascii="Arial" w:cs="Arial" w:eastAsia="Arial" w:hAnsi="Arial"/>
          <w:color w:val="404040"/>
          <w:sz w:val="22"/>
          <w:szCs w:val="22"/>
        </w:rPr>
        <w:t xml:space="preserve">El proyecto utiliza tres fuentes de datos, todas de acceso publico y ampliamente documentadas en la literatura de inferencia causal: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2000"/>
        <w:gridCol w:w="2160"/>
      </w:tblGrid>
      <w:tr>
        <w:trPr>
          <w:tblHeader/>
        </w:trP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Fuente</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N tratados</w:t>
            </w:r>
          </w:p>
        </w:tc>
        <w:tc>
          <w:tcPr>
            <w:tcW w:type="dxa" w:w="1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N controles</w:t>
            </w:r>
          </w:p>
        </w:tc>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Tipo</w:t>
            </w:r>
          </w:p>
        </w:tc>
        <w:tc>
          <w:tcPr>
            <w:tcW w:type="dxa" w:w="2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Uso en pipeline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NSW Experimental</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185</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260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RCT (gold standard)</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Estimacion de referencia ATT verdadero</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CPS-1 (Dehejia &amp; Wahba)</w:t>
            </w:r>
          </w:p>
        </w:tc>
        <w:tc>
          <w:tcPr>
            <w:tcW w:type="dxa" w:w="1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185</w:t>
            </w:r>
          </w:p>
        </w:tc>
        <w:tc>
          <w:tcPr>
            <w:tcW w:type="dxa" w:w="1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15,992</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Observacional</w:t>
            </w:r>
          </w:p>
        </w:tc>
        <w:tc>
          <w:tcPr>
            <w:tcW w:type="dxa" w:w="21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Grupo control alternativo para benchmarking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PSID (LaLonde 1986)</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185</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2,490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Observacional</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Grupo control con mayor sesgo de seleccion</w:t>
            </w:r>
          </w:p>
        </w:tc>
      </w:tr>
    </w:tbl>
    <w:p>
      <w:pPr>
        <w:spacing w:after="60" w:before="60"/>
      </w:pPr>
      <w:r>
        <w:t xml:space="preserve"/>
      </w:r>
    </w:p>
    <w:p>
      <w:pPr>
        <w:spacing w:after="60" w:before="60"/>
      </w:pPr>
      <w:r>
        <w:t xml:space="preserve"/>
      </w:r>
    </w:p>
    <w:p>
      <w:pPr>
        <w:pStyle w:val="ListParagraph"/>
        <w:numPr>
          <w:ilvl w:val="0"/>
          <w:numId w:val="2"/>
        </w:numPr>
        <w:spacing w:after="60" w:before="60"/>
      </w:pPr>
      <w:r>
        <w:rPr>
          <w:rFonts w:ascii="Arial" w:cs="Arial" w:eastAsia="Arial" w:hAnsi="Arial"/>
          <w:color w:val="404040"/>
          <w:sz w:val="22"/>
          <w:szCs w:val="22"/>
        </w:rPr>
        <w:t xml:space="preserve">NSW Experimental: disponible via el paquete Python causalnlp o el repositorio de Dehejia (https://users.nber.org/~rdehejia/nswdata.html). Incluye datos experimentales originales de LaLonde (1986).</w:t>
      </w:r>
    </w:p>
    <w:p>
      <w:pPr>
        <w:pStyle w:val="ListParagraph"/>
        <w:numPr>
          <w:ilvl w:val="0"/>
          <w:numId w:val="2"/>
        </w:numPr>
        <w:spacing w:after="60" w:before="60"/>
      </w:pPr>
      <w:r>
        <w:rPr>
          <w:rFonts w:ascii="Arial" w:cs="Arial" w:eastAsia="Arial" w:hAnsi="Arial"/>
          <w:color w:val="404040"/>
          <w:sz w:val="22"/>
          <w:szCs w:val="22"/>
        </w:rPr>
        <w:t xml:space="preserve">CPS-1: Current Population Survey 1976. Grupo control observacional usado por Dehejia y Wahba (1999) con mayor overlap que el PSID.</w:t>
      </w:r>
    </w:p>
    <w:p>
      <w:pPr>
        <w:pStyle w:val="ListParagraph"/>
        <w:numPr>
          <w:ilvl w:val="0"/>
          <w:numId w:val="2"/>
        </w:numPr>
        <w:spacing w:after="60" w:before="60"/>
      </w:pPr>
      <w:r>
        <w:rPr>
          <w:rFonts w:ascii="Arial" w:cs="Arial" w:eastAsia="Arial" w:hAnsi="Arial"/>
          <w:color w:val="404040"/>
          <w:sz w:val="22"/>
          <w:szCs w:val="22"/>
        </w:rPr>
        <w:t xml:space="preserve">PSID: Panel Study of Income Dynamics. Grupo control con mayor sesgo de seleccion, usado en el analisis original de LaLonde (1986).</w:t>
      </w:r>
    </w:p>
    <w:p>
      <w:pPr>
        <w:spacing w:after="60" w:before="60"/>
      </w:pPr>
      <w:r>
        <w:t xml:space="preserve"/>
      </w:r>
    </w:p>
    <w:p>
      <w:pPr>
        <w:pStyle w:val="Heading2"/>
        <w:spacing w:after="120" w:before="240"/>
      </w:pPr>
      <w:r>
        <w:rPr>
          <w:rFonts w:ascii="Arial" w:cs="Arial" w:eastAsia="Arial" w:hAnsi="Arial"/>
          <w:b/>
          <w:bCs/>
          <w:color w:val="1F4E79"/>
          <w:sz w:val="24"/>
          <w:szCs w:val="24"/>
        </w:rPr>
        <w:t xml:space="preserve">4.2. Variables y descripcion</w:t>
      </w:r>
    </w:p>
    <w:p>
      <w:pPr>
        <w:spacing w:after="80" w:before="80"/>
        <w:jc w:val="both"/>
      </w:pPr>
      <w:r>
        <w:rPr>
          <w:rFonts w:ascii="Arial" w:cs="Arial" w:eastAsia="Arial" w:hAnsi="Arial"/>
          <w:color w:val="404040"/>
          <w:sz w:val="22"/>
          <w:szCs w:val="22"/>
        </w:rPr>
        <w:t xml:space="preserve">Todas las fuentes comparten las siguientes variables: treat (0/1), age (anos), educ (anos de escolaridad), black (0/1), hispan (0/1), married (0/1), nodegree (0/1), re74 (ingresos 1974 en USD), re75 (ingresos 1975 en USD), re78 (ingresos 1978 en USD - variable de resultado).</w:t>
      </w:r>
    </w:p>
    <w:p>
      <w:pPr>
        <w:spacing w:after="80" w:before="80"/>
        <w:jc w:val="both"/>
      </w:pPr>
      <w:r>
        <w:rPr>
          <w:rFonts w:ascii="Arial" w:cs="Arial" w:eastAsia="Arial" w:hAnsi="Arial"/>
          <w:color w:val="404040"/>
          <w:sz w:val="22"/>
          <w:szCs w:val="22"/>
        </w:rPr>
        <w:t xml:space="preserve">La variable re74 no esta disponible en el PSID original; se imputara como 0 siguiendo la convencion de LaLonde (1986), lo cual se documentara como limitacion metodologica y se evaluara su impacto via analisis de sensibilidad.</w:t>
      </w:r>
    </w:p>
    <w:p>
      <w:pPr>
        <w:spacing w:after="60" w:before="60"/>
      </w:pPr>
      <w:r>
        <w:t xml:space="preserve"/>
      </w:r>
    </w:p>
    <w:p>
      <w:pPr>
        <w:pStyle w:val="Heading2"/>
        <w:spacing w:after="120" w:before="240"/>
      </w:pPr>
      <w:r>
        <w:rPr>
          <w:rFonts w:ascii="Arial" w:cs="Arial" w:eastAsia="Arial" w:hAnsi="Arial"/>
          <w:b/>
          <w:bCs/>
          <w:color w:val="1F4E79"/>
          <w:sz w:val="24"/>
          <w:szCs w:val="24"/>
        </w:rPr>
        <w:t xml:space="preserve">4.3. DGP sintetico para validacion</w:t>
      </w:r>
    </w:p>
    <w:p>
      <w:pPr>
        <w:spacing w:after="80" w:before="80"/>
        <w:jc w:val="both"/>
      </w:pPr>
      <w:r>
        <w:rPr>
          <w:rFonts w:ascii="Arial" w:cs="Arial" w:eastAsia="Arial" w:hAnsi="Arial"/>
          <w:color w:val="404040"/>
          <w:sz w:val="22"/>
          <w:szCs w:val="22"/>
        </w:rPr>
        <w:t xml:space="preserve">Se generara un Proceso Generador de Datos (DGP) sintetico con estructura causal conocida para verificar la implementacion del pipeline antes de aplicarlo a los datos reales. El DGP replicara la estructura del DAG especificado con parametros calibrados a las estadisticas descriptivas del NSW experimental, permitiendo calcular el PEHE (Precision in Estimation of Heterogeneous Effects) como metrica de validacion interna del codigo.</w:t>
      </w:r>
    </w:p>
    <w:p>
      <w:r>
        <w:br w:type="page"/>
      </w:r>
    </w:p>
    <w:p>
      <w:pPr>
        <w:pStyle w:val="Heading1"/>
        <w:spacing w:after="160" w:before="320"/>
      </w:pPr>
      <w:r>
        <w:rPr>
          <w:rFonts w:ascii="Arial" w:cs="Arial" w:eastAsia="Arial" w:hAnsi="Arial"/>
          <w:b/>
          <w:bCs/>
          <w:color w:val="1F4E79"/>
          <w:sz w:val="28"/>
          <w:szCs w:val="28"/>
        </w:rPr>
        <w:t xml:space="preserve">5. Cronograma Personal (10 Semanas)</w:t>
      </w:r>
    </w:p>
    <w:p>
      <w:pPr>
        <w:spacing w:after="80" w:before="80"/>
        <w:jc w:val="both"/>
      </w:pPr>
      <w:r>
        <w:rPr>
          <w:rFonts w:ascii="Arial" w:cs="Arial" w:eastAsia="Arial" w:hAnsi="Arial"/>
          <w:color w:val="404040"/>
          <w:sz w:val="22"/>
          <w:szCs w:val="22"/>
        </w:rPr>
        <w:t xml:space="preserve">El siguiente cronograma distribuye el trabajo en las tres etapas del proyecto, con hitos internos semanales. Las semanas se cuentan desde la semana del 28 de abril de 2026.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60"/>
        <w:gridCol w:w="3000"/>
      </w:tblGrid>
      <w:tr>
        <w:trPr>
          <w:tblHeader/>
        </w:trPr>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Sem.</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Etapa</w:t>
            </w:r>
          </w:p>
        </w:tc>
        <w:tc>
          <w:tcPr>
            <w:tcW w:type="dxa" w:w="32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Actividades principales</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Hito / Entregable</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Planificacion (E1)</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Revision de LaLonde (1986) y Dehejia &amp; Wahba (1999). Definicion de pregunta y estimando.</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Seleccion comunicada al docente</w:t>
            </w:r>
          </w:p>
        </w:tc>
      </w:tr>
      <w:tr>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Planificacion (E1)</w:t>
            </w:r>
          </w:p>
        </w:tc>
        <w:tc>
          <w:tcPr>
            <w:tcW w:type="dxa" w:w="32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Construccion del DAG con pgmpy. Validacion de d-separacion. Redaccion seccion 2.</w:t>
            </w:r>
          </w:p>
        </w:tc>
        <w:tc>
          <w:tcPr>
            <w:tcW w:type="dxa" w:w="3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DAG validado + aristas justificadas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Planificacion (E1)</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Estrategia backdoor. Codigo esqueleto. Ensamble del documento.</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ENTREGA E1 (15 mayo 2026)</w:t>
            </w:r>
          </w:p>
        </w:tc>
      </w:tr>
      <w:tr>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Ejecucion (E2)</w:t>
            </w:r>
          </w:p>
        </w:tc>
        <w:tc>
          <w:tcPr>
            <w:tcW w:type="dxa" w:w="32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Descarga y limpieza de datos NSW, CPS-1, PSID. Analisis exploratorio y overlap.</w:t>
            </w:r>
          </w:p>
        </w:tc>
        <w:tc>
          <w:tcPr>
            <w:tcW w:type="dxa" w:w="3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Datos limpios + graficos de balance</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Ejecucion (E2)</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Estimacion inicial: Matching PSM + OLS de referencia con IC al 95%.</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Primera estimacion del ATT</w:t>
            </w:r>
          </w:p>
        </w:tc>
      </w:tr>
      <w:tr>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Ejecucion (E2)</w:t>
            </w:r>
          </w:p>
        </w:tc>
        <w:tc>
          <w:tcPr>
            <w:tcW w:type="dxa" w:w="32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Implementacion AIPW. Validacion CIA y overlap. Sensibilidad preliminar (E-value).</w:t>
            </w:r>
          </w:p>
        </w:tc>
        <w:tc>
          <w:tcPr>
            <w:tcW w:type="dxa" w:w="3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Reporte intermedio v0.3</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Ejecucion (E2)</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DML con cross-fitting. Estimacion DiD. Revision y refinamiento.</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ENTREGA E2 (26 junio 2026)</w:t>
            </w:r>
          </w:p>
        </w:tc>
      </w:tr>
      <w:tr>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Finalizacion (E3)</w:t>
            </w:r>
          </w:p>
        </w:tc>
        <w:tc>
          <w:tcPr>
            <w:tcW w:type="dxa" w:w="32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Pipeline completo. Control Sintetico (SynC). Metrica W1 pre/post.</w:t>
            </w:r>
          </w:p>
        </w:tc>
        <w:tc>
          <w:tcPr>
            <w:tcW w:type="dxa" w:w="3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Pipeline v1.0 completo</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Finalizacion (E3)</w:t>
            </w:r>
          </w:p>
        </w:tc>
        <w:tc>
          <w:tcPr>
            <w:tcW w:type="dxa" w:w="3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Pruebas de robustez: placebo temporal, Rosenbaum Gamma, estres distribucional.</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pruebas de sensibilidad</w:t>
            </w:r>
          </w:p>
        </w:tc>
      </w:tr>
      <w:tr>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Finalizacion (E3)</w:t>
            </w:r>
          </w:p>
        </w:tc>
        <w:tc>
          <w:tcPr>
            <w:tcW w:type="dxa" w:w="32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Redaccion informe LaTeX. Reproducibilidad total. Revision final.</w:t>
            </w:r>
          </w:p>
        </w:tc>
        <w:tc>
          <w:tcPr>
            <w:tcW w:type="dxa" w:w="3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ENTREGA E3 (24 julio 2026)</w:t>
            </w:r>
          </w:p>
        </w:tc>
      </w:tr>
    </w:tbl>
    <w:p>
      <w:pPr>
        <w:spacing w:after="60" w:before="60"/>
      </w:pPr>
      <w:r>
        <w:t xml:space="preserve"/>
      </w:r>
    </w:p>
    <w:p>
      <w:pPr>
        <w:spacing w:after="60" w:before="60"/>
      </w:pPr>
      <w:r>
        <w:t xml:space="preserve"/>
      </w:r>
    </w:p>
    <w:p>
      <w:pPr>
        <w:pStyle w:val="Heading2"/>
        <w:spacing w:after="120" w:before="240"/>
      </w:pPr>
      <w:r>
        <w:rPr>
          <w:rFonts w:ascii="Arial" w:cs="Arial" w:eastAsia="Arial" w:hAnsi="Arial"/>
          <w:b/>
          <w:bCs/>
          <w:color w:val="1F4E79"/>
          <w:sz w:val="24"/>
          <w:szCs w:val="24"/>
        </w:rPr>
        <w:t xml:space="preserve">5.1. Condiciones de continuidad</w:t>
      </w:r>
    </w:p>
    <w:p>
      <w:pPr>
        <w:pStyle w:val="ListParagraph"/>
        <w:numPr>
          <w:ilvl w:val="0"/>
          <w:numId w:val="2"/>
        </w:numPr>
        <w:spacing w:after="60" w:before="60"/>
      </w:pPr>
      <w:r>
        <w:rPr>
          <w:rFonts w:ascii="Arial" w:cs="Arial" w:eastAsia="Arial" w:hAnsi="Arial"/>
          <w:color w:val="404040"/>
          <w:sz w:val="22"/>
          <w:szCs w:val="22"/>
        </w:rPr>
        <w:t xml:space="preserve">Se requiere nota &gt;= 10/20 en E1 (15 mayo) para presentar E2 (26 junio).</w:t>
      </w:r>
    </w:p>
    <w:p>
      <w:pPr>
        <w:pStyle w:val="ListParagraph"/>
        <w:numPr>
          <w:ilvl w:val="0"/>
          <w:numId w:val="2"/>
        </w:numPr>
        <w:spacing w:after="60" w:before="60"/>
      </w:pPr>
      <w:r>
        <w:rPr>
          <w:rFonts w:ascii="Arial" w:cs="Arial" w:eastAsia="Arial" w:hAnsi="Arial"/>
          <w:color w:val="404040"/>
          <w:sz w:val="22"/>
          <w:szCs w:val="22"/>
        </w:rPr>
        <w:t xml:space="preserve">La no entrega de E3 (24 julio) implica desaprobacion del curso independientemente de notas previas.</w:t>
      </w:r>
    </w:p>
    <w:p>
      <w:pPr>
        <w:pStyle w:val="ListParagraph"/>
        <w:numPr>
          <w:ilvl w:val="0"/>
          <w:numId w:val="2"/>
        </w:numPr>
        <w:spacing w:after="60" w:before="60"/>
      </w:pPr>
      <w:r>
        <w:rPr>
          <w:rFonts w:ascii="Arial" w:cs="Arial" w:eastAsia="Arial" w:hAnsi="Arial"/>
          <w:color w:val="404040"/>
          <w:sz w:val="22"/>
          <w:szCs w:val="22"/>
        </w:rPr>
        <w:t xml:space="preserve">El margen de seguridad esta en las semanas 8-9, reservadas para contingencias antes del cierre de E3.</w:t>
      </w:r>
    </w:p>
    <w:p>
      <w:r>
        <w:br w:type="page"/>
      </w:r>
    </w:p>
    <w:p>
      <w:pPr>
        <w:pStyle w:val="Heading1"/>
        <w:spacing w:after="160" w:before="320"/>
      </w:pPr>
      <w:r>
        <w:rPr>
          <w:rFonts w:ascii="Arial" w:cs="Arial" w:eastAsia="Arial" w:hAnsi="Arial"/>
          <w:b/>
          <w:bCs/>
          <w:color w:val="1F4E79"/>
          <w:sz w:val="28"/>
          <w:szCs w:val="28"/>
        </w:rPr>
        <w:t xml:space="preserve">6. Referencias</w:t>
      </w:r>
    </w:p>
    <w:p>
      <w:pPr>
        <w:spacing w:after="80" w:before="80"/>
        <w:jc w:val="both"/>
      </w:pPr>
      <w:r>
        <w:rPr>
          <w:rFonts w:ascii="Arial" w:cs="Arial" w:eastAsia="Arial" w:hAnsi="Arial"/>
          <w:color w:val="404040"/>
          <w:sz w:val="22"/>
          <w:szCs w:val="22"/>
        </w:rPr>
        <w:t xml:space="preserve">Bareinboim, E., Correa, J. D., Ibeling, D. y Icard, T. (2022). On Pearl's hierarchy and the foundations of causal inference. Proceedings of the National Academy of Sciences, 119(42), e2205077119.</w:t>
      </w:r>
    </w:p>
    <w:p>
      <w:pPr>
        <w:spacing w:after="60" w:before="60"/>
      </w:pPr>
      <w:r>
        <w:t xml:space="preserve"/>
      </w:r>
    </w:p>
    <w:p>
      <w:pPr>
        <w:spacing w:after="80" w:before="80"/>
        <w:jc w:val="both"/>
      </w:pPr>
      <w:r>
        <w:rPr>
          <w:rFonts w:ascii="Arial" w:cs="Arial" w:eastAsia="Arial" w:hAnsi="Arial"/>
          <w:color w:val="404040"/>
          <w:sz w:val="22"/>
          <w:szCs w:val="22"/>
        </w:rPr>
        <w:t xml:space="preserve">Dehejia, R. H. y Wahba, S. (1999). Causal effects in nonexperimental studies: reevaluating the evaluation of training programs. Journal of the American Statistical Association, 94(448), 1053-1062.</w:t>
      </w:r>
    </w:p>
    <w:p>
      <w:pPr>
        <w:spacing w:after="60" w:before="60"/>
      </w:pPr>
      <w:r>
        <w:t xml:space="preserve"/>
      </w:r>
    </w:p>
    <w:p>
      <w:pPr>
        <w:spacing w:after="80" w:before="80"/>
        <w:jc w:val="both"/>
      </w:pPr>
      <w:r>
        <w:rPr>
          <w:rFonts w:ascii="Arial" w:cs="Arial" w:eastAsia="Arial" w:hAnsi="Arial"/>
          <w:color w:val="404040"/>
          <w:sz w:val="22"/>
          <w:szCs w:val="22"/>
        </w:rPr>
        <w:t xml:space="preserve">LaLonde, R. J. (1986). Evaluating the econometric evaluations of training programs with experimental data. The American Economic Review, 76(4), 604-620.</w:t>
      </w:r>
    </w:p>
    <w:p>
      <w:pPr>
        <w:spacing w:after="60" w:before="60"/>
      </w:pPr>
      <w:r>
        <w:t xml:space="preserve"/>
      </w:r>
    </w:p>
    <w:p>
      <w:pPr>
        <w:spacing w:after="80" w:before="80"/>
        <w:jc w:val="both"/>
      </w:pPr>
      <w:r>
        <w:rPr>
          <w:rFonts w:ascii="Arial" w:cs="Arial" w:eastAsia="Arial" w:hAnsi="Arial"/>
          <w:color w:val="404040"/>
          <w:sz w:val="22"/>
          <w:szCs w:val="22"/>
        </w:rPr>
        <w:t xml:space="preserve">Lincovil, J. y Rojas, H. (2026). Inferencia Causal Aplicada con Python. Universidad Nacional de Ingenieria, Lima.</w:t>
      </w:r>
    </w:p>
    <w:p>
      <w:pPr>
        <w:spacing w:after="60" w:before="60"/>
      </w:pPr>
      <w:r>
        <w:t xml:space="preserve"/>
      </w:r>
    </w:p>
    <w:p>
      <w:pPr>
        <w:spacing w:after="80" w:before="80"/>
        <w:jc w:val="both"/>
      </w:pPr>
      <w:r>
        <w:rPr>
          <w:rFonts w:ascii="Arial" w:cs="Arial" w:eastAsia="Arial" w:hAnsi="Arial"/>
          <w:color w:val="404040"/>
          <w:sz w:val="22"/>
          <w:szCs w:val="22"/>
        </w:rPr>
        <w:t xml:space="preserve">Pearl, J. (2009). Causality: Models, Reasoning, and Inference (2nd ed.). Cambridge University Press.</w:t>
      </w:r>
    </w:p>
    <w:p>
      <w:pPr>
        <w:spacing w:after="60" w:before="60"/>
      </w:pPr>
      <w:r>
        <w:t xml:space="preserve"/>
      </w:r>
    </w:p>
    <w:p>
      <w:pPr>
        <w:spacing w:after="80" w:before="80"/>
        <w:jc w:val="both"/>
      </w:pPr>
      <w:r>
        <w:rPr>
          <w:rFonts w:ascii="Arial" w:cs="Arial" w:eastAsia="Arial" w:hAnsi="Arial"/>
          <w:color w:val="404040"/>
          <w:sz w:val="22"/>
          <w:szCs w:val="22"/>
        </w:rPr>
        <w:t xml:space="preserve">Smith, J. A. y Todd, P. E. (2005). Does matching overcome LaLonde's critique of nonexperimental estimators? Journal of Econometrics, 125(1-2), 305-353.</w:t>
      </w:r>
    </w:p>
    <w:p>
      <w:pPr>
        <w:spacing w:after="60" w:before="60"/>
      </w:pPr>
      <w:r>
        <w:t xml:space="preserve"/>
      </w:r>
    </w:p>
    <w:p>
      <w:pPr>
        <w:spacing w:after="80" w:before="80"/>
        <w:jc w:val="both"/>
      </w:pPr>
      <w:r>
        <w:rPr>
          <w:rFonts w:ascii="Arial" w:cs="Arial" w:eastAsia="Arial" w:hAnsi="Arial"/>
          <w:color w:val="404040"/>
          <w:sz w:val="22"/>
          <w:szCs w:val="22"/>
        </w:rPr>
        <w:t xml:space="preserve">VanderWeele, T. J. y Ding, P. (2017). Sensitivity analysis in observational research: introducing the E-value. Annals of Internal Medicine, 167(4), 268-274.</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spacing w:before="120"/>
      <w:jc w:val="center"/>
    </w:pPr>
    <w:r>
      <w:rPr>
        <w:rFonts w:ascii="Arial" w:cs="Arial" w:eastAsia="Arial" w:hAnsi="Arial"/>
        <w:color w:val="888888"/>
        <w:sz w:val="18"/>
        <w:szCs w:val="18"/>
      </w:rPr>
      <w:t xml:space="preserve">Hugo Fernando Quiroz  |  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026"/>
      </w:tabs>
      <w:spacing w:after="120"/>
    </w:pPr>
    <w:r>
      <w:rPr>
        <w:rFonts w:ascii="Arial" w:cs="Arial" w:eastAsia="Arial" w:hAnsi="Arial"/>
        <w:color w:val="888888"/>
        <w:sz w:val="18"/>
        <w:szCs w:val="18"/>
      </w:rPr>
      <w:t xml:space="preserve">Inferencia Causal Aplicada con Python  |  Proyecto 2026-I</w:t>
    </w:r>
    <w:r>
      <w:rPr>
        <w:rFonts w:ascii="Arial" w:cs="Arial" w:eastAsia="Arial" w:hAnsi="Arial"/>
        <w:sz w:val="18"/>
        <w:szCs w:val="18"/>
      </w:rPr>
      <w:t xml:space="preserve">	</w:t>
    </w:r>
    <w:r>
      <w:rPr>
        <w:rFonts w:ascii="Arial" w:cs="Arial" w:eastAsia="Arial" w:hAnsi="Arial"/>
        <w:b/>
        <w:bCs/>
        <w:color w:val="1F4E79"/>
        <w:sz w:val="18"/>
        <w:szCs w:val="18"/>
      </w:rPr>
      <w:t xml:space="preserve">Etapa 1 - Planificacion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2026-05-23T03:11:05.130Z</dcterms:created>
  <dcterms:modified xsi:type="dcterms:W3CDTF">2026-05-23T03:11:05.130Z</dcterms:modified>
</cp:coreProperties>
</file>

<file path=docProps/custom.xml><?xml version="1.0" encoding="utf-8"?>
<Properties xmlns="http://schemas.openxmlformats.org/officeDocument/2006/custom-properties" xmlns:vt="http://schemas.openxmlformats.org/officeDocument/2006/docPropsVTypes"/>
</file>