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200" w:before="0"/>
        <w:jc w:val="center"/>
      </w:pPr>
      <w:r>
        <w:rPr>
          <w:rFonts w:ascii="Calibri" w:cs="Calibri" w:eastAsia="Calibri" w:hAnsi="Calibri"/>
          <w:b/>
          <w:bCs/>
          <w:color w:val="1F3864"/>
          <w:sz w:val="44"/>
          <w:szCs w:val="44"/>
        </w:rPr>
        <w:t xml:space="preserve">EVALUACIÓN DE MÉTODOS OBSERVACIONALES</w:t>
      </w:r>
    </w:p>
    <w:p>
      <w:pPr>
        <w:spacing w:after="200" w:before="0"/>
        <w:jc w:val="center"/>
      </w:pPr>
      <w:r>
        <w:rPr>
          <w:rFonts w:ascii="Calibri" w:cs="Calibri" w:eastAsia="Calibri" w:hAnsi="Calibri"/>
          <w:b/>
          <w:bCs/>
          <w:color w:val="1F3864"/>
          <w:sz w:val="44"/>
          <w:szCs w:val="44"/>
        </w:rPr>
        <w:t xml:space="preserve">EN LOS DATOS LALONDE/NSW</w:t>
      </w:r>
    </w:p>
    <w:p>
      <w:pPr>
        <w:spacing w:after="600" w:before="0"/>
        <w:jc w:val="center"/>
      </w:pPr>
      <w:r>
        <w:rPr>
          <w:rFonts w:ascii="Calibri" w:cs="Calibri" w:eastAsia="Calibri" w:hAnsi="Calibri"/>
          <w:i/>
          <w:iCs/>
          <w:color w:val="2E74B5"/>
          <w:sz w:val="32"/>
          <w:szCs w:val="32"/>
        </w:rPr>
        <w:t xml:space="preserve">Reporte Intermedio — Etapa 2</w:t>
      </w:r>
    </w:p>
    <w:p>
      <w:pPr>
        <w:spacing w:after="120" w:before="0"/>
        <w:jc w:val="center"/>
      </w:pPr>
      <w:r>
        <w:rPr>
          <w:rFonts w:ascii="Calibri" w:cs="Calibri" w:eastAsia="Calibri" w:hAnsi="Calibri"/>
          <w:color w:val="444444"/>
          <w:sz w:val="24"/>
          <w:szCs w:val="24"/>
        </w:rPr>
        <w:t xml:space="preserve">Inferencia Causal Aplicada con Python — ICA 2026-I</w:t>
      </w:r>
    </w:p>
    <w:p>
      <w:pPr>
        <w:spacing w:after="120" w:before="0"/>
        <w:jc w:val="center"/>
      </w:pPr>
      <w:r>
        <w:rPr>
          <w:rFonts w:ascii="Calibri" w:cs="Calibri" w:eastAsia="Calibri" w:hAnsi="Calibri"/>
          <w:color w:val="444444"/>
          <w:sz w:val="22"/>
          <w:szCs w:val="22"/>
        </w:rPr>
        <w:t xml:space="preserve">Maestría en Ingeniería Estadística — Universidad Nacional de Ingeniería</w:t>
      </w:r>
    </w:p>
    <w:p>
      <w:pPr>
        <w:spacing w:after="0" w:before="400"/>
      </w:pPr>
    </w:p>
    <w:p>
      <w:pPr>
        <w:spacing w:after="80" w:before="0"/>
        <w:jc w:val="center"/>
      </w:pPr>
      <w:r>
        <w:rPr>
          <w:rFonts w:ascii="Calibri" w:cs="Calibri" w:eastAsia="Calibri" w:hAnsi="Calibri"/>
          <w:b/>
          <w:bCs/>
          <w:sz w:val="22"/>
          <w:szCs w:val="22"/>
        </w:rPr>
        <w:t xml:space="preserve">Autor: </w:t>
      </w:r>
      <w:r>
        <w:rPr>
          <w:rFonts w:ascii="Calibri" w:cs="Calibri" w:eastAsia="Calibri" w:hAnsi="Calibri"/>
          <w:sz w:val="22"/>
          <w:szCs w:val="22"/>
        </w:rPr>
        <w:t xml:space="preserve">Hugo Marlon Fernandez Quiroz</w:t>
      </w:r>
    </w:p>
    <w:p>
      <w:pPr>
        <w:spacing w:after="80" w:before="0"/>
        <w:jc w:val="center"/>
      </w:pPr>
      <w:r>
        <w:rPr>
          <w:rFonts w:ascii="Calibri" w:cs="Calibri" w:eastAsia="Calibri" w:hAnsi="Calibri"/>
          <w:b/>
          <w:bCs/>
          <w:sz w:val="22"/>
          <w:szCs w:val="22"/>
        </w:rPr>
        <w:t xml:space="preserve">Correo: </w:t>
      </w:r>
      <w:r>
        <w:rPr>
          <w:rFonts w:ascii="Calibri" w:cs="Calibri" w:eastAsia="Calibri" w:hAnsi="Calibri"/>
          <w:sz w:val="22"/>
          <w:szCs w:val="22"/>
        </w:rPr>
        <w:t xml:space="preserve">hugo.fernandez.q@uni.pe</w:t>
      </w:r>
    </w:p>
    <w:p>
      <w:pPr>
        <w:spacing w:after="80" w:before="0"/>
        <w:jc w:val="center"/>
      </w:pPr>
      <w:r>
        <w:rPr>
          <w:rFonts w:ascii="Calibri" w:cs="Calibri" w:eastAsia="Calibri" w:hAnsi="Calibri"/>
          <w:b/>
          <w:bCs/>
          <w:sz w:val="22"/>
          <w:szCs w:val="22"/>
        </w:rPr>
        <w:t xml:space="preserve">Docente: </w:t>
      </w:r>
      <w:r>
        <w:rPr>
          <w:rFonts w:ascii="Calibri" w:cs="Calibri" w:eastAsia="Calibri" w:hAnsi="Calibri"/>
          <w:sz w:val="22"/>
          <w:szCs w:val="22"/>
        </w:rPr>
        <w:t xml:space="preserve">Dr. Jaime Lincovil Curivil</w:t>
      </w:r>
    </w:p>
    <w:p>
      <w:pPr>
        <w:spacing w:after="80" w:before="0"/>
        <w:jc w:val="center"/>
      </w:pPr>
      <w:r>
        <w:rPr>
          <w:rFonts w:ascii="Calibri" w:cs="Calibri" w:eastAsia="Calibri" w:hAnsi="Calibri"/>
          <w:b/>
          <w:bCs/>
          <w:sz w:val="22"/>
          <w:szCs w:val="22"/>
        </w:rPr>
        <w:t xml:space="preserve">Fecha: </w:t>
      </w:r>
      <w:r>
        <w:rPr>
          <w:rFonts w:ascii="Calibri" w:cs="Calibri" w:eastAsia="Calibri" w:hAnsi="Calibri"/>
          <w:sz w:val="22"/>
          <w:szCs w:val="22"/>
        </w:rPr>
        <w:t xml:space="preserve">Junio 2026</w:t>
      </w:r>
    </w:p>
    <w:p>
      <w:r>
        <w:br w:type="page"/>
      </w:r>
    </w:p>
    <w:p>
      <w:pPr>
        <w:pStyle w:val="Heading1"/>
        <w:pBdr>
          <w:bottom w:val="single" w:color="2E74B5" w:sz="6" w:space="4"/>
        </w:pBdr>
        <w:spacing w:after="120" w:before="280"/>
      </w:pPr>
      <w:r>
        <w:rPr>
          <w:rFonts w:ascii="Calibri" w:cs="Calibri" w:eastAsia="Calibri" w:hAnsi="Calibri"/>
          <w:b/>
          <w:bCs/>
        </w:rPr>
        <w:t xml:space="preserve">1. Introducción y Pregunta Causal</w:t>
      </w:r>
    </w:p>
    <w:p>
      <w:pPr>
        <w:spacing w:after="120" w:before="0"/>
        <w:jc w:val="both"/>
      </w:pPr>
      <w:r>
        <w:rPr>
          <w:rFonts w:ascii="Calibri" w:cs="Calibri" w:eastAsia="Calibri" w:hAnsi="Calibri"/>
        </w:rPr>
        <w:t xml:space="preserve">Este reporte presenta los resultados de la Etapa 2 (Ejecución Primaria) del proyecto de benchmarking causal usando los datos LaLonde/NSW. El objetivo central es evaluar si los métodos observacionales modernos pueden recuperar el efecto causal estimado por el experimento aleatorio original.</w:t>
      </w:r>
    </w:p>
    <w:p>
      <w:pPr>
        <w:pStyle w:val="Heading2"/>
        <w:spacing w:after="80" w:before="200"/>
      </w:pPr>
      <w:r>
        <w:rPr>
          <w:rFonts w:ascii="Calibri" w:cs="Calibri" w:eastAsia="Calibri" w:hAnsi="Calibri"/>
          <w:b/>
          <w:bCs/>
        </w:rPr>
        <w:t xml:space="preserve">1.1 Pregunta de investigación</w:t>
      </w:r>
    </w:p>
    <w:p>
      <w:pPr>
        <w:spacing w:after="120" w:before="0"/>
        <w:jc w:val="both"/>
      </w:pPr>
      <w:r>
        <w:rPr>
          <w:rFonts w:ascii="Calibri" w:cs="Calibri" w:eastAsia="Calibri" w:hAnsi="Calibri"/>
        </w:rPr>
        <w:t xml:space="preserve">¿Pueden los métodos observacionales modernos (PSM, AIPW, DML) replicar el efecto causal del programa de capacitación laboral NSW sobre los ingresos reales de 1978, estimado mediante un RCT?</w:t>
      </w:r>
    </w:p>
    <w:p>
      <w:pPr>
        <w:pStyle w:val="Heading2"/>
        <w:spacing w:after="80" w:before="200"/>
      </w:pPr>
      <w:r>
        <w:rPr>
          <w:rFonts w:ascii="Calibri" w:cs="Calibri" w:eastAsia="Calibri" w:hAnsi="Calibri"/>
          <w:b/>
          <w:bCs/>
        </w:rPr>
        <w:t xml:space="preserve">1.2 Estimando primario</w:t>
      </w:r>
    </w:p>
    <w:p>
      <w:pPr>
        <w:spacing w:after="120" w:before="0"/>
        <w:jc w:val="both"/>
      </w:pPr>
      <w:r>
        <w:rPr>
          <w:rFonts w:ascii="Calibri" w:cs="Calibri" w:eastAsia="Calibri" w:hAnsi="Calibri"/>
        </w:rPr>
        <w:t xml:space="preserve">El estimando es el </w:t>
      </w:r>
      <w:r>
        <w:rPr>
          <w:rFonts w:ascii="Calibri" w:cs="Calibri" w:eastAsia="Calibri" w:hAnsi="Calibri"/>
          <w:b/>
          <w:bCs/>
        </w:rPr>
        <w:t xml:space="preserve">Efecto Promedio del Tratamiento sobre los Tratados (ATT):</w:t>
      </w:r>
    </w:p>
    <w:p>
      <w:pPr>
        <w:spacing w:after="80" w:before="80"/>
        <w:jc w:val="center"/>
      </w:pPr>
      <w:r>
        <w:rPr>
          <w:rFonts w:ascii="Courier New" w:cs="Courier New" w:eastAsia="Courier New" w:hAnsi="Courier New"/>
          <w:b/>
          <w:bCs/>
          <w:sz w:val="22"/>
          <w:szCs w:val="22"/>
        </w:rPr>
        <w:t xml:space="preserve">ATT = E[Y(1) − Y(0) | T = 1]</w:t>
      </w:r>
    </w:p>
    <w:p>
      <w:pPr>
        <w:spacing w:after="120" w:before="0"/>
        <w:jc w:val="both"/>
      </w:pPr>
      <w:r>
        <w:rPr>
          <w:rFonts w:ascii="Calibri" w:cs="Calibri" w:eastAsia="Calibri" w:hAnsi="Calibri"/>
        </w:rPr>
        <w:t xml:space="preserve">donde </w:t>
      </w:r>
      <w:r>
        <w:rPr>
          <w:rFonts w:ascii="Calibri" w:cs="Calibri" w:eastAsia="Calibri" w:hAnsi="Calibri"/>
          <w:b/>
          <w:bCs/>
        </w:rPr>
        <w:t xml:space="preserve">T</w:t>
      </w:r>
      <w:r>
        <w:rPr>
          <w:rFonts w:ascii="Calibri" w:cs="Calibri" w:eastAsia="Calibri" w:hAnsi="Calibri"/>
        </w:rPr>
        <w:t xml:space="preserve"> = participación en NSW (1 = tratado, 0 = control), </w:t>
      </w:r>
      <w:r>
        <w:rPr>
          <w:rFonts w:ascii="Calibri" w:cs="Calibri" w:eastAsia="Calibri" w:hAnsi="Calibri"/>
          <w:b/>
          <w:bCs/>
        </w:rPr>
        <w:t xml:space="preserve">Y</w:t>
      </w:r>
      <w:r>
        <w:rPr>
          <w:rFonts w:ascii="Calibri" w:cs="Calibri" w:eastAsia="Calibri" w:hAnsi="Calibri"/>
        </w:rPr>
        <w:t xml:space="preserve"> = re78 (ingresos reales 1978 en USD nominales).</w:t>
      </w:r>
    </w:p>
    <w:p>
      <w:pPr>
        <w:pStyle w:val="Heading2"/>
        <w:spacing w:after="80" w:before="200"/>
      </w:pPr>
      <w:r>
        <w:rPr>
          <w:rFonts w:ascii="Calibri" w:cs="Calibri" w:eastAsia="Calibri" w:hAnsi="Calibri"/>
          <w:b/>
          <w:bCs/>
        </w:rPr>
        <w:t xml:space="preserve">1.3 Benchmark RCT</w:t>
      </w:r>
    </w:p>
    <w:p>
      <w:pPr>
        <w:spacing w:after="120" w:before="0"/>
        <w:jc w:val="both"/>
      </w:pPr>
      <w:r>
        <w:rPr>
          <w:rFonts w:ascii="Calibri" w:cs="Calibri" w:eastAsia="Calibri" w:hAnsi="Calibri"/>
        </w:rPr>
        <w:t xml:space="preserve">El experimento aleatorio original (LaLonde 1986) estima: </w:t>
      </w:r>
      <w:r>
        <w:rPr>
          <w:rFonts w:ascii="Calibri" w:cs="Calibri" w:eastAsia="Calibri" w:hAnsi="Calibri"/>
          <w:b/>
          <w:bCs/>
        </w:rPr>
        <w:t xml:space="preserve">ATT = $1,794 (SE ≈ $632), IC 95%: [$555, $3,033].</w:t>
      </w:r>
      <w:r>
        <w:rPr>
          <w:rFonts w:ascii="Calibri" w:cs="Calibri" w:eastAsia="Calibri" w:hAnsi="Calibri"/>
        </w:rPr>
        <w:t xml:space="preserve"> Este es el valor de referencia contra el que se evalúan todos los estimadores observacionales.</w:t>
      </w:r>
    </w:p>
    <w:p>
      <w:pPr>
        <w:spacing w:after="0" w:before="0"/>
      </w:pPr>
    </w:p>
    <w:p>
      <w:r>
        <w:br w:type="page"/>
      </w:r>
    </w:p>
    <w:p>
      <w:pPr>
        <w:pStyle w:val="Heading1"/>
        <w:pBdr>
          <w:bottom w:val="single" w:color="2E74B5" w:sz="6" w:space="4"/>
        </w:pBdr>
        <w:spacing w:after="120" w:before="280"/>
      </w:pPr>
      <w:r>
        <w:rPr>
          <w:rFonts w:ascii="Calibri" w:cs="Calibri" w:eastAsia="Calibri" w:hAnsi="Calibri"/>
          <w:b/>
          <w:bCs/>
        </w:rPr>
        <w:t xml:space="preserve">2. Descripción de los Datos</w:t>
      </w:r>
    </w:p>
    <w:p>
      <w:pPr>
        <w:spacing w:after="120" w:before="0"/>
        <w:jc w:val="both"/>
      </w:pPr>
      <w:r>
        <w:rPr>
          <w:rFonts w:ascii="Calibri" w:cs="Calibri" w:eastAsia="Calibri" w:hAnsi="Calibri"/>
        </w:rPr>
        <w:t xml:space="preserve">Se construyeron tres datasets combinando la muestra experimental de Dehejia &amp; Wahba (1999) con grupos de control observacionales del CPS y PSID.</w:t>
      </w:r>
    </w:p>
    <w:p>
      <w:pPr>
        <w:pStyle w:val="Heading2"/>
        <w:spacing w:after="80" w:before="200"/>
      </w:pPr>
      <w:r>
        <w:rPr>
          <w:rFonts w:ascii="Calibri" w:cs="Calibri" w:eastAsia="Calibri" w:hAnsi="Calibri"/>
          <w:b/>
          <w:bCs/>
        </w:rPr>
        <w:t xml:space="preserve">2.1 Datasets de análisis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200"/>
        <w:gridCol w:w="1100"/>
        <w:gridCol w:w="1300"/>
        <w:gridCol w:w="971"/>
      </w:tblGrid>
      <w:tr>
        <w:trPr>
          <w:tblHeader/>
        </w:trPr>
        <w:tc>
          <w:tcPr>
            <w:tcW w:type="dxa" w:w="2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Dataset</w:t>
            </w:r>
          </w:p>
        </w:tc>
        <w:tc>
          <w:tcPr>
            <w:tcW w:type="dxa" w:w="2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Fuente</w:t>
            </w:r>
          </w:p>
        </w:tc>
        <w:tc>
          <w:tcPr>
            <w:tcW w:type="dxa" w:w="1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N total</w:t>
            </w:r>
          </w:p>
        </w:tc>
        <w:tc>
          <w:tcPr>
            <w:tcW w:type="dxa" w:w="11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Tratados</w:t>
            </w:r>
          </w:p>
        </w:tc>
        <w:tc>
          <w:tcPr>
            <w:tcW w:type="dxa" w:w="13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Controles</w:t>
            </w:r>
          </w:p>
        </w:tc>
        <w:tc>
          <w:tcPr>
            <w:tcW w:type="dxa" w:w="97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re74</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Experimental (RCT)</w:t>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nsw_dw.dta</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445</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185</w:t>
            </w:r>
          </w:p>
        </w:tc>
        <w:tc>
          <w:tcPr>
            <w:tcW w:type="dxa" w:w="1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260</w:t>
            </w:r>
          </w:p>
        </w:tc>
        <w:tc>
          <w:tcPr>
            <w:tcW w:type="dxa" w:w="97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Sí</w:t>
            </w:r>
          </w:p>
        </w:tc>
      </w:tr>
      <w:tr>
        <w:tc>
          <w:tcPr>
            <w:tcW w:type="dxa" w:w="22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Observacional CPS1</w:t>
            </w:r>
          </w:p>
        </w:tc>
        <w:tc>
          <w:tcPr>
            <w:tcW w:type="dxa" w:w="26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nsw_dw[T=1] + cps_controls.dta</w:t>
            </w:r>
          </w:p>
        </w:tc>
        <w:tc>
          <w:tcPr>
            <w:tcW w:type="dxa" w:w="12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16,177</w:t>
            </w:r>
          </w:p>
        </w:tc>
        <w:tc>
          <w:tcPr>
            <w:tcW w:type="dxa" w:w="11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185</w:t>
            </w:r>
          </w:p>
        </w:tc>
        <w:tc>
          <w:tcPr>
            <w:tcW w:type="dxa" w:w="13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15,992</w:t>
            </w:r>
          </w:p>
        </w:tc>
        <w:tc>
          <w:tcPr>
            <w:tcW w:type="dxa" w:w="971"/>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Sí</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Observacional PSID1</w:t>
            </w:r>
          </w:p>
        </w:tc>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nsw_dw[T=1] + psid_controls.dta</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2,675</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185</w:t>
            </w:r>
          </w:p>
        </w:tc>
        <w:tc>
          <w:tcPr>
            <w:tcW w:type="dxa" w:w="1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2,490</w:t>
            </w:r>
          </w:p>
        </w:tc>
        <w:tc>
          <w:tcPr>
            <w:tcW w:type="dxa" w:w="97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Sí</w:t>
            </w:r>
          </w:p>
        </w:tc>
      </w:tr>
    </w:tbl>
    <w:p>
      <w:pPr>
        <w:spacing w:after="0" w:before="160"/>
      </w:pPr>
    </w:p>
    <w:p>
      <w:pPr>
        <w:pStyle w:val="Heading2"/>
        <w:spacing w:after="80" w:before="200"/>
      </w:pPr>
      <w:r>
        <w:rPr>
          <w:rFonts w:ascii="Calibri" w:cs="Calibri" w:eastAsia="Calibri" w:hAnsi="Calibri"/>
          <w:b/>
          <w:bCs/>
        </w:rPr>
        <w:t xml:space="preserve">2.2 Diferencia naive de medias en re78 (sin ajuste)</w:t>
      </w:r>
    </w:p>
    <w:p>
      <w:pPr>
        <w:spacing w:after="120" w:before="0"/>
        <w:jc w:val="both"/>
      </w:pPr>
      <w:r>
        <w:rPr>
          <w:rFonts w:ascii="Calibri" w:cs="Calibri" w:eastAsia="Calibri" w:hAnsi="Calibri"/>
        </w:rPr>
        <w:t xml:space="preserve">La diferencia simple de medias entre tratados y controles revela el sesgo de selección bruto:</w:t>
      </w:r>
    </w:p>
    <w:p>
      <w:pPr>
        <w:pStyle w:val="ListParagraph"/>
        <w:numPr>
          <w:ilvl w:val="0"/>
          <w:numId w:val="2"/>
        </w:numPr>
        <w:spacing w:after="60" w:before="0"/>
        <w:jc w:val="both"/>
      </w:pPr>
      <w:r>
        <w:rPr>
          <w:rFonts w:ascii="Calibri" w:cs="Calibri" w:eastAsia="Calibri" w:hAnsi="Calibri"/>
        </w:rPr>
        <w:t xml:space="preserve">Experimental: +$1,794 (coincide con el benchmark, confirma la aleatorización)</w:t>
      </w:r>
    </w:p>
    <w:p>
      <w:pPr>
        <w:pStyle w:val="ListParagraph"/>
        <w:numPr>
          <w:ilvl w:val="0"/>
          <w:numId w:val="2"/>
        </w:numPr>
        <w:spacing w:after="60" w:before="0"/>
        <w:jc w:val="both"/>
      </w:pPr>
      <w:r>
        <w:rPr>
          <w:rFonts w:ascii="Calibri" w:cs="Calibri" w:eastAsia="Calibri" w:hAnsi="Calibri"/>
        </w:rPr>
        <w:t xml:space="preserve">CPS1: −$8,498 (sesgo severo de selección: −$10,292 respecto al RCT)</w:t>
      </w:r>
    </w:p>
    <w:p>
      <w:pPr>
        <w:pStyle w:val="ListParagraph"/>
        <w:numPr>
          <w:ilvl w:val="0"/>
          <w:numId w:val="2"/>
        </w:numPr>
        <w:spacing w:after="60" w:before="0"/>
        <w:jc w:val="both"/>
      </w:pPr>
      <w:r>
        <w:rPr>
          <w:rFonts w:ascii="Calibri" w:cs="Calibri" w:eastAsia="Calibri" w:hAnsi="Calibri"/>
        </w:rPr>
        <w:t xml:space="preserve">PSID1: −$15,205 (sesgo muy severo: −$16,999 respecto al RCT)</w:t>
      </w:r>
    </w:p>
    <w:p>
      <w:pPr>
        <w:spacing w:after="120" w:before="0"/>
        <w:jc w:val="both"/>
      </w:pPr>
      <w:r>
        <w:rPr>
          <w:rFonts w:ascii="Calibri" w:cs="Calibri" w:eastAsia="Calibri" w:hAnsi="Calibri"/>
        </w:rPr>
        <w:t xml:space="preserve">El signo negativo en CPS1 y PSID1 refleja que los controles tienen ingresos 1978 muy superiores a los tratados — exactamente lo opuesto al efecto real, producto del sesgo de selección.</w:t>
      </w:r>
    </w:p>
    <w:p>
      <w:pPr>
        <w:spacing w:after="0" w:before="0"/>
      </w:pPr>
    </w:p>
    <w:p>
      <w:pPr>
        <w:pStyle w:val="Heading1"/>
        <w:pBdr>
          <w:bottom w:val="single" w:color="2E74B5" w:sz="6" w:space="4"/>
        </w:pBdr>
        <w:spacing w:after="120" w:before="280"/>
      </w:pPr>
      <w:r>
        <w:rPr>
          <w:rFonts w:ascii="Calibri" w:cs="Calibri" w:eastAsia="Calibri" w:hAnsi="Calibri"/>
          <w:b/>
          <w:bCs/>
        </w:rPr>
        <w:t xml:space="preserve">3. Balance de Covariables (SMD)</w:t>
      </w:r>
    </w:p>
    <w:p>
      <w:pPr>
        <w:spacing w:after="120" w:before="0"/>
        <w:jc w:val="both"/>
      </w:pPr>
      <w:r>
        <w:rPr>
          <w:rFonts w:ascii="Calibri" w:cs="Calibri" w:eastAsia="Calibri" w:hAnsi="Calibri"/>
        </w:rPr>
        <w:t xml:space="preserve">La </w:t>
      </w:r>
      <w:r>
        <w:rPr>
          <w:rFonts w:ascii="Calibri" w:cs="Calibri" w:eastAsia="Calibri" w:hAnsi="Calibri"/>
          <w:b/>
          <w:bCs/>
        </w:rPr>
        <w:t xml:space="preserve">Diferencia Estandarizada de Medias (SMD)</w:t>
      </w:r>
      <w:r>
        <w:rPr>
          <w:rFonts w:ascii="Calibri" w:cs="Calibri" w:eastAsia="Calibri" w:hAnsi="Calibri"/>
        </w:rPr>
        <w:t xml:space="preserve"> mide el desequilibrio entre grupos tratado y control para cada covariable:</w:t>
      </w:r>
    </w:p>
    <w:p>
      <w:pPr>
        <w:spacing w:after="80" w:before="80"/>
        <w:jc w:val="center"/>
      </w:pPr>
      <w:r>
        <w:rPr>
          <w:rFonts w:ascii="Courier New" w:cs="Courier New" w:eastAsia="Courier New" w:hAnsi="Courier New"/>
          <w:sz w:val="20"/>
          <w:szCs w:val="20"/>
        </w:rPr>
        <w:t xml:space="preserve">SMD = (μ₁ − μ₀) / √[(σ₁² + σ₀²) / 2]</w:t>
      </w:r>
    </w:p>
    <w:p>
      <w:pPr>
        <w:spacing w:after="120" w:before="0"/>
        <w:jc w:val="both"/>
      </w:pPr>
      <w:r>
        <w:rPr>
          <w:rFonts w:ascii="Calibri" w:cs="Calibri" w:eastAsia="Calibri" w:hAnsi="Calibri"/>
        </w:rPr>
        <w:t xml:space="preserve">Criterio de balance adecuado: </w:t>
      </w:r>
      <w:r>
        <w:rPr>
          <w:rFonts w:ascii="Calibri" w:cs="Calibri" w:eastAsia="Calibri" w:hAnsi="Calibri"/>
          <w:b/>
          <w:bCs/>
        </w:rPr>
        <w:t xml:space="preserve">|SMD| &lt; 0.10</w:t>
      </w:r>
      <w:r>
        <w:rPr>
          <w:rFonts w:ascii="Calibri" w:cs="Calibri" w:eastAsia="Calibri" w:hAnsi="Calibri"/>
        </w:rPr>
        <w:t xml:space="preserve"> (Austin 2009). Colores: </w:t>
      </w:r>
      <w:r>
        <w:rPr>
          <w:rFonts w:ascii="Calibri" w:cs="Calibri" w:eastAsia="Calibri" w:hAnsi="Calibri"/>
          <w:sz w:val="20"/>
          <w:szCs w:val="20"/>
          <w:highlight w:val="green"/>
          <w:highlightCs w:val="green"/>
        </w:rPr>
        <w:t xml:space="preserve"> verde </w:t>
      </w:r>
      <w:r>
        <w:rPr>
          <w:rFonts w:ascii="Calibri" w:cs="Calibri" w:eastAsia="Calibri" w:hAnsi="Calibri"/>
        </w:rPr>
        <w:t xml:space="preserve"> = |SMD| &lt; 0.10,  amarillo = 0.10–0.50,  rojo = |SMD| &gt; 0.50.</w:t>
      </w:r>
    </w:p>
    <w:p>
      <w:pPr>
        <w:spacing w:after="0" w:before="8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471"/>
      </w:tblGrid>
      <w:tr>
        <w:tc>
          <w:tcPr>
            <w:tcW w:type="dxa" w:w="1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sz w:val="18"/>
                <w:szCs w:val="18"/>
              </w:rPr>
              <w:t xml:space="preserve">Covariable</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Exp. RCT</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CPS1</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PSID1</w:t>
            </w:r>
          </w:p>
        </w:tc>
        <w:tc>
          <w:tcPr>
            <w:tcW w:type="dxa" w:w="247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
            </w:r>
          </w:p>
        </w:tc>
      </w:tr>
      <w:tr>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age</w:t>
            </w:r>
          </w:p>
        </w:tc>
        <w:tc>
          <w:tcPr>
            <w:tcW w:type="dxa" w:w="16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0.107</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−0.796</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−1.009</w:t>
            </w:r>
          </w:p>
        </w:tc>
        <w:tc>
          <w:tcPr>
            <w:tcW w:type="dxa" w:w="247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r>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educ</w:t>
            </w:r>
          </w:p>
        </w:tc>
        <w:tc>
          <w:tcPr>
            <w:tcW w:type="dxa" w:w="16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0.141</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−0.679</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−0.681</w:t>
            </w:r>
          </w:p>
        </w:tc>
        <w:tc>
          <w:tcPr>
            <w:tcW w:type="dxa" w:w="247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r>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black</w:t>
            </w:r>
          </w:p>
        </w:tc>
        <w:tc>
          <w:tcPr>
            <w:tcW w:type="dxa" w:w="16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0.044</w:t>
            </w:r>
          </w:p>
        </w:tc>
        <w:tc>
          <w:tcPr>
            <w:tcW w:type="dxa" w:w="1600"/>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2.428</w:t>
            </w:r>
          </w:p>
        </w:tc>
        <w:tc>
          <w:tcPr>
            <w:tcW w:type="dxa" w:w="1600"/>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1.480</w:t>
            </w:r>
          </w:p>
        </w:tc>
        <w:tc>
          <w:tcPr>
            <w:tcW w:type="dxa" w:w="247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r>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hisp</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−0.175</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−0.051</w:t>
            </w:r>
          </w:p>
        </w:tc>
        <w:tc>
          <w:tcPr>
            <w:tcW w:type="dxa" w:w="16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0.129</w:t>
            </w:r>
          </w:p>
        </w:tc>
        <w:tc>
          <w:tcPr>
            <w:tcW w:type="dxa" w:w="247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r>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married</w:t>
            </w:r>
          </w:p>
        </w:tc>
        <w:tc>
          <w:tcPr>
            <w:tcW w:type="dxa" w:w="16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0.094</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−1.233</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−1.842</w:t>
            </w:r>
          </w:p>
        </w:tc>
        <w:tc>
          <w:tcPr>
            <w:tcW w:type="dxa" w:w="247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r>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nodegree</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−0.304</w:t>
            </w:r>
          </w:p>
        </w:tc>
        <w:tc>
          <w:tcPr>
            <w:tcW w:type="dxa" w:w="1600"/>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0.904</w:t>
            </w:r>
          </w:p>
        </w:tc>
        <w:tc>
          <w:tcPr>
            <w:tcW w:type="dxa" w:w="1600"/>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0.879</w:t>
            </w:r>
          </w:p>
        </w:tc>
        <w:tc>
          <w:tcPr>
            <w:tcW w:type="dxa" w:w="247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r>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re74</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−0.002</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−1.569</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−1.718</w:t>
            </w:r>
          </w:p>
        </w:tc>
        <w:tc>
          <w:tcPr>
            <w:tcW w:type="dxa" w:w="247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r>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re75</w:t>
            </w:r>
          </w:p>
        </w:tc>
        <w:tc>
          <w:tcPr>
            <w:tcW w:type="dxa" w:w="16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0.084</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−1.746</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−1.774</w:t>
            </w:r>
          </w:p>
        </w:tc>
        <w:tc>
          <w:tcPr>
            <w:tcW w:type="dxa" w:w="247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r>
        <w:tc>
          <w:tcPr>
            <w:tcW w:type="dxa" w:w="1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sz w:val="18"/>
                <w:szCs w:val="18"/>
              </w:rPr>
              <w:t xml:space="preserve">Max |SMD|</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0.304</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2.428</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1.842</w:t>
            </w:r>
          </w:p>
        </w:tc>
        <w:tc>
          <w:tcPr>
            <w:tcW w:type="dxa" w:w="247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
            </w:r>
          </w:p>
        </w:tc>
      </w:tr>
    </w:tbl>
    <w:p>
      <w:pPr>
        <w:spacing w:after="0" w:before="120"/>
      </w:pPr>
    </w:p>
    <w:p>
      <w:pPr>
        <w:pStyle w:val="Heading2"/>
        <w:spacing w:after="80" w:before="200"/>
      </w:pPr>
      <w:r>
        <w:rPr>
          <w:rFonts w:ascii="Calibri" w:cs="Calibri" w:eastAsia="Calibri" w:hAnsi="Calibri"/>
          <w:b/>
          <w:bCs/>
        </w:rPr>
        <w:t xml:space="preserve">Interpretación</w:t>
      </w:r>
    </w:p>
    <w:p>
      <w:pPr>
        <w:pStyle w:val="ListParagraph"/>
        <w:numPr>
          <w:ilvl w:val="0"/>
          <w:numId w:val="2"/>
        </w:numPr>
        <w:spacing w:after="60" w:before="0"/>
        <w:jc w:val="both"/>
      </w:pPr>
      <w:r>
        <w:rPr>
          <w:rFonts w:ascii="Calibri" w:cs="Calibri" w:eastAsia="Calibri" w:hAnsi="Calibri"/>
        </w:rPr>
        <w:t xml:space="preserve">El dataset experimental tiene balance aceptable en la mayoría de variables, confirmando la aleatorización del RCT NSW.</w:t>
      </w:r>
    </w:p>
    <w:p>
      <w:pPr>
        <w:pStyle w:val="ListParagraph"/>
        <w:numPr>
          <w:ilvl w:val="0"/>
          <w:numId w:val="2"/>
        </w:numPr>
        <w:spacing w:after="60" w:before="0"/>
        <w:jc w:val="both"/>
      </w:pPr>
      <w:r>
        <w:rPr>
          <w:rFonts w:ascii="Calibri" w:cs="Calibri" w:eastAsia="Calibri" w:hAnsi="Calibri"/>
        </w:rPr>
        <w:t xml:space="preserve">CPS1 y PSID1 exhiben desequilibrio severo en re74, re75, black y married.</w:t>
      </w:r>
    </w:p>
    <w:p>
      <w:pPr>
        <w:pStyle w:val="ListParagraph"/>
        <w:numPr>
          <w:ilvl w:val="0"/>
          <w:numId w:val="2"/>
        </w:numPr>
        <w:spacing w:after="60" w:before="0"/>
        <w:jc w:val="both"/>
      </w:pPr>
      <w:r>
        <w:rPr>
          <w:rFonts w:ascii="Calibri" w:cs="Calibri" w:eastAsia="Calibri" w:hAnsi="Calibri"/>
        </w:rPr>
        <w:t xml:space="preserve">El mayor desequilibrio es black en CPS1 (SMD = 2.43): tratados 84% afroamericanos vs. controles CPS 7%.</w:t>
      </w:r>
    </w:p>
    <w:p>
      <w:pPr>
        <w:pStyle w:val="ListParagraph"/>
        <w:numPr>
          <w:ilvl w:val="0"/>
          <w:numId w:val="2"/>
        </w:numPr>
        <w:spacing w:after="60" w:before="0"/>
        <w:jc w:val="both"/>
      </w:pPr>
      <w:r>
        <w:rPr>
          <w:rFonts w:ascii="Calibri" w:cs="Calibri" w:eastAsia="Calibri" w:hAnsi="Calibri"/>
        </w:rPr>
        <w:t xml:space="preserve">El desequilibrio en ingresos pre-tratamiento (re74, re75) es crítico: tratados tenían ingresos muy inferiores, reflejando la selección de desempleados de bajos ingresos en NSW.</w:t>
      </w:r>
    </w:p>
    <w:p>
      <w:pPr>
        <w:spacing w:after="0" w:before="0"/>
      </w:pPr>
    </w:p>
    <w:p>
      <w:r>
        <w:br w:type="page"/>
      </w:r>
    </w:p>
    <w:p>
      <w:pPr>
        <w:pStyle w:val="Heading1"/>
        <w:pBdr>
          <w:bottom w:val="single" w:color="2E74B5" w:sz="6" w:space="4"/>
        </w:pBdr>
        <w:spacing w:after="120" w:before="280"/>
      </w:pPr>
      <w:r>
        <w:rPr>
          <w:rFonts w:ascii="Calibri" w:cs="Calibri" w:eastAsia="Calibri" w:hAnsi="Calibri"/>
          <w:b/>
          <w:bCs/>
        </w:rPr>
        <w:t xml:space="preserve">4. Estimación del ATT</w:t>
      </w:r>
    </w:p>
    <w:p>
      <w:pPr>
        <w:spacing w:after="120" w:before="0"/>
        <w:jc w:val="both"/>
      </w:pPr>
      <w:r>
        <w:rPr>
          <w:rFonts w:ascii="Calibri" w:cs="Calibri" w:eastAsia="Calibri" w:hAnsi="Calibri"/>
        </w:rPr>
        <w:t xml:space="preserve">Se implementaron tres estimadores causales, cada uno con supuestos y mecanismos distintos. Todos usan RANDOM_STATE = 42 para reproducibilidad.</w:t>
      </w:r>
    </w:p>
    <w:p>
      <w:pPr>
        <w:pStyle w:val="Heading2"/>
        <w:spacing w:after="80" w:before="200"/>
      </w:pPr>
      <w:r>
        <w:rPr>
          <w:rFonts w:ascii="Calibri" w:cs="Calibri" w:eastAsia="Calibri" w:hAnsi="Calibri"/>
          <w:b/>
          <w:bCs/>
        </w:rPr>
        <w:t xml:space="preserve">4.1 Propensity Score Matching (PSM)</w:t>
      </w:r>
    </w:p>
    <w:p>
      <w:pPr>
        <w:spacing w:after="120" w:before="0"/>
        <w:jc w:val="both"/>
      </w:pPr>
      <w:r>
        <w:rPr>
          <w:rFonts w:ascii="Calibri" w:cs="Calibri" w:eastAsia="Calibri" w:hAnsi="Calibri"/>
        </w:rPr>
        <w:t xml:space="preserve">LogisticRegression con covariables estandarizadas, matching 1:1 sin reemplazo en el espacio del PS. SE estimado por </w:t>
      </w:r>
      <w:r>
        <w:rPr>
          <w:rFonts w:ascii="Calibri" w:cs="Calibri" w:eastAsia="Calibri" w:hAnsi="Calibri"/>
          <w:b/>
          <w:bCs/>
        </w:rPr>
        <w:t xml:space="preserve">bootstrap (500 réplicas).</w:t>
      </w:r>
      <w:r>
        <w:rPr>
          <w:rFonts w:ascii="Calibri" w:cs="Calibri" w:eastAsia="Calibri" w:hAnsi="Calibri"/>
        </w:rPr>
        <w:t xml:space="preserve"> Basado en Dehejia &amp; Wahba (1999).</w:t>
      </w:r>
    </w:p>
    <w:p>
      <w:pPr>
        <w:pStyle w:val="Heading2"/>
        <w:spacing w:after="80" w:before="200"/>
      </w:pPr>
      <w:r>
        <w:rPr>
          <w:rFonts w:ascii="Calibri" w:cs="Calibri" w:eastAsia="Calibri" w:hAnsi="Calibri"/>
          <w:b/>
          <w:bCs/>
        </w:rPr>
        <w:t xml:space="preserve">4.2 AIPW — Augmented Inverse Probability Weighting</w:t>
      </w:r>
    </w:p>
    <w:p>
      <w:pPr>
        <w:spacing w:after="120" w:before="0"/>
        <w:jc w:val="both"/>
      </w:pPr>
      <w:r>
        <w:rPr>
          <w:rFonts w:ascii="Calibri" w:cs="Calibri" w:eastAsia="Calibri" w:hAnsi="Calibri"/>
        </w:rPr>
        <w:t xml:space="preserve">Estimador </w:t>
      </w:r>
      <w:r>
        <w:rPr>
          <w:rFonts w:ascii="Calibri" w:cs="Calibri" w:eastAsia="Calibri" w:hAnsi="Calibri"/>
          <w:b/>
          <w:bCs/>
        </w:rPr>
        <w:t xml:space="preserve">doblemente robusto</w:t>
      </w:r>
      <w:r>
        <w:rPr>
          <w:rFonts w:ascii="Calibri" w:cs="Calibri" w:eastAsia="Calibri" w:hAnsi="Calibri"/>
        </w:rPr>
        <w:t xml:space="preserve"> con cross-fitting de 5 pliegues. Modelos de nuisance: GradientBoosting. Consistente si el modelo de PS </w:t>
      </w:r>
      <w:r>
        <w:rPr>
          <w:rFonts w:ascii="Calibri" w:cs="Calibri" w:eastAsia="Calibri" w:hAnsi="Calibri"/>
          <w:b/>
          <w:bCs/>
        </w:rPr>
        <w:t xml:space="preserve">o</w:t>
      </w:r>
      <w:r>
        <w:rPr>
          <w:rFonts w:ascii="Calibri" w:cs="Calibri" w:eastAsia="Calibri" w:hAnsi="Calibri"/>
        </w:rPr>
        <w:t xml:space="preserve"> el de outcome es correcto (no ambos). Score de influencia para ATT (Hahn 1998, Wooldridge 2007).</w:t>
      </w:r>
    </w:p>
    <w:p>
      <w:pPr>
        <w:pStyle w:val="Heading2"/>
        <w:spacing w:after="80" w:before="200"/>
      </w:pPr>
      <w:r>
        <w:rPr>
          <w:rFonts w:ascii="Calibri" w:cs="Calibri" w:eastAsia="Calibri" w:hAnsi="Calibri"/>
          <w:b/>
          <w:bCs/>
        </w:rPr>
        <w:t xml:space="preserve">4.3 DML — Double/Debiased Machine Learning</w:t>
      </w:r>
    </w:p>
    <w:p>
      <w:pPr>
        <w:spacing w:after="120" w:before="0"/>
        <w:jc w:val="both"/>
      </w:pPr>
      <w:r>
        <w:rPr>
          <w:rFonts w:ascii="Calibri" w:cs="Calibri" w:eastAsia="Calibri" w:hAnsi="Calibri"/>
        </w:rPr>
        <w:t xml:space="preserve">LinearDML (Chernozhukov et al. 2018) con cross-fitting de 5 pliegues y GradientBoosting como modelos de nuisance. </w:t>
      </w:r>
      <w:r>
        <w:rPr>
          <w:rFonts w:ascii="Calibri" w:cs="Calibri" w:eastAsia="Calibri" w:hAnsi="Calibri"/>
        </w:rPr>
        <w:t xml:space="preserve">El ATT se obtiene promediando el CATE estimado sobre las unidades tratadas.</w:t>
      </w:r>
    </w:p>
    <w:p>
      <w:pPr>
        <w:pStyle w:val="Heading2"/>
        <w:spacing w:after="80" w:before="200"/>
      </w:pPr>
      <w:r>
        <w:rPr>
          <w:rFonts w:ascii="Calibri" w:cs="Calibri" w:eastAsia="Calibri" w:hAnsi="Calibri"/>
          <w:b/>
          <w:bCs/>
        </w:rPr>
        <w:t xml:space="preserve">4.4 Resultados consolidados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100"/>
        <w:gridCol w:w="900"/>
        <w:gridCol w:w="1200"/>
        <w:gridCol w:w="1200"/>
        <w:gridCol w:w="1271"/>
      </w:tblGrid>
      <w:tr>
        <w:trPr>
          <w:tblHeader/>
        </w:trPr>
        <w:tc>
          <w:tcPr>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sz w:val="18"/>
                <w:szCs w:val="18"/>
              </w:rPr>
              <w:t xml:space="preserve">Estimador</w:t>
            </w:r>
          </w:p>
        </w:tc>
        <w:tc>
          <w:tcPr>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sz w:val="18"/>
                <w:szCs w:val="18"/>
              </w:rPr>
              <w:t xml:space="preserve">Dataset</w:t>
            </w:r>
          </w:p>
        </w:tc>
        <w:tc>
          <w:tcPr>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ATT (USD)</w:t>
            </w:r>
          </w:p>
        </w:tc>
        <w:tc>
          <w:tcPr>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SE</w:t>
            </w:r>
          </w:p>
        </w:tc>
        <w:tc>
          <w:tcPr>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IC 95% inf.</w:t>
            </w:r>
          </w:p>
        </w:tc>
        <w:tc>
          <w:tcPr>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IC 95% sup.</w:t>
            </w:r>
          </w:p>
        </w:tc>
        <w:tc>
          <w:tcPr>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En IC RCT</w:t>
            </w:r>
          </w:p>
        </w:tc>
      </w:tr>
      <w:tr>
        <w:trPr>
          <w:tblHeader w:val="false"/>
        </w:trPr>
        <w:tc>
          <w:tcPr>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sz w:val="18"/>
                <w:szCs w:val="18"/>
              </w:rPr>
              <w:t xml:space="preserve">Benchmark RCT</w:t>
            </w:r>
          </w:p>
        </w:tc>
        <w:tc>
          <w:tcPr>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sz w:val="18"/>
                <w:szCs w:val="18"/>
              </w:rPr>
              <w:t xml:space="preserve">Experimental</w:t>
            </w:r>
          </w:p>
        </w:tc>
        <w:tc>
          <w:tcPr>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1,794</w:t>
            </w:r>
          </w:p>
        </w:tc>
        <w:tc>
          <w:tcPr>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632</w:t>
            </w:r>
          </w:p>
        </w:tc>
        <w:tc>
          <w:tcPr>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555</w:t>
            </w:r>
          </w:p>
        </w:tc>
        <w:tc>
          <w:tcPr>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3,033</w:t>
            </w:r>
          </w:p>
        </w:tc>
        <w:tc>
          <w:tcPr>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w:t>
            </w:r>
          </w:p>
        </w:tc>
      </w:tr>
      <w:tr>
        <w:trPr>
          <w:tblHeader w:val="false"/>
        </w:trPr>
        <w:tc>
          <w:tcPr>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PSM</w:t>
            </w:r>
          </w:p>
        </w:tc>
        <w:tc>
          <w:tcPr>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CPS1</w:t>
            </w:r>
          </w:p>
        </w:tc>
        <w:tc>
          <w:tcPr>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1,637</w:t>
            </w:r>
          </w:p>
        </w:tc>
        <w:tc>
          <w:tcPr>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787</w:t>
            </w:r>
          </w:p>
        </w:tc>
        <w:tc>
          <w:tcPr>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96</w:t>
            </w:r>
          </w:p>
        </w:tc>
        <w:tc>
          <w:tcPr>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3,179</w:t>
            </w:r>
          </w:p>
        </w:tc>
        <w:tc>
          <w:tcPr>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w:t>
            </w:r>
          </w:p>
        </w:tc>
      </w:tr>
      <w:tr>
        <w:trPr>
          <w:tblHeader w:val="false"/>
        </w:trPr>
        <w:tc>
          <w:tcPr>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PSM</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PSID1</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2,697</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662</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1,399</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3,996</w:t>
            </w:r>
          </w:p>
        </w:tc>
        <w:tc>
          <w:tcPr>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w:t>
            </w:r>
          </w:p>
        </w:tc>
      </w:tr>
      <w:tr>
        <w:trPr>
          <w:tblHeader w:val="false"/>
        </w:trPr>
        <w:tc>
          <w:tcPr>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AIPW</w:t>
            </w:r>
          </w:p>
        </w:tc>
        <w:tc>
          <w:tcPr>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CPS1</w:t>
            </w:r>
          </w:p>
        </w:tc>
        <w:tc>
          <w:tcPr>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3,769</w:t>
            </w:r>
          </w:p>
        </w:tc>
        <w:tc>
          <w:tcPr>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6,052</w:t>
            </w:r>
          </w:p>
        </w:tc>
        <w:tc>
          <w:tcPr>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−8,094</w:t>
            </w:r>
          </w:p>
        </w:tc>
        <w:tc>
          <w:tcPr>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15,631</w:t>
            </w:r>
          </w:p>
        </w:tc>
        <w:tc>
          <w:tcPr>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w:t>
            </w:r>
          </w:p>
        </w:tc>
      </w:tr>
      <w:tr>
        <w:trPr>
          <w:tblHeader w:val="false"/>
        </w:trPr>
        <w:tc>
          <w:tcPr>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AIPW</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PSID1</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4,356</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1,794</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840</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7,872</w:t>
            </w:r>
          </w:p>
        </w:tc>
        <w:tc>
          <w:tcPr>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w:t>
            </w:r>
          </w:p>
        </w:tc>
      </w:tr>
      <w:tr>
        <w:trPr>
          <w:tblHeader w:val="false"/>
        </w:trPr>
        <w:tc>
          <w:tcPr>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DML</w:t>
            </w:r>
          </w:p>
        </w:tc>
        <w:tc>
          <w:tcPr>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CPS1</w:t>
            </w:r>
          </w:p>
        </w:tc>
        <w:tc>
          <w:tcPr>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1,284</w:t>
            </w:r>
          </w:p>
        </w:tc>
        <w:tc>
          <w:tcPr>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1,509</w:t>
            </w:r>
          </w:p>
        </w:tc>
        <w:tc>
          <w:tcPr>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−1,674</w:t>
            </w:r>
          </w:p>
        </w:tc>
        <w:tc>
          <w:tcPr>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4,241</w:t>
            </w:r>
          </w:p>
        </w:tc>
        <w:tc>
          <w:tcPr>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w:t>
            </w:r>
          </w:p>
        </w:tc>
      </w:tr>
      <w:tr>
        <w:trPr>
          <w:tblHeader w:val="false"/>
        </w:trPr>
        <w:tc>
          <w:tcPr>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DML</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PSID1</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882</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3,037</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−5,069</w:t>
            </w:r>
          </w:p>
        </w:tc>
        <w:tc>
          <w:tcPr>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6,834</w:t>
            </w:r>
          </w:p>
        </w:tc>
        <w:tc>
          <w:tcPr>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w:t>
            </w:r>
          </w:p>
        </w:tc>
      </w:tr>
    </w:tbl>
    <w:p>
      <w:pPr>
        <w:spacing w:after="0" w:before="120"/>
      </w:pPr>
    </w:p>
    <w:p>
      <w:pPr>
        <w:pStyle w:val="Heading2"/>
        <w:spacing w:after="80" w:before="200"/>
      </w:pPr>
      <w:r>
        <w:rPr>
          <w:rFonts w:ascii="Calibri" w:cs="Calibri" w:eastAsia="Calibri" w:hAnsi="Calibri"/>
          <w:b/>
          <w:bCs/>
        </w:rPr>
        <w:t xml:space="preserve">4.5 Interpretación</w:t>
      </w:r>
    </w:p>
    <w:p>
      <w:pPr>
        <w:pStyle w:val="ListParagraph"/>
        <w:numPr>
          <w:ilvl w:val="0"/>
          <w:numId w:val="2"/>
        </w:numPr>
        <w:spacing w:after="60" w:before="0"/>
        <w:jc w:val="both"/>
      </w:pPr>
      <w:r>
        <w:rPr>
          <w:rFonts w:ascii="Calibri" w:cs="Calibri" w:eastAsia="Calibri" w:hAnsi="Calibri"/>
        </w:rPr>
        <w:t xml:space="preserve">PSM-CPS1 ($1,637) y DML-CPS1 ($1,284) son las estimaciones más cercanas al benchmark RCT.</w:t>
      </w:r>
    </w:p>
    <w:p>
      <w:pPr>
        <w:pStyle w:val="ListParagraph"/>
        <w:numPr>
          <w:ilvl w:val="0"/>
          <w:numId w:val="2"/>
        </w:numPr>
        <w:spacing w:after="60" w:before="0"/>
        <w:jc w:val="both"/>
      </w:pPr>
      <w:r>
        <w:rPr>
          <w:rFonts w:ascii="Calibri" w:cs="Calibri" w:eastAsia="Calibri" w:hAnsi="Calibri"/>
        </w:rPr>
        <w:t xml:space="preserve">PSM-PSID1 ($2,697) sobreestima pero su IC 95% incluye el valor RCT.</w:t>
      </w:r>
    </w:p>
    <w:p>
      <w:pPr>
        <w:pStyle w:val="ListParagraph"/>
        <w:numPr>
          <w:ilvl w:val="0"/>
          <w:numId w:val="2"/>
        </w:numPr>
        <w:spacing w:after="60" w:before="0"/>
        <w:jc w:val="both"/>
      </w:pPr>
      <w:r>
        <w:rPr>
          <w:rFonts w:ascii="Calibri" w:cs="Calibri" w:eastAsia="Calibri" w:hAnsi="Calibri"/>
        </w:rPr>
        <w:t xml:space="preserve">AIPW presenta alta varianza (especialmente en CPS1, SE = $6,052) debido al soporte común muy limitado: 185 tratados con PS alto vs. 15,992 controles con PS próximo a cero generan pesos IPW extremos.</w:t>
      </w:r>
    </w:p>
    <w:p>
      <w:pPr>
        <w:pStyle w:val="ListParagraph"/>
        <w:numPr>
          <w:ilvl w:val="0"/>
          <w:numId w:val="2"/>
        </w:numPr>
        <w:spacing w:after="60" w:before="0"/>
        <w:jc w:val="both"/>
      </w:pPr>
      <w:r>
        <w:rPr>
          <w:rFonts w:ascii="Calibri" w:cs="Calibri" w:eastAsia="Calibri" w:hAnsi="Calibri"/>
        </w:rPr>
        <w:t xml:space="preserve">DML produce IC amplios por la limitada variación en el tratamiento relativa al tamaño del grupo control.</w:t>
      </w:r>
    </w:p>
    <w:p>
      <w:pPr>
        <w:pStyle w:val="ListParagraph"/>
        <w:numPr>
          <w:ilvl w:val="0"/>
          <w:numId w:val="2"/>
        </w:numPr>
        <w:spacing w:after="60" w:before="0"/>
        <w:jc w:val="both"/>
      </w:pPr>
      <w:r>
        <w:rPr>
          <w:rFonts w:ascii="Calibri" w:cs="Calibri" w:eastAsia="Calibri" w:hAnsi="Calibri"/>
        </w:rPr>
        <w:t xml:space="preserve">PSID1 produce estimaciones más consistentes entre métodos que CPS1, consistente con Dehejia &amp; Wahba (1999).</w:t>
      </w:r>
    </w:p>
    <w:p>
      <w:pPr>
        <w:spacing w:after="0" w:before="0"/>
      </w:pPr>
    </w:p>
    <w:p>
      <w:r>
        <w:br w:type="page"/>
      </w:r>
    </w:p>
    <w:p>
      <w:pPr>
        <w:pStyle w:val="Heading1"/>
        <w:pBdr>
          <w:bottom w:val="single" w:color="2E74B5" w:sz="6" w:space="4"/>
        </w:pBdr>
        <w:spacing w:after="120" w:before="280"/>
      </w:pPr>
      <w:r>
        <w:rPr>
          <w:rFonts w:ascii="Calibri" w:cs="Calibri" w:eastAsia="Calibri" w:hAnsi="Calibri"/>
          <w:b/>
          <w:bCs/>
        </w:rPr>
        <w:t xml:space="preserve">5. Balance Post-Matching (PSM)</w:t>
      </w:r>
    </w:p>
    <w:p>
      <w:pPr>
        <w:spacing w:after="120" w:before="0"/>
        <w:jc w:val="both"/>
      </w:pPr>
      <w:r>
        <w:rPr>
          <w:rFonts w:ascii="Calibri" w:cs="Calibri" w:eastAsia="Calibri" w:hAnsi="Calibri"/>
        </w:rPr>
        <w:t xml:space="preserve">Tras el PSM en CPS1, el balance mejoró drásticamente. La tabla muestra el SMD antes y después del matching 1:1 sin reemplazo: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2000"/>
        <w:gridCol w:w="1871"/>
      </w:tblGrid>
      <w:tr>
        <w:trPr>
          <w:tblHeader/>
        </w:trPr>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Covariable</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SMD Antes</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SMD Después</w:t>
            </w:r>
          </w:p>
        </w:tc>
        <w:tc>
          <w:tcPr>
            <w:tcW w:type="dxa" w:w="2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Mejora</w:t>
            </w:r>
          </w:p>
        </w:tc>
        <w:tc>
          <w:tcPr>
            <w:tcW w:type="dxa" w:w="187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age</w:t>
            </w:r>
          </w:p>
        </w:tc>
        <w:tc>
          <w:tcPr>
            <w:tcW w:type="dxa" w:w="1600"/>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−0.796</w:t>
            </w:r>
          </w:p>
        </w:tc>
        <w:tc>
          <w:tcPr>
            <w:tcW w:type="dxa" w:w="16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0.107</w:t>
            </w:r>
          </w:p>
        </w:tc>
        <w:tc>
          <w:tcPr>
            <w:tcW w:type="dxa" w:w="2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w:t>
            </w:r>
          </w:p>
        </w:tc>
        <w:tc>
          <w:tcPr>
            <w:tcW w:type="dxa" w:w="187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r>
        <w:tc>
          <w:tcPr>
            <w:tcW w:type="dxa" w:w="20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educ</w:t>
            </w:r>
          </w:p>
        </w:tc>
        <w:tc>
          <w:tcPr>
            <w:tcW w:type="dxa" w:w="1600"/>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−0.679</w:t>
            </w:r>
          </w:p>
        </w:tc>
        <w:tc>
          <w:tcPr>
            <w:tcW w:type="dxa" w:w="160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0.141</w:t>
            </w:r>
          </w:p>
        </w:tc>
        <w:tc>
          <w:tcPr>
            <w:tcW w:type="dxa" w:w="2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w:t>
            </w:r>
          </w:p>
        </w:tc>
        <w:tc>
          <w:tcPr>
            <w:tcW w:type="dxa" w:w="1871"/>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black</w:t>
            </w:r>
          </w:p>
        </w:tc>
        <w:tc>
          <w:tcPr>
            <w:tcW w:type="dxa" w:w="1600"/>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2.428</w:t>
            </w:r>
          </w:p>
        </w:tc>
        <w:tc>
          <w:tcPr>
            <w:tcW w:type="dxa" w:w="16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0.044</w:t>
            </w:r>
          </w:p>
        </w:tc>
        <w:tc>
          <w:tcPr>
            <w:tcW w:type="dxa" w:w="2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w:t>
            </w:r>
          </w:p>
        </w:tc>
        <w:tc>
          <w:tcPr>
            <w:tcW w:type="dxa" w:w="187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r>
        <w:tc>
          <w:tcPr>
            <w:tcW w:type="dxa" w:w="20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hisp</w:t>
            </w:r>
          </w:p>
        </w:tc>
        <w:tc>
          <w:tcPr>
            <w:tcW w:type="dxa" w:w="1600"/>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−0.051</w:t>
            </w:r>
          </w:p>
        </w:tc>
        <w:tc>
          <w:tcPr>
            <w:tcW w:type="dxa" w:w="1600"/>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−0.175</w:t>
            </w:r>
          </w:p>
        </w:tc>
        <w:tc>
          <w:tcPr>
            <w:tcW w:type="dxa" w:w="2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w:t>
            </w:r>
          </w:p>
        </w:tc>
        <w:tc>
          <w:tcPr>
            <w:tcW w:type="dxa" w:w="1871"/>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married</w:t>
            </w:r>
          </w:p>
        </w:tc>
        <w:tc>
          <w:tcPr>
            <w:tcW w:type="dxa" w:w="1600"/>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−1.233</w:t>
            </w:r>
          </w:p>
        </w:tc>
        <w:tc>
          <w:tcPr>
            <w:tcW w:type="dxa" w:w="16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0.094</w:t>
            </w:r>
          </w:p>
        </w:tc>
        <w:tc>
          <w:tcPr>
            <w:tcW w:type="dxa" w:w="2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w:t>
            </w:r>
          </w:p>
        </w:tc>
        <w:tc>
          <w:tcPr>
            <w:tcW w:type="dxa" w:w="187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r>
        <w:tc>
          <w:tcPr>
            <w:tcW w:type="dxa" w:w="20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nodegree</w:t>
            </w:r>
          </w:p>
        </w:tc>
        <w:tc>
          <w:tcPr>
            <w:tcW w:type="dxa" w:w="1600"/>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0.904</w:t>
            </w:r>
          </w:p>
        </w:tc>
        <w:tc>
          <w:tcPr>
            <w:tcW w:type="dxa" w:w="1600"/>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−0.304</w:t>
            </w:r>
          </w:p>
        </w:tc>
        <w:tc>
          <w:tcPr>
            <w:tcW w:type="dxa" w:w="2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w:t>
            </w:r>
          </w:p>
        </w:tc>
        <w:tc>
          <w:tcPr>
            <w:tcW w:type="dxa" w:w="1871"/>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re74</w:t>
            </w:r>
          </w:p>
        </w:tc>
        <w:tc>
          <w:tcPr>
            <w:tcW w:type="dxa" w:w="1600"/>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−1.569</w:t>
            </w:r>
          </w:p>
        </w:tc>
        <w:tc>
          <w:tcPr>
            <w:tcW w:type="dxa" w:w="1600"/>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−0.002</w:t>
            </w:r>
          </w:p>
        </w:tc>
        <w:tc>
          <w:tcPr>
            <w:tcW w:type="dxa" w:w="2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w:t>
            </w:r>
          </w:p>
        </w:tc>
        <w:tc>
          <w:tcPr>
            <w:tcW w:type="dxa" w:w="187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r>
        <w:tc>
          <w:tcPr>
            <w:tcW w:type="dxa" w:w="20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re75</w:t>
            </w:r>
          </w:p>
        </w:tc>
        <w:tc>
          <w:tcPr>
            <w:tcW w:type="dxa" w:w="1600"/>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−1.746</w:t>
            </w:r>
          </w:p>
        </w:tc>
        <w:tc>
          <w:tcPr>
            <w:tcW w:type="dxa" w:w="16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0.084</w:t>
            </w:r>
          </w:p>
        </w:tc>
        <w:tc>
          <w:tcPr>
            <w:tcW w:type="dxa" w:w="20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w:t>
            </w:r>
          </w:p>
        </w:tc>
        <w:tc>
          <w:tcPr>
            <w:tcW w:type="dxa" w:w="1871"/>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bl>
    <w:p>
      <w:pPr>
        <w:spacing w:after="0" w:before="120"/>
      </w:pPr>
    </w:p>
    <w:p>
      <w:pPr>
        <w:spacing w:after="120" w:before="0"/>
        <w:jc w:val="both"/>
      </w:pPr>
      <w:r>
        <w:rPr>
          <w:rFonts w:ascii="Calibri" w:cs="Calibri" w:eastAsia="Calibri" w:hAnsi="Calibri"/>
        </w:rPr>
        <w:t xml:space="preserve">El PSM reduce el desequilibrio en </w:t>
      </w:r>
      <w:r>
        <w:rPr>
          <w:rFonts w:ascii="Calibri" w:cs="Calibri" w:eastAsia="Calibri" w:hAnsi="Calibri"/>
          <w:b/>
          <w:bCs/>
        </w:rPr>
        <w:t xml:space="preserve">todas las covariables</w:t>
      </w:r>
      <w:r>
        <w:rPr>
          <w:rFonts w:ascii="Calibri" w:cs="Calibri" w:eastAsia="Calibri" w:hAnsi="Calibri"/>
        </w:rPr>
        <w:t xml:space="preserve">. Los SMD post-matching replican casi exactamente los del dataset experimental (esperado: el matching 1:1 selecciona controles similares a los tratados en el espacio del PS).</w:t>
      </w:r>
    </w:p>
    <w:p>
      <w:pPr>
        <w:spacing w:after="0" w:before="0"/>
      </w:pPr>
    </w:p>
    <w:p>
      <w:pPr>
        <w:pStyle w:val="Heading1"/>
        <w:pBdr>
          <w:bottom w:val="single" w:color="2E74B5" w:sz="6" w:space="4"/>
        </w:pBdr>
        <w:spacing w:after="120" w:before="280"/>
      </w:pPr>
      <w:r>
        <w:rPr>
          <w:rFonts w:ascii="Calibri" w:cs="Calibri" w:eastAsia="Calibri" w:hAnsi="Calibri"/>
          <w:b/>
          <w:bCs/>
        </w:rPr>
        <w:t xml:space="preserve">6. Análisis de Sensibilidad</w:t>
      </w:r>
    </w:p>
    <w:p>
      <w:pPr>
        <w:spacing w:after="120" w:before="0"/>
        <w:jc w:val="both"/>
      </w:pPr>
      <w:r>
        <w:rPr>
          <w:rFonts w:ascii="Calibri" w:cs="Calibri" w:eastAsia="Calibri" w:hAnsi="Calibri"/>
        </w:rPr>
        <w:t xml:space="preserve">Se aplicaron tres pruebas de sensibilidad para evaluar la robustez de los estimados observacionales.</w:t>
      </w:r>
    </w:p>
    <w:p>
      <w:pPr>
        <w:pStyle w:val="Heading2"/>
        <w:spacing w:after="80" w:before="200"/>
      </w:pPr>
      <w:r>
        <w:rPr>
          <w:rFonts w:ascii="Calibri" w:cs="Calibri" w:eastAsia="Calibri" w:hAnsi="Calibri"/>
          <w:b/>
          <w:bCs/>
        </w:rPr>
        <w:t xml:space="preserve">6.1 Placebo temporal (outcome = re74)</w:t>
      </w:r>
    </w:p>
    <w:p>
      <w:pPr>
        <w:spacing w:after="120" w:before="0"/>
        <w:jc w:val="both"/>
      </w:pPr>
      <w:r>
        <w:rPr>
          <w:rFonts w:ascii="Calibri" w:cs="Calibri" w:eastAsia="Calibri" w:hAnsi="Calibri"/>
        </w:rPr>
        <w:t xml:space="preserve">Se estima el efecto del tratamiento sobre los ingresos de </w:t>
      </w:r>
      <w:r>
        <w:rPr>
          <w:rFonts w:ascii="Calibri" w:cs="Calibri" w:eastAsia="Calibri" w:hAnsi="Calibri"/>
          <w:b/>
          <w:bCs/>
        </w:rPr>
        <w:t xml:space="preserve">1974</w:t>
      </w:r>
      <w:r>
        <w:rPr>
          <w:rFonts w:ascii="Calibri" w:cs="Calibri" w:eastAsia="Calibri" w:hAnsi="Calibri"/>
        </w:rPr>
        <w:t xml:space="preserve"> (pre-tratamiento). El programa NSW comenzó en 1975; </w:t>
      </w:r>
      <w:r>
        <w:rPr>
          <w:rFonts w:ascii="Calibri" w:cs="Calibri" w:eastAsia="Calibri" w:hAnsi="Calibri"/>
        </w:rPr>
        <w:t xml:space="preserve">el tratamiento no puede causar ingresos anteriores a la intervención. </w:t>
      </w:r>
      <w:r>
        <w:rPr>
          <w:rFonts w:ascii="Calibri" w:cs="Calibri" w:eastAsia="Calibri" w:hAnsi="Calibri"/>
          <w:b/>
          <w:bCs/>
        </w:rPr>
        <w:t xml:space="preserve">H₀: ATT_placebo = 0.</w:t>
      </w:r>
      <w:r>
        <w:rPr>
          <w:rFonts w:ascii="Calibri" w:cs="Calibri" w:eastAsia="Calibri" w:hAnsi="Calibri"/>
        </w:rPr>
        <w:t xml:space="preserve"> Un p-valor &gt; 0.05 indica que el método no detecta efectos espurios.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700"/>
        <w:gridCol w:w="1200"/>
        <w:gridCol w:w="1700"/>
        <w:gridCol w:w="1071"/>
      </w:tblGrid>
      <w:tr>
        <w:trPr>
          <w:tblHeader/>
        </w:trPr>
        <w:tc>
          <w:tcPr>
            <w:tcW w:type="dxa" w:w="1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Estimador</w:t>
            </w:r>
          </w:p>
        </w:tc>
        <w:tc>
          <w:tcPr>
            <w:tcW w:type="dxa" w:w="14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Dataset</w:t>
            </w:r>
          </w:p>
        </w:tc>
        <w:tc>
          <w:tcPr>
            <w:tcW w:type="dxa" w:w="17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ATT placebo (USD)</w:t>
            </w:r>
          </w:p>
        </w:tc>
        <w:tc>
          <w:tcPr>
            <w:tcW w:type="dxa" w:w="1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p-valor</w:t>
            </w:r>
          </w:p>
        </w:tc>
        <w:tc>
          <w:tcPr>
            <w:tcW w:type="dxa" w:w="17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Significativo (α=0.05)</w:t>
            </w:r>
          </w:p>
        </w:tc>
        <w:tc>
          <w:tcPr>
            <w:tcW w:type="dxa" w:w="107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PSM</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CPS1</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−362</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0.4052</w:t>
            </w:r>
          </w:p>
        </w:tc>
        <w:tc>
          <w:tcPr>
            <w:tcW w:type="dxa" w:w="17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No ✓</w:t>
            </w:r>
          </w:p>
        </w:tc>
        <w:tc>
          <w:tcPr>
            <w:tcW w:type="dxa" w:w="107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r>
        <w:tc>
          <w:tcPr>
            <w:tcW w:type="dxa" w:w="15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PSM</w:t>
            </w:r>
          </w:p>
        </w:tc>
        <w:tc>
          <w:tcPr>
            <w:tcW w:type="dxa" w:w="14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PSID1</w:t>
            </w:r>
          </w:p>
        </w:tc>
        <w:tc>
          <w:tcPr>
            <w:tcW w:type="dxa" w:w="17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−1,681</w:t>
            </w:r>
          </w:p>
        </w:tc>
        <w:tc>
          <w:tcPr>
            <w:tcW w:type="dxa" w:w="12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0.0005</w:t>
            </w:r>
          </w:p>
        </w:tc>
        <w:tc>
          <w:tcPr>
            <w:tcW w:type="dxa" w:w="1700"/>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Sí ✗</w:t>
            </w:r>
          </w:p>
        </w:tc>
        <w:tc>
          <w:tcPr>
            <w:tcW w:type="dxa" w:w="1071"/>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AIPW</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CPS1</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−9,106</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0.1823</w:t>
            </w:r>
          </w:p>
        </w:tc>
        <w:tc>
          <w:tcPr>
            <w:tcW w:type="dxa" w:w="17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No ✓</w:t>
            </w:r>
          </w:p>
        </w:tc>
        <w:tc>
          <w:tcPr>
            <w:tcW w:type="dxa" w:w="107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r>
        <w:tc>
          <w:tcPr>
            <w:tcW w:type="dxa" w:w="15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AIPW</w:t>
            </w:r>
          </w:p>
        </w:tc>
        <w:tc>
          <w:tcPr>
            <w:tcW w:type="dxa" w:w="14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PSID1</w:t>
            </w:r>
          </w:p>
        </w:tc>
        <w:tc>
          <w:tcPr>
            <w:tcW w:type="dxa" w:w="17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559</w:t>
            </w:r>
          </w:p>
        </w:tc>
        <w:tc>
          <w:tcPr>
            <w:tcW w:type="dxa" w:w="12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0.7480</w:t>
            </w:r>
          </w:p>
        </w:tc>
        <w:tc>
          <w:tcPr>
            <w:tcW w:type="dxa" w:w="17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No ✓</w:t>
            </w:r>
          </w:p>
        </w:tc>
        <w:tc>
          <w:tcPr>
            <w:tcW w:type="dxa" w:w="1071"/>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bl>
    <w:p>
      <w:pPr>
        <w:spacing w:after="0" w:before="100"/>
      </w:pPr>
    </w:p>
    <w:p>
      <w:pPr>
        <w:spacing w:after="120" w:before="0"/>
        <w:jc w:val="both"/>
      </w:pPr>
      <w:r>
        <w:rPr>
          <w:rFonts w:ascii="Calibri" w:cs="Calibri" w:eastAsia="Calibri" w:hAnsi="Calibri"/>
          <w:b/>
          <w:bCs/>
        </w:rPr>
        <w:t xml:space="preserve">Resultado: </w:t>
      </w:r>
      <w:r>
        <w:rPr>
          <w:rFonts w:ascii="Calibri" w:cs="Calibri" w:eastAsia="Calibri" w:hAnsi="Calibri"/>
        </w:rPr>
        <w:t xml:space="preserve">PSM-PSID1 rechaza H₀ (p = 0.0005), indicando sesgo residual no ajustado. Los otros tres estimadores pasan el placebo (p &gt; 0.05). Esto sugiere cautela al interpretar PSM-PSID1 como estimado causal confiable.</w:t>
      </w:r>
    </w:p>
    <w:p>
      <w:pPr>
        <w:pStyle w:val="Heading2"/>
        <w:spacing w:after="80" w:before="200"/>
      </w:pPr>
      <w:r>
        <w:rPr>
          <w:rFonts w:ascii="Calibri" w:cs="Calibri" w:eastAsia="Calibri" w:hAnsi="Calibri"/>
          <w:b/>
          <w:bCs/>
        </w:rPr>
        <w:t xml:space="preserve">6.2 E-value (VanderWeele &amp; Ding 2017)</w:t>
      </w:r>
    </w:p>
    <w:p>
      <w:pPr>
        <w:spacing w:after="120" w:before="0"/>
        <w:jc w:val="both"/>
      </w:pPr>
      <w:r>
        <w:rPr>
          <w:rFonts w:ascii="Calibri" w:cs="Calibri" w:eastAsia="Calibri" w:hAnsi="Calibri"/>
        </w:rPr>
        <w:t xml:space="preserve">El E-value cuantifica cuán fuerte debe ser la asociación de un confundidor no observado U con </w:t>
      </w:r>
      <w:r>
        <w:rPr>
          <w:rFonts w:ascii="Calibri" w:cs="Calibri" w:eastAsia="Calibri" w:hAnsi="Calibri"/>
          <w:b/>
          <w:bCs/>
        </w:rPr>
        <w:t xml:space="preserve">tratamiento</w:t>
      </w:r>
      <w:r>
        <w:rPr>
          <w:rFonts w:ascii="Calibri" w:cs="Calibri" w:eastAsia="Calibri" w:hAnsi="Calibri"/>
        </w:rPr>
        <w:t xml:space="preserve"> y </w:t>
      </w:r>
      <w:r>
        <w:rPr>
          <w:rFonts w:ascii="Calibri" w:cs="Calibri" w:eastAsia="Calibri" w:hAnsi="Calibri"/>
          <w:b/>
          <w:bCs/>
        </w:rPr>
        <w:t xml:space="preserve">resultado</w:t>
      </w:r>
      <w:r>
        <w:rPr>
          <w:rFonts w:ascii="Calibri" w:cs="Calibri" w:eastAsia="Calibri" w:hAnsi="Calibri"/>
        </w:rPr>
        <w:t xml:space="preserve"> para explicar completamente el efecto estimado.</w:t>
      </w:r>
    </w:p>
    <w:p>
      <w:pPr>
        <w:spacing w:after="120" w:before="0"/>
        <w:jc w:val="both"/>
      </w:pPr>
      <w:r>
        <w:rPr>
          <w:rFonts w:ascii="Calibri" w:cs="Calibri" w:eastAsia="Calibri" w:hAnsi="Calibri"/>
        </w:rPr>
        <w:t xml:space="preserve">Medias de re78 en grupo control: PSID1 = $21,554 — CPS1 = $14,847</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600"/>
        <w:gridCol w:w="1700"/>
        <w:gridCol w:w="1671"/>
      </w:tblGrid>
      <w:tr>
        <w:trPr>
          <w:tblHeader/>
        </w:trPr>
        <w:tc>
          <w:tcPr>
            <w:tcW w:type="dxa" w:w="1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Estimador</w:t>
            </w:r>
          </w:p>
        </w:tc>
        <w:tc>
          <w:tcPr>
            <w:tcW w:type="dxa" w:w="13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ATT (USD)</w:t>
            </w:r>
          </w:p>
        </w:tc>
        <w:tc>
          <w:tcPr>
            <w:tcW w:type="dxa" w:w="16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RR aprox.</w:t>
            </w:r>
          </w:p>
        </w:tc>
        <w:tc>
          <w:tcPr>
            <w:tcW w:type="dxa" w:w="17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E-valor puntual</w:t>
            </w:r>
          </w:p>
        </w:tc>
        <w:tc>
          <w:tcPr>
            <w:tcW w:type="dxa" w:w="167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E-valor IC inf.</w:t>
            </w:r>
          </w:p>
        </w:tc>
      </w:tr>
      <w:tr>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AIPW-PSID1</w:t>
            </w:r>
          </w:p>
        </w:tc>
        <w:tc>
          <w:tcPr>
            <w:tcW w:type="dxa" w:w="1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4,356</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1.20</w:t>
            </w:r>
          </w:p>
        </w:tc>
        <w:tc>
          <w:tcPr>
            <w:tcW w:type="dxa" w:w="17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1.695</w:t>
            </w:r>
          </w:p>
        </w:tc>
        <w:tc>
          <w:tcPr>
            <w:tcW w:type="dxa" w:w="167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1.24</w:t>
            </w:r>
          </w:p>
        </w:tc>
      </w:tr>
      <w:tr>
        <w:tc>
          <w:tcPr>
            <w:tcW w:type="dxa" w:w="18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18"/>
                <w:szCs w:val="18"/>
              </w:rPr>
              <w:t xml:space="preserve">AIPW-CPS1</w:t>
            </w:r>
          </w:p>
        </w:tc>
        <w:tc>
          <w:tcPr>
            <w:tcW w:type="dxa" w:w="13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3,769</w:t>
            </w:r>
          </w:p>
        </w:tc>
        <w:tc>
          <w:tcPr>
            <w:tcW w:type="dxa" w:w="16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1.25</w:t>
            </w:r>
          </w:p>
        </w:tc>
        <w:tc>
          <w:tcPr>
            <w:tcW w:type="dxa" w:w="17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1.818</w:t>
            </w:r>
          </w:p>
        </w:tc>
        <w:tc>
          <w:tcPr>
            <w:tcW w:type="dxa" w:w="1671"/>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3.822</w:t>
            </w:r>
          </w:p>
        </w:tc>
      </w:tr>
    </w:tbl>
    <w:p>
      <w:pPr>
        <w:spacing w:after="0" w:before="100"/>
      </w:pPr>
    </w:p>
    <w:p>
      <w:pPr>
        <w:spacing w:after="120" w:before="0"/>
        <w:jc w:val="both"/>
      </w:pPr>
      <w:r>
        <w:rPr>
          <w:rFonts w:ascii="Calibri" w:cs="Calibri" w:eastAsia="Calibri" w:hAnsi="Calibri"/>
        </w:rPr>
        <w:t xml:space="preserve">Un confundidor no observado necesitaría RR ≥ </w:t>
      </w:r>
      <w:r>
        <w:rPr>
          <w:rFonts w:ascii="Calibri" w:cs="Calibri" w:eastAsia="Calibri" w:hAnsi="Calibri"/>
          <w:b/>
          <w:bCs/>
        </w:rPr>
        <w:t xml:space="preserve">1.695</w:t>
      </w:r>
      <w:r>
        <w:rPr>
          <w:rFonts w:ascii="Calibri" w:cs="Calibri" w:eastAsia="Calibri" w:hAnsi="Calibri"/>
        </w:rPr>
        <w:t xml:space="preserve"> con el tratamiento </w:t>
      </w:r>
      <w:r>
        <w:rPr>
          <w:rFonts w:ascii="Calibri" w:cs="Calibri" w:eastAsia="Calibri" w:hAnsi="Calibri"/>
          <w:b/>
          <w:bCs/>
        </w:rPr>
        <w:t xml:space="preserve">y</w:t>
      </w:r>
      <w:r>
        <w:rPr>
          <w:rFonts w:ascii="Calibri" w:cs="Calibri" w:eastAsia="Calibri" w:hAnsi="Calibri"/>
        </w:rPr>
        <w:t xml:space="preserve"> con re78 para anular el efecto AIPW-PSID1. Dado el perfil de los participantes NSW (desempleados de bajos ingresos con características controladas), este nivel de confounding residual es poco probable.</w:t>
      </w:r>
    </w:p>
    <w:p>
      <w:pPr>
        <w:pStyle w:val="Heading2"/>
        <w:spacing w:after="80" w:before="200"/>
      </w:pPr>
      <w:r>
        <w:rPr>
          <w:rFonts w:ascii="Calibri" w:cs="Calibri" w:eastAsia="Calibri" w:hAnsi="Calibri"/>
          <w:b/>
          <w:bCs/>
        </w:rPr>
        <w:t xml:space="preserve">6.3 Análisis de Rosenbaum Γ (AIPW-PSID1)</w:t>
      </w:r>
    </w:p>
    <w:p>
      <w:pPr>
        <w:spacing w:after="120" w:before="0"/>
        <w:jc w:val="both"/>
      </w:pPr>
      <w:r>
        <w:rPr>
          <w:rFonts w:ascii="Calibri" w:cs="Calibri" w:eastAsia="Calibri" w:hAnsi="Calibri"/>
        </w:rPr>
        <w:t xml:space="preserve">Evaluá el umbral de sesgo oculto (Γ) en odds ratio que invalidaría la inferencia. Γ = 1 indica ausencia de sesgo.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200"/>
        <w:gridCol w:w="1800"/>
        <w:gridCol w:w="2771"/>
      </w:tblGrid>
      <w:tr>
        <w:trPr>
          <w:tblHeader/>
        </w:trPr>
        <w:tc>
          <w:tcPr>
            <w:tcW w:type="dxa" w:w="10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Γ</w:t>
            </w:r>
          </w:p>
        </w:tc>
        <w:tc>
          <w:tcPr>
            <w:tcW w:type="dxa" w:w="1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ATT ajustado (USD)</w:t>
            </w:r>
          </w:p>
        </w:tc>
        <w:tc>
          <w:tcPr>
            <w:tcW w:type="dxa" w:w="12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p-valor</w:t>
            </w:r>
          </w:p>
        </w:tc>
        <w:tc>
          <w:tcPr>
            <w:tcW w:type="dxa" w:w="18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Significativo (p&lt;0.05)</w:t>
            </w:r>
          </w:p>
        </w:tc>
        <w:tc>
          <w:tcPr>
            <w:tcW w:type="dxa" w:w="2771"/>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1.00</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4,356</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0.0076</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Sí ✓</w:t>
            </w:r>
          </w:p>
        </w:tc>
        <w:tc>
          <w:tcPr>
            <w:tcW w:type="dxa" w:w="277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r>
        <w:tc>
          <w:tcPr>
            <w:tcW w:type="dxa" w:w="10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1.25</w:t>
            </w:r>
          </w:p>
        </w:tc>
        <w:tc>
          <w:tcPr>
            <w:tcW w:type="dxa" w:w="18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3,920</w:t>
            </w:r>
          </w:p>
        </w:tc>
        <w:tc>
          <w:tcPr>
            <w:tcW w:type="dxa" w:w="12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0.0144</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Sí ✓</w:t>
            </w:r>
          </w:p>
        </w:tc>
        <w:tc>
          <w:tcPr>
            <w:tcW w:type="dxa" w:w="2771"/>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1.50</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3,630</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0.0215</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Sí ✓</w:t>
            </w:r>
          </w:p>
        </w:tc>
        <w:tc>
          <w:tcPr>
            <w:tcW w:type="dxa" w:w="277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r>
        <w:tc>
          <w:tcPr>
            <w:tcW w:type="dxa" w:w="10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1.75</w:t>
            </w:r>
          </w:p>
        </w:tc>
        <w:tc>
          <w:tcPr>
            <w:tcW w:type="dxa" w:w="18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3,422</w:t>
            </w:r>
          </w:p>
        </w:tc>
        <w:tc>
          <w:tcPr>
            <w:tcW w:type="dxa" w:w="12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0.0282</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Sí ✓</w:t>
            </w:r>
          </w:p>
        </w:tc>
        <w:tc>
          <w:tcPr>
            <w:tcW w:type="dxa" w:w="2771"/>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2.00</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3,267</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0.0343</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Sí ✓</w:t>
            </w:r>
          </w:p>
        </w:tc>
        <w:tc>
          <w:tcPr>
            <w:tcW w:type="dxa" w:w="277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r>
        <w:tc>
          <w:tcPr>
            <w:tcW w:type="dxa" w:w="10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2.50</w:t>
            </w:r>
          </w:p>
        </w:tc>
        <w:tc>
          <w:tcPr>
            <w:tcW w:type="dxa" w:w="18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3,049</w:t>
            </w:r>
          </w:p>
        </w:tc>
        <w:tc>
          <w:tcPr>
            <w:tcW w:type="dxa" w:w="1200"/>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0.0446</w:t>
            </w:r>
          </w:p>
        </w:tc>
        <w:tc>
          <w:tcPr>
            <w:tcW w:type="dxa" w:w="180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Sí ✓</w:t>
            </w:r>
          </w:p>
        </w:tc>
        <w:tc>
          <w:tcPr>
            <w:tcW w:type="dxa" w:w="2771"/>
            <w:tcBorders>
              <w:top w:val="single" w:color="AAAAAA" w:sz="4"/>
              <w:left w:val="single" w:color="AAAAAA" w:sz="4"/>
              <w:bottom w:val="single" w:color="AAAAAA" w:sz="4"/>
              <w:right w:val="single" w:color="AAAAAA" w:sz="4"/>
            </w:tcBorders>
            <w:shd w:fill="EBF4FB" w:val="clear"/>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3.00</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2,904</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0.0527</w:t>
            </w:r>
          </w:p>
        </w:tc>
        <w:tc>
          <w:tcPr>
            <w:tcW w:type="dxa" w:w="1800"/>
            <w:tcBorders>
              <w:top w:val="single" w:color="AAAAAA" w:sz="4"/>
              <w:left w:val="single" w:color="AAAAAA" w:sz="4"/>
              <w:bottom w:val="single" w:color="AAAAAA" w:sz="4"/>
              <w:right w:val="single" w:color="AAAAAA" w:sz="4"/>
            </w:tcBorders>
            <w:shd w:fill="FADADD"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18"/>
                <w:szCs w:val="18"/>
              </w:rPr>
              <w:t xml:space="preserve">No ✗</w:t>
            </w:r>
          </w:p>
        </w:tc>
        <w:tc>
          <w:tcPr>
            <w:tcW w:type="dxa" w:w="2771"/>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18"/>
                <w:szCs w:val="18"/>
              </w:rPr>
              <w:t xml:space="preserve"/>
            </w:r>
          </w:p>
        </w:tc>
      </w:tr>
    </w:tbl>
    <w:p>
      <w:pPr>
        <w:spacing w:after="0" w:before="100"/>
      </w:pPr>
    </w:p>
    <w:p>
      <w:pPr>
        <w:spacing w:after="120" w:before="0"/>
        <w:jc w:val="both"/>
      </w:pPr>
      <w:r>
        <w:rPr>
          <w:rFonts w:ascii="Calibri" w:cs="Calibri" w:eastAsia="Calibri" w:hAnsi="Calibri"/>
          <w:b/>
          <w:bCs/>
        </w:rPr>
        <w:t xml:space="preserve">Γ crítico = 2.5: </w:t>
      </w:r>
      <w:r>
        <w:rPr>
          <w:rFonts w:ascii="Calibri" w:cs="Calibri" w:eastAsia="Calibri" w:hAnsi="Calibri"/>
        </w:rPr>
        <w:t xml:space="preserve">el efecto permanece estadísticamente significativo (α = 0.05) incluso si las odds de asignación al tratamiento difieren hasta en un </w:t>
      </w:r>
      <w:r>
        <w:rPr>
          <w:rFonts w:ascii="Calibri" w:cs="Calibri" w:eastAsia="Calibri" w:hAnsi="Calibri"/>
          <w:b/>
          <w:bCs/>
        </w:rPr>
        <w:t xml:space="preserve">factor 2.5</w:t>
      </w:r>
      <w:r>
        <w:rPr>
          <w:rFonts w:ascii="Calibri" w:cs="Calibri" w:eastAsia="Calibri" w:hAnsi="Calibri"/>
        </w:rPr>
        <w:t xml:space="preserve"> por un confundidor no observado.</w:t>
      </w:r>
    </w:p>
    <w:p>
      <w:pPr>
        <w:spacing w:after="0" w:before="0"/>
      </w:pPr>
    </w:p>
    <w:p>
      <w:r>
        <w:br w:type="page"/>
      </w:r>
    </w:p>
    <w:p>
      <w:pPr>
        <w:pStyle w:val="Heading1"/>
        <w:pBdr>
          <w:bottom w:val="single" w:color="2E74B5" w:sz="6" w:space="4"/>
        </w:pBdr>
        <w:spacing w:after="120" w:before="280"/>
      </w:pPr>
      <w:r>
        <w:rPr>
          <w:rFonts w:ascii="Calibri" w:cs="Calibri" w:eastAsia="Calibri" w:hAnsi="Calibri"/>
          <w:b/>
          <w:bCs/>
        </w:rPr>
        <w:t xml:space="preserve">7. Discusión</w:t>
      </w:r>
    </w:p>
    <w:p>
      <w:pPr>
        <w:pStyle w:val="Heading2"/>
        <w:spacing w:after="80" w:before="200"/>
      </w:pPr>
      <w:r>
        <w:rPr>
          <w:rFonts w:ascii="Calibri" w:cs="Calibri" w:eastAsia="Calibri" w:hAnsi="Calibri"/>
          <w:b/>
          <w:bCs/>
        </w:rPr>
        <w:t xml:space="preserve">7.1 ¿Replican los métodos observacionales el RCT?</w:t>
      </w:r>
    </w:p>
    <w:p>
      <w:pPr>
        <w:spacing w:after="120" w:before="0"/>
        <w:jc w:val="both"/>
      </w:pPr>
      <w:r>
        <w:rPr>
          <w:rFonts w:ascii="Calibri" w:cs="Calibri" w:eastAsia="Calibri" w:hAnsi="Calibri"/>
        </w:rPr>
        <w:t xml:space="preserve">PSM logra replicar el benchmark en ambos datasets (IC 95% incluye $1,794). DML también, aunque con alta incertidumbre. AIPW sobreestima el efecto en ambos datasets, probablemente por problemas de soporte común en CPS1 (pesos IPW extremos por la asimetría 185 vs 15,992) y por la escala de ingresos en PSID1.</w:t>
      </w:r>
    </w:p>
    <w:p>
      <w:pPr>
        <w:pStyle w:val="Heading2"/>
        <w:spacing w:after="80" w:before="200"/>
      </w:pPr>
      <w:r>
        <w:rPr>
          <w:rFonts w:ascii="Calibri" w:cs="Calibri" w:eastAsia="Calibri" w:hAnsi="Calibri"/>
          <w:b/>
          <w:bCs/>
        </w:rPr>
        <w:t xml:space="preserve">7.2 CPS1 vs PSID1</w:t>
      </w:r>
    </w:p>
    <w:p>
      <w:pPr>
        <w:spacing w:after="120" w:before="0"/>
        <w:jc w:val="both"/>
      </w:pPr>
      <w:r>
        <w:rPr>
          <w:rFonts w:ascii="Calibri" w:cs="Calibri" w:eastAsia="Calibri" w:hAnsi="Calibri"/>
        </w:rPr>
        <w:t xml:space="preserve">Dehejia &amp; Wahba (1999) documentaron que PSID produce mejores resultados que CPS tras el matching. Los resultados confirman esta tendencia para PSM y DML, aunque AIPW-PSID1 sobreestima. La diferencia se debe al </w:t>
      </w:r>
      <w:r>
        <w:rPr>
          <w:rFonts w:ascii="Calibri" w:cs="Calibri" w:eastAsia="Calibri" w:hAnsi="Calibri"/>
          <w:b/>
          <w:bCs/>
        </w:rPr>
        <w:t xml:space="preserve">soporte común</w:t>
      </w:r>
      <w:r>
        <w:rPr>
          <w:rFonts w:ascii="Calibri" w:cs="Calibri" w:eastAsia="Calibri" w:hAnsi="Calibri"/>
        </w:rPr>
        <w:t xml:space="preserve">: PSID1 tiene mayor proporción de controles con PS alto, facilitando el matching.</w:t>
      </w:r>
    </w:p>
    <w:p>
      <w:pPr>
        <w:pStyle w:val="Heading2"/>
        <w:spacing w:after="80" w:before="200"/>
      </w:pPr>
      <w:r>
        <w:rPr>
          <w:rFonts w:ascii="Calibri" w:cs="Calibri" w:eastAsia="Calibri" w:hAnsi="Calibri"/>
          <w:b/>
          <w:bCs/>
        </w:rPr>
        <w:t xml:space="preserve">7.3 Limitaciones</w:t>
      </w:r>
    </w:p>
    <w:p>
      <w:pPr>
        <w:pStyle w:val="ListParagraph"/>
        <w:numPr>
          <w:ilvl w:val="0"/>
          <w:numId w:val="2"/>
        </w:numPr>
        <w:spacing w:after="60" w:before="0"/>
        <w:jc w:val="both"/>
      </w:pPr>
      <w:r>
        <w:rPr>
          <w:rFonts w:ascii="Calibri" w:cs="Calibri" w:eastAsia="Calibri" w:hAnsi="Calibri"/>
        </w:rPr>
        <w:t xml:space="preserve">Soporte común limitado en CPS1: 185 tratados vs. 15,992 controles con PS próximo a cero.</w:t>
      </w:r>
    </w:p>
    <w:p>
      <w:pPr>
        <w:pStyle w:val="ListParagraph"/>
        <w:numPr>
          <w:ilvl w:val="0"/>
          <w:numId w:val="2"/>
        </w:numPr>
        <w:spacing w:after="60" w:before="0"/>
        <w:jc w:val="both"/>
      </w:pPr>
      <w:r>
        <w:rPr>
          <w:rFonts w:ascii="Calibri" w:cs="Calibri" w:eastAsia="Calibri" w:hAnsi="Calibri"/>
        </w:rPr>
        <w:t xml:space="preserve">PSM-PSID1 falla el test de placebo temporal (p = 0.0005), indicando sesgo residual no capturado.</w:t>
      </w:r>
    </w:p>
    <w:p>
      <w:pPr>
        <w:pStyle w:val="ListParagraph"/>
        <w:numPr>
          <w:ilvl w:val="0"/>
          <w:numId w:val="2"/>
        </w:numPr>
        <w:spacing w:after="60" w:before="0"/>
        <w:jc w:val="both"/>
      </w:pPr>
      <w:r>
        <w:rPr>
          <w:rFonts w:ascii="Calibri" w:cs="Calibri" w:eastAsia="Calibri" w:hAnsi="Calibri"/>
        </w:rPr>
        <w:t xml:space="preserve">Se asume CIA (ignorabilidad condicional): no se puede garantizar formalmente sin el RCT como ancla.</w:t>
      </w:r>
    </w:p>
    <w:p>
      <w:pPr>
        <w:pStyle w:val="ListParagraph"/>
        <w:numPr>
          <w:ilvl w:val="0"/>
          <w:numId w:val="2"/>
        </w:numPr>
        <w:spacing w:after="60" w:before="0"/>
        <w:jc w:val="both"/>
      </w:pPr>
      <w:r>
        <w:rPr>
          <w:rFonts w:ascii="Calibri" w:cs="Calibri" w:eastAsia="Calibri" w:hAnsi="Calibri"/>
        </w:rPr>
        <w:t xml:space="preserve">La variable latente U (habilidad no observada) no es directamente medible.</w:t>
      </w:r>
    </w:p>
    <w:p>
      <w:pPr>
        <w:pStyle w:val="ListParagraph"/>
        <w:numPr>
          <w:ilvl w:val="0"/>
          <w:numId w:val="2"/>
        </w:numPr>
        <w:spacing w:after="60" w:before="0"/>
        <w:jc w:val="both"/>
      </w:pPr>
      <w:r>
        <w:rPr>
          <w:rFonts w:ascii="Calibri" w:cs="Calibri" w:eastAsia="Calibri" w:hAnsi="Calibri"/>
        </w:rPr>
        <w:t xml:space="preserve">El E-valor es una medida escalar que asume confounders multiplicativos; puede ser conservador.</w:t>
      </w:r>
    </w:p>
    <w:p>
      <w:pPr>
        <w:pStyle w:val="Heading2"/>
        <w:spacing w:after="80" w:before="200"/>
      </w:pPr>
      <w:r>
        <w:rPr>
          <w:rFonts w:ascii="Calibri" w:cs="Calibri" w:eastAsia="Calibri" w:hAnsi="Calibri"/>
          <w:b/>
          <w:bCs/>
        </w:rPr>
        <w:t xml:space="preserve">7.4 Implicancias de política para Latinoamérica y Perú</w:t>
      </w:r>
    </w:p>
    <w:p>
      <w:pPr>
        <w:spacing w:after="120" w:before="0"/>
        <w:jc w:val="both"/>
      </w:pPr>
      <w:r>
        <w:rPr>
          <w:rFonts w:ascii="Calibri" w:cs="Calibri" w:eastAsia="Calibri" w:hAnsi="Calibri"/>
        </w:rPr>
        <w:t xml:space="preserve">El programa NSW es análogo a programas de capacitación laboral como </w:t>
      </w:r>
      <w:r>
        <w:rPr>
          <w:rFonts w:ascii="Calibri" w:cs="Calibri" w:eastAsia="Calibri" w:hAnsi="Calibri"/>
          <w:b/>
          <w:bCs/>
        </w:rPr>
        <w:t xml:space="preserve">“Jóvenes Productivos”</w:t>
      </w:r>
      <w:r>
        <w:rPr>
          <w:rFonts w:ascii="Calibri" w:cs="Calibri" w:eastAsia="Calibri" w:hAnsi="Calibri"/>
        </w:rPr>
        <w:t xml:space="preserve"> en Perú o </w:t>
      </w:r>
      <w:r>
        <w:rPr>
          <w:rFonts w:ascii="Calibri" w:cs="Calibri" w:eastAsia="Calibri" w:hAnsi="Calibri"/>
          <w:b/>
          <w:bCs/>
        </w:rPr>
        <w:t xml:space="preserve">“Juventud y Empleo”</w:t>
      </w:r>
      <w:r>
        <w:rPr>
          <w:rFonts w:ascii="Calibri" w:cs="Calibri" w:eastAsia="Calibri" w:hAnsi="Calibri"/>
        </w:rPr>
        <w:t xml:space="preserve"> en República Dominicana. </w:t>
      </w:r>
      <w:r>
        <w:rPr>
          <w:rFonts w:ascii="Calibri" w:cs="Calibri" w:eastAsia="Calibri" w:hAnsi="Calibri"/>
        </w:rPr>
        <w:t xml:space="preserve">Los resultados sugieren que PSM y DML con datos administrativos pueden aproximar razonablemente el efecto de estos programas cuando el soporte común es adecuado (i.e., los controles son demográficamente similares a los tratados). Sin embargo, el análisis de sensibilidad indica que confundidores no observados (habilidad, motivación, redes sociales) podrían reducir el efecto real, por lo que los estimados deben interpretarse como cotas plausibles en ausencia de aleatorización.</w:t>
      </w:r>
    </w:p>
    <w:p>
      <w:pPr>
        <w:spacing w:after="0" w:before="0"/>
      </w:pPr>
    </w:p>
    <w:p>
      <w:pPr>
        <w:pStyle w:val="Heading1"/>
        <w:pBdr>
          <w:bottom w:val="single" w:color="2E74B5" w:sz="6" w:space="4"/>
        </w:pBdr>
        <w:spacing w:after="120" w:before="280"/>
      </w:pPr>
      <w:r>
        <w:rPr>
          <w:rFonts w:ascii="Calibri" w:cs="Calibri" w:eastAsia="Calibri" w:hAnsi="Calibri"/>
          <w:b/>
          <w:bCs/>
        </w:rPr>
        <w:t xml:space="preserve">8. Conclusiones</w:t>
      </w:r>
    </w:p>
    <w:p>
      <w:pPr>
        <w:spacing w:after="120" w:before="0"/>
        <w:jc w:val="both"/>
      </w:pPr>
      <w:r>
        <w:rPr>
          <w:rFonts w:ascii="Calibri" w:cs="Calibri" w:eastAsia="Calibri" w:hAnsi="Calibri"/>
        </w:rPr>
        <w:t xml:space="preserve">Los resultados de la Etapa 2 permiten las siguientes conclusiones:</w:t>
      </w:r>
    </w:p>
    <w:p>
      <w:pPr>
        <w:pStyle w:val="ListParagraph"/>
        <w:numPr>
          <w:ilvl w:val="0"/>
          <w:numId w:val="3"/>
        </w:numPr>
        <w:spacing w:after="60" w:before="0"/>
        <w:jc w:val="both"/>
      </w:pPr>
      <w:r>
        <w:rPr>
          <w:rFonts w:ascii="Calibri" w:cs="Calibri" w:eastAsia="Calibri" w:hAnsi="Calibri"/>
          <w:b/>
          <w:bCs/>
        </w:rPr>
        <w:t xml:space="preserve">PSM replica el benchmark RCT</w:t>
      </w:r>
      <w:r>
        <w:rPr>
          <w:rFonts w:ascii="Calibri" w:cs="Calibri" w:eastAsia="Calibri" w:hAnsi="Calibri"/>
        </w:rPr>
        <w:t xml:space="preserve"> en ambos datasets: sus IC 95% incluyen $1,794.</w:t>
      </w:r>
    </w:p>
    <w:p>
      <w:pPr>
        <w:pStyle w:val="ListParagraph"/>
        <w:numPr>
          <w:ilvl w:val="0"/>
          <w:numId w:val="3"/>
        </w:numPr>
        <w:spacing w:after="60" w:before="0"/>
        <w:jc w:val="both"/>
      </w:pPr>
      <w:r>
        <w:rPr>
          <w:rFonts w:ascii="Calibri" w:cs="Calibri" w:eastAsia="Calibri" w:hAnsi="Calibri"/>
          <w:b/>
          <w:bCs/>
        </w:rPr>
        <w:t xml:space="preserve">AIPW sobreestima</w:t>
      </w:r>
      <w:r>
        <w:rPr>
          <w:rFonts w:ascii="Calibri" w:cs="Calibri" w:eastAsia="Calibri" w:hAnsi="Calibri"/>
        </w:rPr>
        <w:t xml:space="preserve"> el efecto en ambos datasets, con SE muy elevado en CPS1 por falta de soporte común.</w:t>
      </w:r>
    </w:p>
    <w:p>
      <w:pPr>
        <w:pStyle w:val="ListParagraph"/>
        <w:numPr>
          <w:ilvl w:val="0"/>
          <w:numId w:val="3"/>
        </w:numPr>
        <w:spacing w:after="60" w:before="0"/>
        <w:jc w:val="both"/>
      </w:pPr>
      <w:r>
        <w:rPr>
          <w:rFonts w:ascii="Calibri" w:cs="Calibri" w:eastAsia="Calibri" w:hAnsi="Calibri"/>
          <w:b/>
          <w:bCs/>
        </w:rPr>
        <w:t xml:space="preserve">DML produce IC amplios</w:t>
      </w:r>
      <w:r>
        <w:rPr>
          <w:rFonts w:ascii="Calibri" w:cs="Calibri" w:eastAsia="Calibri" w:hAnsi="Calibri"/>
        </w:rPr>
        <w:t xml:space="preserve"> pero incluye el valor RCT en ambos datasets.</w:t>
      </w:r>
    </w:p>
    <w:p>
      <w:pPr>
        <w:pStyle w:val="ListParagraph"/>
        <w:numPr>
          <w:ilvl w:val="0"/>
          <w:numId w:val="3"/>
        </w:numPr>
        <w:spacing w:after="60" w:before="0"/>
        <w:jc w:val="both"/>
      </w:pPr>
      <w:r>
        <w:rPr>
          <w:rFonts w:ascii="Calibri" w:cs="Calibri" w:eastAsia="Calibri" w:hAnsi="Calibri"/>
        </w:rPr>
        <w:t xml:space="preserve">El </w:t>
      </w:r>
      <w:r>
        <w:rPr>
          <w:rFonts w:ascii="Calibri" w:cs="Calibri" w:eastAsia="Calibri" w:hAnsi="Calibri"/>
          <w:b/>
          <w:bCs/>
        </w:rPr>
        <w:t xml:space="preserve">placebo temporal (re74)</w:t>
      </w:r>
      <w:r>
        <w:rPr>
          <w:rFonts w:ascii="Calibri" w:cs="Calibri" w:eastAsia="Calibri" w:hAnsi="Calibri"/>
        </w:rPr>
        <w:t xml:space="preserve"> aprueba en 3 de 4 combinaciones estimador-dataset. La excepción es PSM-PSID1 (p = 0.0005).</w:t>
      </w:r>
    </w:p>
    <w:p>
      <w:pPr>
        <w:pStyle w:val="ListParagraph"/>
        <w:numPr>
          <w:ilvl w:val="0"/>
          <w:numId w:val="3"/>
        </w:numPr>
        <w:spacing w:after="60" w:before="0"/>
        <w:jc w:val="both"/>
      </w:pPr>
      <w:r>
        <w:rPr>
          <w:rFonts w:ascii="Calibri" w:cs="Calibri" w:eastAsia="Calibri" w:hAnsi="Calibri"/>
        </w:rPr>
        <w:t xml:space="preserve">El </w:t>
      </w:r>
      <w:r>
        <w:rPr>
          <w:rFonts w:ascii="Calibri" w:cs="Calibri" w:eastAsia="Calibri" w:hAnsi="Calibri"/>
          <w:b/>
          <w:bCs/>
        </w:rPr>
        <w:t xml:space="preserve">E-valor AIPW-PSID1 = 1.695</w:t>
      </w:r>
      <w:r>
        <w:rPr>
          <w:rFonts w:ascii="Calibri" w:cs="Calibri" w:eastAsia="Calibri" w:hAnsi="Calibri"/>
        </w:rPr>
        <w:t xml:space="preserve"> indica robustez moderada a confounding no observado.</w:t>
      </w:r>
    </w:p>
    <w:p>
      <w:pPr>
        <w:pStyle w:val="ListParagraph"/>
        <w:numPr>
          <w:ilvl w:val="0"/>
          <w:numId w:val="3"/>
        </w:numPr>
        <w:spacing w:after="60" w:before="0"/>
        <w:jc w:val="both"/>
      </w:pPr>
      <w:r>
        <w:rPr>
          <w:rFonts w:ascii="Calibri" w:cs="Calibri" w:eastAsia="Calibri" w:hAnsi="Calibri"/>
        </w:rPr>
        <w:t xml:space="preserve">El </w:t>
      </w:r>
      <w:r>
        <w:rPr>
          <w:rFonts w:ascii="Calibri" w:cs="Calibri" w:eastAsia="Calibri" w:hAnsi="Calibri"/>
          <w:b/>
          <w:bCs/>
        </w:rPr>
        <w:t xml:space="preserve">Rosenbaum Γ crítico = 2.5</w:t>
      </w:r>
      <w:r>
        <w:rPr>
          <w:rFonts w:ascii="Calibri" w:cs="Calibri" w:eastAsia="Calibri" w:hAnsi="Calibri"/>
        </w:rPr>
        <w:t xml:space="preserve"> indica que el efecto AIPW-PSID1 persiste bajo niveles moderados de sesgo oculto.</w:t>
      </w:r>
    </w:p>
    <w:p>
      <w:pPr>
        <w:pStyle w:val="ListParagraph"/>
        <w:numPr>
          <w:ilvl w:val="0"/>
          <w:numId w:val="3"/>
        </w:numPr>
        <w:spacing w:after="60" w:before="0"/>
        <w:jc w:val="both"/>
      </w:pPr>
      <w:r>
        <w:rPr>
          <w:rFonts w:ascii="Calibri" w:cs="Calibri" w:eastAsia="Calibri" w:hAnsi="Calibri"/>
          <w:b/>
          <w:bCs/>
        </w:rPr>
        <w:t xml:space="preserve">PSID1 produce resultados más consistentes</w:t>
      </w:r>
      <w:r>
        <w:rPr>
          <w:rFonts w:ascii="Calibri" w:cs="Calibri" w:eastAsia="Calibri" w:hAnsi="Calibri"/>
        </w:rPr>
        <w:t xml:space="preserve"> entre métodos que CPS1.</w:t>
      </w:r>
    </w:p>
    <w:p>
      <w:pPr>
        <w:spacing w:after="0" w:before="120"/>
      </w:pPr>
    </w:p>
    <w:p>
      <w:pPr>
        <w:spacing w:after="120" w:before="0"/>
        <w:jc w:val="both"/>
      </w:pPr>
      <w:r>
        <w:rPr>
          <w:rFonts w:ascii="Calibri" w:cs="Calibri" w:eastAsia="Calibri" w:hAnsi="Calibri"/>
          <w:b/>
          <w:bCs/>
        </w:rPr>
        <w:t xml:space="preserve">Próximos pasos (Etapa 3): </w:t>
      </w:r>
      <w:r>
        <w:rPr>
          <w:rFonts w:ascii="Calibri" w:cs="Calibri" w:eastAsia="Calibri" w:hAnsi="Calibri"/>
        </w:rPr>
        <w:t xml:space="preserve">implementar Synthetic Control (pysyncon), análisis de sensibilidad completo, estrés distribucional (trim al 10/90 percentil del PS), e informe final con discusión de política.</w:t>
      </w:r>
    </w:p>
    <w:p>
      <w:pPr>
        <w:spacing w:after="0" w:before="0"/>
      </w:pPr>
    </w:p>
    <w:p>
      <w:r>
        <w:br w:type="page"/>
      </w:r>
    </w:p>
    <w:p>
      <w:pPr>
        <w:pStyle w:val="Heading1"/>
        <w:pBdr>
          <w:bottom w:val="single" w:color="2E74B5" w:sz="6" w:space="4"/>
        </w:pBdr>
        <w:spacing w:after="120" w:before="280"/>
      </w:pPr>
      <w:r>
        <w:rPr>
          <w:rFonts w:ascii="Calibri" w:cs="Calibri" w:eastAsia="Calibri" w:hAnsi="Calibri"/>
          <w:b/>
          <w:bCs/>
        </w:rPr>
        <w:t xml:space="preserve">Referencias</w:t>
      </w:r>
    </w:p>
    <w:p>
      <w:pPr>
        <w:spacing w:after="100" w:before="0"/>
        <w:ind w:left="720" w:hanging="720"/>
        <w:jc w:val="both"/>
      </w:pPr>
      <w:r>
        <w:rPr>
          <w:rFonts w:ascii="Calibri" w:cs="Calibri" w:eastAsia="Calibri" w:hAnsi="Calibri"/>
        </w:rPr>
        <w:t xml:space="preserve">Austin, P.C. (2009). Balance diagnostics for comparing the distribution of baseline covariates between treatment groups in propensity-score matched samples. Statistics in Medicine, 28(25), 3083–3107.</w:t>
      </w:r>
    </w:p>
    <w:p>
      <w:pPr>
        <w:spacing w:after="100" w:before="0"/>
        <w:ind w:left="720" w:hanging="720"/>
        <w:jc w:val="both"/>
      </w:pPr>
      <w:r>
        <w:rPr>
          <w:rFonts w:ascii="Calibri" w:cs="Calibri" w:eastAsia="Calibri" w:hAnsi="Calibri"/>
        </w:rPr>
        <w:t xml:space="preserve">Chernozhukov, V., Chetverikov, D., Demirer, M., Duflo, E., Hansen, C., Newey, W., &amp; Robins, J. (2018). Double/debiased machine learning for treatment and structural parameters. The Econometrics Journal, 21(1), C1–C68.</w:t>
      </w:r>
    </w:p>
    <w:p>
      <w:pPr>
        <w:spacing w:after="100" w:before="0"/>
        <w:ind w:left="720" w:hanging="720"/>
        <w:jc w:val="both"/>
      </w:pPr>
      <w:r>
        <w:rPr>
          <w:rFonts w:ascii="Calibri" w:cs="Calibri" w:eastAsia="Calibri" w:hAnsi="Calibri"/>
        </w:rPr>
        <w:t xml:space="preserve">Dehejia, R.H. &amp; Wahba, S. (1999). Causal effects in nonexperimental studies: reevaluating the evaluation of training programs. Journal of the American Statistical Association, 94(448), 1053–1062.</w:t>
      </w:r>
    </w:p>
    <w:p>
      <w:pPr>
        <w:spacing w:after="100" w:before="0"/>
        <w:ind w:left="720" w:hanging="720"/>
        <w:jc w:val="both"/>
      </w:pPr>
      <w:r>
        <w:rPr>
          <w:rFonts w:ascii="Calibri" w:cs="Calibri" w:eastAsia="Calibri" w:hAnsi="Calibri"/>
        </w:rPr>
        <w:t xml:space="preserve">Hahn, J. (1998). On the role of the propensity score in efficient semiparametric estimation of average treatment effects. Econometrica, 66(2), 315–331.</w:t>
      </w:r>
    </w:p>
    <w:p>
      <w:pPr>
        <w:spacing w:after="100" w:before="0"/>
        <w:ind w:left="720" w:hanging="720"/>
        <w:jc w:val="both"/>
      </w:pPr>
      <w:r>
        <w:rPr>
          <w:rFonts w:ascii="Calibri" w:cs="Calibri" w:eastAsia="Calibri" w:hAnsi="Calibri"/>
        </w:rPr>
        <w:t xml:space="preserve">LaLonde, R.J. (1986). Evaluating the econometric evaluations of training programs with experimental data. American Economic Review, 76(4), 604–620.</w:t>
      </w:r>
    </w:p>
    <w:p>
      <w:pPr>
        <w:spacing w:after="100" w:before="0"/>
        <w:ind w:left="720" w:hanging="720"/>
        <w:jc w:val="both"/>
      </w:pPr>
      <w:r>
        <w:rPr>
          <w:rFonts w:ascii="Calibri" w:cs="Calibri" w:eastAsia="Calibri" w:hAnsi="Calibri"/>
        </w:rPr>
        <w:t xml:space="preserve">Rosenbaum, P.R. (2002). Observational Studies (2nd ed.). Springer.</w:t>
      </w:r>
    </w:p>
    <w:p>
      <w:pPr>
        <w:spacing w:after="100" w:before="0"/>
        <w:ind w:left="720" w:hanging="720"/>
        <w:jc w:val="both"/>
      </w:pPr>
      <w:r>
        <w:rPr>
          <w:rFonts w:ascii="Calibri" w:cs="Calibri" w:eastAsia="Calibri" w:hAnsi="Calibri"/>
        </w:rPr>
        <w:t xml:space="preserve">VanderWeele, T.J. &amp; Ding, P. (2017). Sensitivity analysis in observational research: introducing the E-value. Annals of Internal Medicine, 167(4), 268–274.</w:t>
      </w:r>
    </w:p>
    <w:p>
      <w:pPr>
        <w:spacing w:after="100" w:before="0"/>
        <w:ind w:left="720" w:hanging="720"/>
        <w:jc w:val="both"/>
      </w:pPr>
      <w:r>
        <w:rPr>
          <w:rFonts w:ascii="Calibri" w:cs="Calibri" w:eastAsia="Calibri" w:hAnsi="Calibri"/>
        </w:rPr>
        <w:t xml:space="preserve">Wooldridge, J.M. (2007). Inverse probability weighted estimation for general missing data problems. Journal of Econometrics, 141(2), 1281–1301.</w:t>
      </w:r>
    </w:p>
    <w:p>
      <w:pPr>
        <w:spacing w:after="0" w:before="160"/>
      </w:pPr>
    </w:p>
    <w:p>
      <w:pPr>
        <w:pBdr>
          <w:top w:val="single" w:color="AAAAAA" w:sz="4" w:space="4"/>
        </w:pBdr>
        <w:spacing w:after="0" w:before="0"/>
      </w:pPr>
    </w:p>
    <w:p>
      <w:pPr>
        <w:spacing w:after="0" w:before="60"/>
      </w:pPr>
    </w:p>
    <w:p>
      <w:pPr>
        <w:spacing w:after="0" w:before="0"/>
        <w:jc w:val="both"/>
      </w:pPr>
      <w:r>
        <w:rPr>
          <w:rFonts w:ascii="Calibri" w:cs="Calibri" w:eastAsia="Calibri" w:hAnsi="Calibri"/>
          <w:b/>
          <w:bCs/>
          <w:color w:val="555555"/>
          <w:sz w:val="18"/>
          <w:szCs w:val="18"/>
        </w:rPr>
        <w:t xml:space="preserve">Declaración de uso de IA: </w:t>
      </w:r>
      <w:r>
        <w:rPr>
          <w:rFonts w:ascii="Calibri" w:cs="Calibri" w:eastAsia="Calibri" w:hAnsi="Calibri"/>
          <w:color w:val="555555"/>
          <w:sz w:val="18"/>
          <w:szCs w:val="18"/>
        </w:rPr>
        <w:t xml:space="preserve">Este reporte fue elaborado con asistencia de Claude Sonnet 4.6 (Anthropic) para la implementación del pipeline de estimación, generación de código Python y redacción del documento. Todos los resultados numéricos fueron verificados ejecutando el código en el entorno del proyecto. Los juicios académicos, la interpretación causal y las conclusiones son responsabilidad del autor.</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Calibri" w:cs="Calibri" w:eastAsia="Calibri" w:hAnsi="Calibri"/>
        <w:color w:val="888888"/>
        <w:sz w:val="18"/>
        <w:szCs w:val="18"/>
      </w:rPr>
      <w:t xml:space="preserve">Hugo Marlon Fernandez Quiroz — UNI — Junio 2026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left"/>
    </w:pPr>
    <w:r>
      <w:rPr>
        <w:rFonts w:ascii="Calibri" w:cs="Calibri" w:eastAsia="Calibri" w:hAnsi="Calibri"/>
        <w:color w:val="888888"/>
        <w:sz w:val="18"/>
        <w:szCs w:val="18"/>
      </w:rPr>
      <w:t xml:space="preserve">LaLonde/NSW — Reporte Intermedio E2 — ICA 2026-I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2E74B5"/>
      <w:sz w:val="24"/>
      <w:szCs w:val="24"/>
    </w:rPr>
  </w:style>
  <w:style w:type="paragraph" w:styleId="Heading3">
    <w:name w:val="Heading 3"/>
    <w:basedOn w:val="Normal"/>
    <w:next w:val="Normal"/>
    <w:qFormat/>
    <w:pPr>
      <w:spacing w:after="60" w:before="160"/>
      <w:outlineLvl w:val="2"/>
    </w:pPr>
    <w:rPr>
      <w:rFonts w:ascii="Calibri" w:cs="Calibri" w:eastAsia="Calibri" w:hAnsi="Calibri"/>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2026-06-21T17:03:50.150Z</dcterms:created>
  <dcterms:modified xsi:type="dcterms:W3CDTF">2026-06-21T17:03:50.153Z</dcterms:modified>
</cp:coreProperties>
</file>

<file path=docProps/custom.xml><?xml version="1.0" encoding="utf-8"?>
<Properties xmlns="http://schemas.openxmlformats.org/officeDocument/2006/custom-properties" xmlns:vt="http://schemas.openxmlformats.org/officeDocument/2006/docPropsVTypes"/>
</file>