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MIRADOURO: ROTULAGEM AUDITÁVEL DE PONTOS PARA DADOS DE REFERÊNCIA EM VALIDAÇÃO DE MAPAS DE USO E COBERTURA DA TERRA</w:t>
      </w:r>
    </w:p>
    <w:p>
      <w:pPr>
        <w:keepNext w:val="0"/>
        <w:spacing w:before="0" w:after="8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Hugo Henrique Salis ¹</w:t>
      </w:r>
    </w:p>
    <w:p>
      <w:pPr>
        <w:keepNext w:val="0"/>
        <w:spacing w:before="0" w:after="8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18"/>
        </w:rPr>
        <w:t>¹ Meridiano Tecnologia, Belo Horizonte, MG, hugo@meridianotecnologia.com.br</w:t>
      </w:r>
    </w:p>
    <w:p>
      <w:pPr>
        <w:sectPr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Resumo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qualidade da referência é o elo fraco da validação de mapas de uso e cobertura da terra: a interpretação visual é um sensor com ruído, e as boas práticas pedem independência, consistência e rastreabilidade. Este trabalho apresenta o MIRADOURO, ferramenta aberta (Python, MIT) de rotulagem de pontos de referência que coloca essas salvaguardas na própria ferramenta: a classe do mapa e o desenho amostral nunca chegam à interface; os painéis de subsídio (Sentinel-2 sazonal, série NDVI e alta resolução) são pré-computados; a resposta é validada contra o desenho declarado; cada gravação é atômica e auditável; segunda passada cega, consenso e revisão dirigida são modos nativos. No caso de uso, 458 pontos de um mapa Sentinel-2 foram interpretados em 2 h 26 min, com mediana por ponto de 25,8 s a 8,8 s e concordância intra-intérprete de 82,6 % (kappa 0,787) medida pela segunda passada embutida.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Palavras-chave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— interpretação visual, dados de referência, acurácia temática, software livre, Sentinel-2.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/>
          <w:sz w:val="20"/>
        </w:rPr>
        <w:t>Abstract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/>
          <w:sz w:val="20"/>
        </w:rPr>
        <w:t>Reference data quality is the weak link of land-cover map validation: visual interpretation is a noisy sensor, and good practice requires independence, consistency and traceability. MIRADOURO is an open tool (Python, MIT) for labelling reference points that builds these safeguards into the tool: the map class and the sampling design never reach the interface; the supporting panels (seasonal Sentinel-2, NDVI series and high-resolution imagery) are precomputed; answers are validated against the declared design; every write is atomic and auditable; blind second pass, consensus and directed review are native modes. In the use case, 458 points of a Sentinel-2 map were interpreted in 2 h 26 min, with the median per point falling from 25.8 s to 8.8 s and intra-interpreter agreement of 82.6 % (kappa 0.787) from the built-in second pass.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/>
          <w:sz w:val="20"/>
        </w:rPr>
        <w:t>Key words</w:t>
      </w:r>
      <w:r>
        <w:rPr>
          <w:rFonts w:ascii="Times New Roman" w:hAnsi="Times New Roman" w:eastAsia="Times New Roman"/>
          <w:b w:val="0"/>
          <w:i/>
          <w:sz w:val="20"/>
        </w:rPr>
        <w:t xml:space="preserve"> </w:t>
      </w:r>
      <w:r>
        <w:rPr>
          <w:rFonts w:ascii="Times New Roman" w:hAnsi="Times New Roman" w:eastAsia="Times New Roman"/>
          <w:b w:val="0"/>
          <w:i/>
          <w:sz w:val="20"/>
        </w:rPr>
        <w:t>— visual interpretation, reference data, thematic accuracy, open-source software, Sentinel-2.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1. INTRODUÇÃO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avaliação de acurácia de um mapa de uso e cobertura da terra repousa sobre três decisões: o desenho amostral, o desenho de resposta e a análise [1]. Entre elas, o desenho de resposta é o que depende de pessoas: a referência de cada unidade amostral é produzida por interpretação visual de imagens, e essa interpretação é um sensor com ruído. Stehman e Foody [2] colocam a qualidade da referência entre as questões centrais de uma avaliação rigorosa; Foody [3] mostra que o erro na referência distorce as estimativas de acurácia e de área; Pengra et al. [4] mediram a consistência entre intérpretes num programa operacional e encontraram discordâncias relevantes em classes de transição. As boas práticas derivam daí três exigências: independência, para que o intérprete não veja a classe do mapa nem o estrato que gerou o ponto; consistência, verificada por leituras repetidas às cegas; e rastreabilidade, para que se saiba quem rotulou cada ponto, quando, com que subsídio e em quanto tempo.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Há ferramentas maduras para a coleta de referência. O Collect Earth Online [5] é uma plataforma web com múltiplas fontes de imagem, projetos e questionários; o Collect Earth [6] é sua origem de mesa; o AcATaMa [7] é um complemento do QGIS que reúne desenho amostral, rotulagem e estimadores num só fluxo. Em todas, porém, as três exigências dependem da disciplina de quem opera: o mapa pode ser carregado como camada, a coluna do estrato fica visível na tabela de atributos, a segunda leitura é um projeto paralelo e os tempos ficam fora do registro. Nada impede que o protocolo seja seguido; nada garante que o tenha sido.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Este trabalho apresenta o MIRADOURO [8], ferramenta aberta (Python, licença MIT) de interpretação de pontos de referência que desloca essas salvaguardas do protocolo para a construção da ferramenta. Os objetivos são: (i) descrever a arquitetura e as salvaguardas por construção; (ii) demonstrar o uso na referência de 458 pontos da validação de um mapa Sentinel-2 na bacia do Paraopeba, Minas Gerais [9], com eficiência e consistência medidas pela própria ferramenta; (iii) delimitar o que a construção garante e o que continua a cargo do protocolo.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2. A FERRAMENTA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2.1. Arquitetura.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projeto é um arquivo declarativo (projeto.yaml) com nome, ano de referência, arquivo de pontos (PLOTID, longitude, latitude e colunas extras), colunas ocultas, legenda (código, nome, rótulo, tecla, cor e descrição de cada classe), campos de resposta e provedores de painéis de subsídio, aqui chamados chips. Três componentes se apoiam nesse contrato: um motor de chips, que pré-computa um painel por ponto e por provedor, em lote e em paralelo, com cache versionado (a versão do provedor fica gravada no PNG e um painel alterado regera os chips) e registro de falhas por ponto, sem derrubar o lote; uma interface local no navegador, operada pelo teclado; e os exportadores. O núcleo, o motor e a lógica da interface são cobertos por 245 testes automatizados que rodam sem rede, com integração contínua em Python 3.11 e 3.12.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2.2. Cegueira por construção.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As colunas ocultas declaradas no projeto, no caso de uso a classe do mapa, o estrato e a faixa de distância ao rio, nunca chegam ao navegador: nem na tela, nem em dica, título ou endereço. Um teste automatizado varre tudo o que a interface receberia e falha se qualquer valor oculto aparecer. A mesma regra vale para a revisão dirigida por lista externa: de um arquivo CSV a ferramenta lê somente a coluna PLOTID; o critério que gerou a lista é descartado na leitura e não chega à interface, ao arquivo de respostas nem ao relatório. Na segunda passada, a primeira resposta nunca é exibida.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2.3. Subsídio pré-computado.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Três provedores de chips acompanham a ferramenta (Figura 1). O primeiro produz, no Google Earth Engine, composições medianas sem nuvens do Sentinel-2 por estação, em cor verdadeira e em falsa-cor do infravermelho próximo, numa janela de 31 × 31 pixels alinhada à grade UTM de 10 m, de modo que o quadrado desenhado é o pixel que contém o ponto, com a vizinhança 3 × 3 contornada. O segundo traça a série multianual de NDVI do mesmo pixel, com o ano de referência destacado. O terceiro recorta a imagem de alta resolução de um serviço de mapas em um ou mais níveis de zoom, projeta sobre ela a pegada real do pixel de 10 m e recua o zoom onde não há cobertura. Como os painéis são gerados antes da interpretação, todos os pontos recebem o mesmo subsídio, a leitura não depende de rede e o painel é o registro do que o intérprete viu.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2" w:space="346" w:equalWidth="1"/>
          <w:docGrid w:linePitch="360"/>
        </w:sectPr>
      </w:pP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98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interprete_dup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1. O que o intérprete vê, com os chips de um ponto de demonstração em vegetação nativa (Minas Gerais): (a) Sentinel-2, estação seca, cor verdadeira, e (b) falsa-cor NIR, janela de 310 m alinhada à grade de 10 m, com o pixel alvo (amarelo) e a vizinhança 3 × 3 (branco); (c) imagem de alta resolução com a pegada do pixel; (d) série NDVI do pixel, 2019 a 2025, com o ano de referência sombreado. (a) a (c) são recortes dos chips; (d) foi redesenhado no tamanho de impressão com as mesmas observações.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2.4. Validação da resposta.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Os campos de resposta têm tipo (classe, opção, multiopção, texto com expressão regular, número, booleano), obrigatoriedade e obrigatoriedade condicional a outro campo. No caso de uso, a fonte da decisão é uma multiopção (alta resolução, série NDVI, sazonal), a confirmação do ano pela série NDVI é exigida sempre que a alta resolução foi usada, porque o serviço de mapas não informa a data da imagem, e a classe alternativa é exigida quando a confiança não é alta. A tecla Enter valida, grava e avança; uma resposta incompleta é recusada com a lista do que falta. O desenho de resposta é, portanto, declarado uma vez e aplicado a todos os pontos.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2.5. Auditoria.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Cada gravação reescreve o arquivo de respostas por arquivo temporário e renomeação. Cada resposta carrega intérprete, sessão, instantes de criação e de atualização, número de revisões, versão da ferramenta, SHA-256 do projeto em vigor e metadados da interface: tempo acumulado no ponto, por cronômetro que pausa sem ponto carregado, modo de navegação e provedores ausentes, se houver. A abertura de cada sessão gera um backup rotativo do estado anterior. O relatório de sessão, em Markdown e JSON, resume progresso, respostas, tempo e mediana por ponto de cada sessão, distribuições dos campos, sinais para a segunda passada, listas dirigidas com seus hashes e a concordância entre passadas.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2.6. Segunda passada, consenso e revisão dirigida.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 comando de sorteio seleciona os pontos de confiança baixa e uma fração aleatória de controle, com semente derivada do hash do projeto, e persiste a amostra com os identificadores, a fração, a semente, o hash do arquivo de origem e a data; a amostra não é refeita depois que a segunda passada começa. A segunda passada corre sob outro identificador de intérprete, seja outra pessoa, seja a mesma semanas depois, e grava em arquivo separado. O modo de consenso lista as divergências, mostra as duas respostas lado a lado e grava a decisão com as duas leituras originais e seus intérpretes. O modo dirigido percorre uma lista externa e registra cada confirmação como revisão, mesmo sem mudança de valor, o que torna auditável um "todos mantidos". Os exportadores produzem a tabela plana de referência, com as colunas ocultas reanexadas, e o pacote restaurável do AcATaMa [7]. A Tabela 1 resume as salvaguardas.</w:t>
      </w:r>
    </w:p>
    <w:p>
      <w:pPr>
        <w:keepNext/>
        <w:spacing w:before="8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1. Salvaguardas da interpretação de referência e sua garantia por construção no MIRADOURO.</w:t>
      </w:r>
    </w:p>
    <w:tbl>
      <w:tblPr>
        <w:tblStyle w:val="TableGrid"/>
        <w:tblW w:type="dxa" w:w="487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44"/>
        <w:gridCol w:w="2076"/>
        <w:gridCol w:w="1755"/>
      </w:tblGrid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Salvaguarda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Mecanismo na ferramenta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O que fica registrado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Independência do mapa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colunas ocultas nunca enviadas à interface; teste automatizado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lista de colunas ocultas no projeto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Cegueira na revisão dirigida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só a coluna PLOTID é lida; critério descartado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arquivo, SHA-256 e tamanho da lista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Subsídio uniforme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chips pré-computados, cache versionado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versão do provedor em cada PNG; falhas por ponto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completa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tipos, obrigatoriedade condicional, validação no Enter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normalizada pelo tipo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Rastreabilidade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gravação atômica; sessão, tempos, revisões, hashes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metadados por resposta e por sessão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Consistência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sorteio persistido, segunda passada cega, consenso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amostra, segunda leitura, decisão com as originais</w:t>
            </w:r>
          </w:p>
        </w:tc>
      </w:tr>
    </w:tbl>
    <w:p>
      <w:pPr>
        <w:keepNext w:val="0"/>
        <w:spacing w:before="0" w:after="40" w:line="240" w:lineRule="auto"/>
        <w:jc w:val="both"/>
      </w:pP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3. CASO DE USO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3.1. Projeto.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 referência validou um mapa de uso e cobertura de 2023 a 10 m, com oito classes, de três municípios da bacia do rio Paraopeba, Minas Gerais (2.018 km²), descrito em trabalho companheiro [9]. A amostra tem 50 pontos por classe do mapa (398 pontos, dois estratos com 49) e 60 pontos aleatórios na faixa de 0 a 1 km do rio, 458 ao todo. O estrato, a faixa e o nome da classe do mapa entraram como colunas ocultas. Os 1.374 chips (458 pontos, três provedores) foram gerados sem nenhuma falha.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3.2. Interpretação.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único intérprete leu os 458 pontos em quatro sessões produtivas entre 13 e 15 de setembro de 2026, com uma quinta sessão aberta sem gravação. O tempo de interpretação, somado pelos cronômetros por ponto, foi de 2 h 25 min 37 s. A mediana por ponto caiu de 25,8 s na primeira sessão para 16,0, 11,1 e 8,8 s nas seguintes, e o rendimento subiu de 142 para 247 pontos por hora (Figura 2): a curva de aprendizado ficou registrada sem anotação manual. A confiança foi alta em 395 pontos e média em 63; em 419 pontos (91,5 %) a decisão combinou as três fontes; a alta resolução foi usada em 437 pontos e a cobertura confirmada pela série NDVI em 435 deles.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13667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eficienc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3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2. Eficiência por sessão na primeira passada do caso de uso: mediana de segundos por ponto, número de respostas (n) e pontos por hora.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3.3. Revisões dirigidas.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Em 23 de setembro, duas listas externas foram percorridas no modo dirigido. A primeira, com 32 pontos selecionados por um critério mantido fora da ferramenta, resultou em 22 classes corrigidas e 10 mantidas; a segunda, com 55 pontos de um estrato, anotou o contexto na observação, sem mudança de classe, com 9 pontos anotados como mosaico de usos. Cada confirmação ficou gravada como revisão, com o hash da lista. A Tabela 2 reúne os números do caso.</w:t>
      </w:r>
    </w:p>
    <w:p>
      <w:pPr>
        <w:keepNext/>
        <w:spacing w:before="8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2. Números do caso de uso, todos extraídos dos relatórios de sessão e dos metadados gravados pela ferramenta.</w:t>
      </w:r>
    </w:p>
    <w:tbl>
      <w:tblPr>
        <w:tblStyle w:val="TableGrid"/>
        <w:tblW w:type="dxa" w:w="487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1701"/>
      </w:tblGrid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Medida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Valor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Pontos; chips gerados; falhas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458; 1.374;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Sessões produtivas; tempo de interpretação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4; 2 h 25 min 37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Mediana por ponto, 1ª → 4ª sessão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25,8 → 8,8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Confiança alta / média / baixa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395 / 63 /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Revisões dirigidas (pontos; corrigidos)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32 (22) e 55 (0)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Segunda passada cega (pontos; tempo)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46; 10 min 50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Concordância intra-intérprete (kappa)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38/46 = 82,6 % (0,787)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Divergências arbitradas; tempo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8; 2 min 28 s</w:t>
            </w:r>
          </w:p>
        </w:tc>
      </w:tr>
    </w:tbl>
    <w:p>
      <w:pPr>
        <w:keepNext w:val="0"/>
        <w:spacing w:before="0" w:after="40" w:line="240" w:lineRule="auto"/>
        <w:jc w:val="both"/>
      </w:pP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3.4. Segunda passada cega e consenso.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Como nenhuma resposta teve confiança baixa, a segunda passada foi a amostra de controle de 10 %: 46 pontos, sorteados em 23 de setembro e lidos pelo mesmo intérprete sob outro identificador em 30 de setembro, 15 a 17 dias depois das leituras originais, em 10 min 50 s. A concordância na classe foi de 38 em 46 (82,6 %; kappa de Cohen 0,787), calculada antes do consenso; sem os 8 pontos que também estavam nas listas dirigidas, com distância temporal de 7 dias, foi de 33 em 38 (86,8 %). As 8 divergências foram arbitradas no modo de consenso em 2 min 28 s; a ferramenta regravou só os 8 registros, com as duas leituras originais guardadas; os outros 450 ficaram idênticos ao backup da sessão. A acurácia do mapa sobre essa referência é reportada em [9].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4. DISCUSSÃO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contribuição está no lugar das salvaguardas. Independência, subsídio uniforme, resposta completa, rastreabilidade e verificação de consistência deixam de ser itens de um protocolo que o operador promete cumprir e passam a ser propriedades verificáveis do sistema: há teste para a cegueira, hash para cada lista e cada projeto, cronômetro para cada ponto e um arquivo de amostra que a ferramenta se recusa a refazer. O caso de uso mostra o que isso rende: a curva de aprendizado, a consistência intra-intérprete e o custo do consenso foram medidos sem instrumentação adicional, e a releitura de critério, que num fluxo manual seria uma edição silenciosa, ficou gravada ponto a ponto.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construção não substitui o protocolo. O desenho amostral e os estimadores [1] continuam fora da ferramenta, que exporta a referência para eles; o desenho de resposta é declarado pelo responsável pelo protocolo, e a ferramenta o aplica sem julgá-lo. A instabilidade de um critério da legenda, visível nas 22 correções da revisão dirigida e em metade das 8 divergências da passada cega, foi registrada pela ferramenta, não evitada por ela: o remédio é a legenda, não o programa.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Três limites merecem registro. O caso é único, com um só intérprete: a consistência medida é intra-observador, e a passada com segundo intérprete, que a ferramenta já suporta, fica para a versão estendida. Os provedores dependem de serviços externos: o Earth Engine, para as composições e a série NDVI, e um serviço de mapas cuja imagem não traz data, mitigação parcial pela confirmação do ano no próprio desenho de resposta. Por fim, a concordância que o relatório de sessão imprime é calculada sobre a classe já arbitrada e, depois do consenso, torna-se circular; o número correto exige reconstruir as leituras originais que o arquivo guarda, o que foi feito fora da ferramenta e entra no roteiro de desenvolvimento, junto com o orquestrador de protocolo, que encadeará as etapas sem exibir os critérios ao intérprete.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Em relação ao Collect Earth Online [5] e ao AcATaMa [7], o MIRADOURO não compete na coleta multiusuário nem nos estimadores: ocupa a etapa de rotulagem, com o pacote restaurável do AcATaMa como saída, e propõe que a cegueira, o subsídio e a auditoria sejam garantidos antes de qualquer análise.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5. CONCLUSÕES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MIRADOURO coloca na construção da ferramenta as salvaguardas que as boas práticas atribuem ao protocolo de interpretação de referência: a classe do mapa e o desenho amostral não chegam ao intérprete, o subsídio é pré-computado e uniforme, a resposta é validada contra um desenho declarado, cada gravação é atômica e auditável, e segunda passada, consenso e revisão dirigida são modos nativos com amostra persistida.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Numa referência real de 458 pontos, a ferramenta registrou 2 h 26 min de interpretação, uma mediana por ponto que caiu de 25,8 s para 8,8 s e uma concordância intra-intérprete de 82,6 %, tudo sem instrumentação adicional. O que a construção garante é a independência e a rastreabilidade da referência; o que continua com o protocolo é o desenho amostral, a legenda, os estimadores e o intérprete. O projeto declarativo permite aplicar a ferramenta a qualquer legenda e região, e a outras tarefas de rotulagem de pontos, como a produção de amostras de treinamento para classificadores, em que o subsídio uniforme e a trilha de auditoria mitigam o ruído de rótulo.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REFERÊNCIAS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[1] P. Olofsson et al. Good practices for estimating area and assessing accuracy of land change. Remote Sensing of Environment, v. 148, pp. 42–57, 2014.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[2] S. V. Stehman e G. M. Foody. Key issues in rigorous accuracy assessment of land cover products. Remote Sensing of Environment, v. 231, 111199,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[3] G. M. Foody. Assessing the accuracy of land cover change with imperfect ground reference data. Remote Sensing of Environment, v. 114, n. 10, pp. 2271–2285, 2010.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[4] B. W. Pengra et al. Quality control and assessment of interpreter consistency of annual land cover reference data in an operational national monitoring program. Remote Sensing of Environment, v. 238, 111261, 2020.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[5] D. Saah et al. Collect Earth: an online tool for systematic reference data collection in land cover and use applications. Environmental Modelling &amp; Software, v. 118, pp. 166–171,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[6] A. Bey et al. Collect Earth: land use and land cover assessment through augmented visual interpretation. Remote Sensing, v. 8, n. 10, 807, 2016.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[7] X. C. Llano, L. K. Vergara, J. A. Arias e G. Galindo. AcATaMa: a QGIS plugin for accuracy assessment and area estimation. Applied Computing and Geosciences, v. 31, 100389, 2026.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[8] H. H. Salis. MIRADOURO: ferramenta de interpretação de pontos de referência, versão 0.1.0 [software]. 2026. Disponível em: https://github.com/hugoh-sig/miradouro.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[9] H. H. Salis. Mapeamento multiescalar da agricultura familiar na bacia do rio Paraopeba (MG): Sentinel-2, análise de vizinhança e MapBiomas. Submetido ao XXII Simpósio Brasileiro de Sensoriamento Remoto, 2027.</w:t>
      </w:r>
    </w:p>
    <w:sectPr w:rsidR="00FC693F" w:rsidRPr="0006063C" w:rsidSect="00034616">
      <w:type w:val="continuous"/>
      <w:pgSz w:w="12240" w:h="15840"/>
      <w:pgMar w:top="1411" w:right="1080" w:bottom="1411" w:left="1080" w:header="0" w:footer="0" w:gutter="0"/>
      <w:cols w:num="2" w:space="346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