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560" w:after="20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MIRADOURO: ROTULAGEM AUDITÁVEL DE PONTOS PARA DADOS DE REFERÊNCIA EM VALIDAÇÃO DE MAPAS DE USO E COBERTURA DA TERRA</w:t>
      </w:r>
    </w:p>
    <w:p>
      <w:pPr>
        <w:keepNext w:val="0"/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1"/>
        </w:rPr>
        <w:t>Hugo Henrique Salis ¹</w:t>
      </w:r>
    </w:p>
    <w:p>
      <w:pPr>
        <w:keepNext w:val="0"/>
        <w:spacing w:before="0" w:after="23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¹ Meridiano Tecnologia, Belo Horizonte, MG, hugo@meridianotecnologia.com.br</w:t>
      </w:r>
    </w:p>
    <w:p>
      <w:pPr>
        <w:sectPr>
          <w:pgSz w:w="12240" w:h="15840"/>
          <w:pgMar w:top="1411" w:right="1080" w:bottom="1411" w:left="1080" w:header="0" w:footer="0" w:gutter="0"/>
          <w:cols w:num="1" w:space="346" w:equalWidth="1"/>
          <w:docGrid w:linePitch="360"/>
        </w:sectPr>
      </w:pPr>
    </w:p>
    <w:p>
      <w:pPr>
        <w:keepNext/>
        <w:spacing w:before="0" w:after="23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Resumo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qualidade da referência é o elo fraco da validação de mapas de uso e cobertura da terra: a interpretação visual é um sensor com ruído, e as boas práticas pedem independência, consistência e rastreabilidade. Este trabalho apresenta o MIRADOURO, ferramenta aberta (Python, MIT) de rotulagem de pontos de referência que coloca essas salvaguardas na própria ferramenta: a classe do mapa e o desenho amostral nunca chegam à interface; os painéis de subsídio (Sentinel-2 sazonal, série NDVI e alta resolução) são pré-computados; a resposta é validada contra o desenho declarado; cada gravação é atômica e auditável; segunda passada cega, consenso e revisão dirigida são modos nativos. No caso de uso, 458 pontos de um mapa Sentinel-2 foram interpretados em 2 h 26 min, com mediana por ponto de 25,8 s a 8,8 s e concordância intra-intérprete de 82,6 % (kappa 0,787) medida pela segunda passada embutida.</w:t>
      </w:r>
    </w:p>
    <w:p>
      <w:pPr>
        <w:keepNext w:val="0"/>
        <w:spacing w:before="0" w:after="0" w:line="240" w:lineRule="auto"/>
        <w:ind w:firstLine="357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Palavras-chave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— interpretação visual, dados de referência, acurácia temática, software livre, Sentinel-2.</w:t>
      </w:r>
    </w:p>
    <w:p>
      <w:pPr>
        <w:keepNext/>
        <w:spacing w:before="230" w:after="230" w:line="240" w:lineRule="auto"/>
        <w:jc w:val="center"/>
      </w:pPr>
      <w:r>
        <w:rPr>
          <w:rFonts w:ascii="Times New Roman" w:hAnsi="Times New Roman" w:eastAsia="Times New Roman"/>
          <w:b/>
          <w:i/>
          <w:sz w:val="20"/>
        </w:rPr>
        <w:t>Abstract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/>
          <w:sz w:val="20"/>
        </w:rPr>
        <w:t>Reference data quality is the weak link of land-cover map validation: visual interpretation is a noisy sensor, and good practice requires independence, consistency and traceability. MIRADOURO is an open tool (Python, MIT) for labelling reference points that builds these safeguards into the tool: the map class and the sampling design never reach the interface; the supporting panels (seasonal Sentinel-2, NDVI series and high-resolution imagery) are precomputed; answers are validated against the declared design; every write is atomic and auditable; blind second pass, consensus and directed review are native modes. In the use case, 458 points of a Sentinel-2 map were interpreted in 2 h 26 min, with the median per point falling from 25.8 s to 8.8 s and intra-interpreter agreement of 82.6 % (kappa 0.787) from the built-in second pass.</w:t>
      </w:r>
    </w:p>
    <w:p>
      <w:pPr>
        <w:keepNext w:val="0"/>
        <w:spacing w:before="0" w:after="0" w:line="240" w:lineRule="auto"/>
        <w:ind w:firstLine="357"/>
        <w:jc w:val="both"/>
      </w:pPr>
      <w:r>
        <w:rPr>
          <w:rFonts w:ascii="Times New Roman" w:hAnsi="Times New Roman" w:eastAsia="Times New Roman"/>
          <w:b/>
          <w:i/>
          <w:sz w:val="20"/>
        </w:rPr>
        <w:t>Key words</w:t>
      </w:r>
      <w:r>
        <w:rPr>
          <w:rFonts w:ascii="Times New Roman" w:hAnsi="Times New Roman" w:eastAsia="Times New Roman"/>
          <w:b w:val="0"/>
          <w:i/>
          <w:sz w:val="20"/>
        </w:rPr>
        <w:t xml:space="preserve"> </w:t>
      </w:r>
      <w:r>
        <w:rPr>
          <w:rFonts w:ascii="Times New Roman" w:hAnsi="Times New Roman" w:eastAsia="Times New Roman"/>
          <w:b w:val="0"/>
          <w:i/>
          <w:sz w:val="20"/>
        </w:rPr>
        <w:t>— visual interpretation, reference data, thematic accuracy, open-source software, Sentinel-2.</w:t>
      </w:r>
    </w:p>
    <w:p>
      <w:pPr>
        <w:keepNext/>
        <w:spacing w:before="230" w:after="23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1. INTRODUÇÃO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avaliação de acurácia de um mapa de uso e cobertura da terra repousa sobre três decisões: o desenho amostral, o desenho de resposta e a análise [1]. Entre elas, o desenho de resposta é o que depende de pessoas: a referência de cada unidade amostral é produzida por interpretação visual de imagens, e essa interpretação é um sensor com ruído. Stehman e Foody [2] colocam a qualidade da referência entre as questões centrais de uma avaliação rigorosa; Foody [3] mostra que o erro na referência distorce as estimativas de acurácia e de área; Pengra et al. [4] mediram a consistência entre intérpretes num programa operacional e encontraram discordâncias relevantes em classes de transição. As boas práticas derivam daí três exigências: independência, para que o intérprete não veja a classe do mapa nem o estrato que gerou o ponto; consistência, verificada por leituras repetidas às cegas; e rastreabilidade, para que se saiba quem rotulou cada ponto, quando, com que subsídio e em quanto tempo.</w:t>
      </w:r>
    </w:p>
    <w:p>
      <w:pPr>
        <w:keepNext w:val="0"/>
        <w:spacing w:before="0" w:after="0" w:line="240" w:lineRule="auto"/>
        <w:ind w:firstLine="357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Há ferramentas maduras para a coleta de referência. O Collect Earth Online [5] é uma plataforma web com múltiplas fontes de imagem, projetos e questionários; o Collect Earth [6] é sua origem de mesa; o AcATaMa [7] é um complemento do QGIS que reúne desenho amostral, rotulagem e estimadores num só fluxo. Em todas, porém, as três exigências dependem da disciplina de quem opera: o mapa pode ser carregado como camada, a coluna do estrato fica visível na tabela de atributos, a segunda leitura é um projeto paralelo e os tempos ficam fora do registro. Nada impede que o protocolo seja seguido; nada garante que o tenha sido.</w:t>
      </w:r>
    </w:p>
    <w:p>
      <w:pPr>
        <w:keepNext w:val="0"/>
        <w:spacing w:before="0" w:after="0" w:line="240" w:lineRule="auto"/>
        <w:ind w:firstLine="357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Este trabalho apresenta o MIRADOURO [8], ferramenta aberta (Python, licença MIT) de interpretação de pontos de referência que desloca essas salvaguardas do protocolo para a construção da ferramenta. Os objetivos são: (i) descrever a arquitetura e as salvaguardas por construção; (ii) demonstrar o uso na referência de 458 pontos da validação de um mapa Sentinel-2 na bacia do Paraopeba, Minas Gerais [9], com eficiência e consistência medidas pela própria ferramenta; (iii) delimitar o que a construção garante e o que continua a cargo do protocolo.</w:t>
      </w:r>
    </w:p>
    <w:p>
      <w:pPr>
        <w:keepNext/>
        <w:spacing w:before="230" w:after="23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2. A FERRAMENTA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2.1. Arquitetura.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Um projeto é um arquivo declarativo (projeto.yaml) com nome, ano de referência, arquivo de pontos (PLOTID, longitude, latitude e colunas extras), colunas ocultas, legenda (código, nome, rótulo, tecla, cor e descrição de cada classe), campos de resposta e provedores de painéis de subsídio, aqui chamados chips. Três componentes se apoiam nesse contrato: um motor de chips, que pré-computa um painel por ponto e por provedor, em lote e em paralelo, com cache versionado (a versão do provedor fica gravada no PNG e um painel alterado regera os chips) e registro de falhas por ponto, sem derrubar o lote; uma interface local no navegador, operada pelo teclado; e os exportadores. O núcleo, o motor e a lógica da interface são cobertos por 245 testes automatizados que rodam sem rede, com integração contínua em Python 3.11 e 3.12.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2.2. Cegueira por construção.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As colunas ocultas declaradas no projeto, no caso de uso a classe do mapa, o estrato e a faixa de distância ao rio, nunca chegam ao navegador: nem na tela, nem em dica, título ou endereço. Um teste automatizado varre tudo o que a interface receberia e falha se qualquer valor oculto aparecer. A mesma regra vale para a revisão dirigida por lista externa: de um arquivo CSV a ferramenta lê somente a coluna PLOTID; o critério que gerou a lista é descartado na leitura e não chega à interface, ao arquivo de respostas nem ao relatório. Na segunda passada, a primeira resposta nunca é exibida.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2.3. Subsídio pré-computado.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Três provedores de chips acompanham a ferramenta (Figura 1). O primeiro produz, no Google Earth Engine, composições medianas sem nuvens do Sentinel-2 por estação, em cor verdadeira e em falsa-cor do infravermelho próximo, numa janela de 31 × 31 pixels alinhada à grade UTM de 10 m, de modo que o quadrado desenhado é o pixel que contém o ponto, com a vizinhança 3 × 3 contornada. O segundo traça a série multianual de NDVI do mesmo pixel, com o ano de referência destacado. O terceiro recorta a imagem de alta resolução de um serviço de mapas em um ou mais níveis de zoom, projeta sobre ela a pegada real do pixel de 10 m e recua o zoom onde não há cobertura. Como os painéis são gerados antes da interpretação, todos os pontos recebem o mesmo subsídio, a leitura não depende de rede e o painel é o registro do que o intérprete viu.</w:t>
      </w:r>
    </w:p>
    <w:p>
      <w:pPr>
        <w:sectPr>
          <w:type w:val="continuous"/>
          <w:pgSz w:w="12240" w:h="15840"/>
          <w:pgMar w:top="1411" w:right="1080" w:bottom="1411" w:left="1080" w:header="0" w:footer="0" w:gutter="0"/>
          <w:cols w:num="2" w:space="346" w:equalWidth="1"/>
          <w:docGrid w:linePitch="360"/>
        </w:sectPr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98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interprete_dup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8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8"/>
        </w:rPr>
        <w:t>Figura 1. O que o intérprete vê, com os chips de um ponto de demonstração em vegetação nativa (Minas Gerais): (a) Sentinel-2, estação seca, cor verdadeira, e (b) falsa-cor NIR, janela de 310 m alinhada à grade de 10 m, com o pixel alvo (amarelo) e a vizinhança 3 × 3 (branco); (c) imagem de alta resolução com a pegada do pixel; (d) série NDVI do pixel, observações de 2019 a 2025, com o ano de referência sombreado. (a) a (c) são recortes dos chips; (d) foi redesenhado no tamanho de impressão com as mesmas observações.</w:t>
      </w:r>
    </w:p>
    <w:p>
      <w:pPr>
        <w:sectPr>
          <w:type w:val="continuous"/>
          <w:pgSz w:w="12240" w:h="15840"/>
          <w:pgMar w:top="1411" w:right="1080" w:bottom="1411" w:left="1080" w:header="0" w:footer="0" w:gutter="0"/>
          <w:cols w:num="1" w:space="346" w:equalWidth="1"/>
          <w:docGrid w:linePitch="360"/>
        </w:sectPr>
      </w:pP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2.4. Validação da resposta.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Os campos de resposta têm tipo (classe, opção, multiopção, texto com expressão regular, número, booleano), obrigatoriedade e obrigatoriedade condicional a outro campo. No caso de uso, a fonte da decisão é uma multiopção (alta resolução, série NDVI, sazonal), a confirmação do ano pela série NDVI é exigida sempre que a alta resolução foi usada, porque o serviço de mapas não informa a data da imagem, e a classe alternativa é exigida quando a confiança não é alta. A tecla Enter valida, grava e avança; uma resposta incompleta é recusada com a lista do que falta. O desenho de resposta é, portanto, declarado uma vez e aplicado a todos os pontos.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2.5. Auditoria.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Cada gravação reescreve o arquivo de respostas por arquivo temporário e renomeação. Cada resposta carrega intérprete, sessão, instantes de criação e de atualização, número de revisões, versão da ferramenta, SHA-256 do projeto em vigor e metadados da interface: tempo acumulado no ponto, por cronômetro que pausa sem ponto carregado, modo de navegação e provedores ausentes, se houver. A abertura de cada sessão gera um backup rotativo do estado anterior. O relatório de sessão, em Markdown e JSON, resume progresso, respostas, tempo e mediana por ponto de cada sessão, distribuições dos campos, sinais para a segunda passada, listas dirigidas com seus hashes e a concordância entre passadas.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2.6. Segunda passada, consenso e revisão dirigida.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O comando de sorteio seleciona os pontos de confiança baixa e uma fração aleatória de controle, com semente derivada do hash do projeto, e persiste a amostra com os identificadores, a fração, a semente, o hash do arquivo de origem e a data; a amostra não é refeita depois que a segunda passada começa. A segunda passada corre sob outro identificador de intérprete, seja outra pessoa, seja a mesma semanas depois, e grava em arquivo separado. O modo de consenso lista as divergências, mostra as duas respostas lado a lado e grava a decisão com as duas leituras originais e seus intérpretes. O modo dirigido percorre uma lista externa e registra cada confirmação como revisão, mesmo sem mudança de valor, o que torna auditável um "todos mantidos". Os exportadores produzem a tabela plana de referência, com as colunas ocultas reanexadas, e o pacote restaurável do AcATaMa [7]. A Tabela 1 resume as salvaguardas.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8"/>
        </w:rPr>
        <w:t>Tabela 1. Salvaguardas da interpretação de referência e sua garantia por construção no MIRADOURO.</w:t>
      </w:r>
    </w:p>
    <w:tbl>
      <w:tblPr>
        <w:tblStyle w:val="TableGrid"/>
        <w:tblW w:type="dxa" w:w="487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4"/>
        <w:gridCol w:w="2076"/>
        <w:gridCol w:w="1755"/>
      </w:tblGrid>
      <w:tr>
        <w:trPr>
          <w:cantSplit/>
        </w:trPr>
        <w:tc>
          <w:tcPr>
            <w:tcW w:type="dxa" w:w="1044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Salvaguarda</w:t>
            </w:r>
          </w:p>
        </w:tc>
        <w:tc>
          <w:tcPr>
            <w:tcW w:type="dxa" w:w="2076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Mecanismo na ferramenta</w:t>
            </w:r>
          </w:p>
        </w:tc>
        <w:tc>
          <w:tcPr>
            <w:tcW w:type="dxa" w:w="175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O que fica registrado</w:t>
            </w:r>
          </w:p>
        </w:tc>
      </w:tr>
      <w:tr>
        <w:trPr>
          <w:cantSplit/>
        </w:trPr>
        <w:tc>
          <w:tcPr>
            <w:tcW w:type="dxa" w:w="1044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Independência do mapa</w:t>
            </w:r>
          </w:p>
        </w:tc>
        <w:tc>
          <w:tcPr>
            <w:tcW w:type="dxa" w:w="2076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colunas ocultas nunca enviadas à interface; teste automatizado</w:t>
            </w:r>
          </w:p>
        </w:tc>
        <w:tc>
          <w:tcPr>
            <w:tcW w:type="dxa" w:w="175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lista de colunas ocultas no projeto</w:t>
            </w:r>
          </w:p>
        </w:tc>
      </w:tr>
      <w:tr>
        <w:trPr>
          <w:cantSplit/>
        </w:trPr>
        <w:tc>
          <w:tcPr>
            <w:tcW w:type="dxa" w:w="1044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Cegueira na revisão dirigida</w:t>
            </w:r>
          </w:p>
        </w:tc>
        <w:tc>
          <w:tcPr>
            <w:tcW w:type="dxa" w:w="2076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só a coluna PLOTID é lida; critério descartado</w:t>
            </w:r>
          </w:p>
        </w:tc>
        <w:tc>
          <w:tcPr>
            <w:tcW w:type="dxa" w:w="175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arquivo, SHA-256 e tamanho da lista</w:t>
            </w:r>
          </w:p>
        </w:tc>
      </w:tr>
      <w:tr>
        <w:trPr>
          <w:cantSplit/>
        </w:trPr>
        <w:tc>
          <w:tcPr>
            <w:tcW w:type="dxa" w:w="1044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Subsídio uniforme</w:t>
            </w:r>
          </w:p>
        </w:tc>
        <w:tc>
          <w:tcPr>
            <w:tcW w:type="dxa" w:w="2076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chips pré-computados, cache versionado</w:t>
            </w:r>
          </w:p>
        </w:tc>
        <w:tc>
          <w:tcPr>
            <w:tcW w:type="dxa" w:w="175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versão do provedor em cada PNG; falhas por ponto</w:t>
            </w:r>
          </w:p>
        </w:tc>
      </w:tr>
      <w:tr>
        <w:trPr>
          <w:cantSplit/>
        </w:trPr>
        <w:tc>
          <w:tcPr>
            <w:tcW w:type="dxa" w:w="1044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Resposta completa</w:t>
            </w:r>
          </w:p>
        </w:tc>
        <w:tc>
          <w:tcPr>
            <w:tcW w:type="dxa" w:w="2076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tipos, obrigatoriedade condicional, validação no Enter</w:t>
            </w:r>
          </w:p>
        </w:tc>
        <w:tc>
          <w:tcPr>
            <w:tcW w:type="dxa" w:w="175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resposta normalizada pelo tipo</w:t>
            </w:r>
          </w:p>
        </w:tc>
      </w:tr>
      <w:tr>
        <w:trPr>
          <w:cantSplit/>
        </w:trPr>
        <w:tc>
          <w:tcPr>
            <w:tcW w:type="dxa" w:w="1044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Rastreabilidade</w:t>
            </w:r>
          </w:p>
        </w:tc>
        <w:tc>
          <w:tcPr>
            <w:tcW w:type="dxa" w:w="2076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gravação atômica; sessão, tempos, revisões, hashes</w:t>
            </w:r>
          </w:p>
        </w:tc>
        <w:tc>
          <w:tcPr>
            <w:tcW w:type="dxa" w:w="175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metadados por resposta e por sessão</w:t>
            </w:r>
          </w:p>
        </w:tc>
      </w:tr>
      <w:tr>
        <w:trPr>
          <w:cantSplit/>
        </w:trPr>
        <w:tc>
          <w:tcPr>
            <w:tcW w:type="dxa" w:w="1044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Consistência</w:t>
            </w:r>
          </w:p>
        </w:tc>
        <w:tc>
          <w:tcPr>
            <w:tcW w:type="dxa" w:w="2076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sorteio persistido, segunda passada cega, consenso</w:t>
            </w:r>
          </w:p>
        </w:tc>
        <w:tc>
          <w:tcPr>
            <w:tcW w:type="dxa" w:w="175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amostra, segunda leitura, decisão com as originais</w:t>
            </w:r>
          </w:p>
        </w:tc>
      </w:tr>
    </w:tbl>
    <w:p>
      <w:pPr>
        <w:spacing w:before="0" w:after="120" w:line="20" w:lineRule="exact"/>
      </w:pPr>
      <w:r>
        <w:rPr>
          <w:rFonts w:ascii="Times New Roman" w:hAnsi="Times New Roman" w:eastAsia="Times New Roman"/>
          <w:sz w:val="2"/>
        </w:rPr>
        <w:t xml:space="preserve"> </w:t>
      </w:r>
    </w:p>
    <w:p>
      <w:pPr>
        <w:keepNext/>
        <w:spacing w:before="230" w:after="23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3. CASO DE USO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3.1. Projeto.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A referência validou um mapa de uso e cobertura de 2023 a 10 m, com oito classes, de três municípios da bacia do rio Paraopeba, Minas Gerais (2.018 km²), descrito em trabalho companheiro [9]. A amostra tem 50 pontos por classe do mapa (398 pontos, dois estratos com 49) e 60 pontos aleatórios na faixa de 0 a 1 km do rio, 458 ao todo. O estrato, a faixa e o nome da classe do mapa entraram como colunas ocultas. Os 1.374 chips (458 pontos, três provedores) foram gerados sem nenhuma falha.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3.2. Interpretação.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Um único intérprete leu os 458 pontos em quatro sessões produtivas entre 13 e 15 de setembro de 2026, com uma quinta sessão aberta sem gravação. O tempo de interpretação, somado pelos cronômetros por ponto, foi de 2 h 25 min 37 s. A mediana por ponto caiu de 25,8 s na primeira sessão para 16,0, 11,1 e 8,8 s nas seguintes, e o rendimento subiu de 142 para 247 pontos por hora (Figura 2): a curva de aprendizado ficou registrada sem anotação manual. A confiança foi alta em 395 pontos e média em 63; em 419 pontos (91,5 %) a decisão combinou as três fontes; a alta resolução foi usada em 437 pontos e a cobertura confirmada pela série NDVI em 435 deles.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20000" cy="1366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fici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6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8"/>
        </w:rPr>
        <w:t>Figura 2. Eficiência por sessão na primeira passada do caso de uso: mediana de segundos por ponto, número de respostas (n) e pontos por hora.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3.3. Revisões dirigidas.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Em 23 de setembro, duas listas externas foram percorridas no modo dirigido. A primeira, com 32 pontos selecionados por um critério mantido fora da ferramenta, resultou em 22 classes corrigidas e 10 mantidas; a segunda, com 55 pontos de um estrato, anotou o contexto na observação, sem mudança de classe, com 9 pontos anotados como mosaico de usos. Cada confirmação ficou gravada como revisão, com o hash da lista. A Tabela 2 reúne os números do caso.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8"/>
        </w:rPr>
        <w:t>Tabela 2. Números do caso de uso, todos extraídos dos relatórios de sessão e dos metadados gravados pela ferramenta.</w:t>
      </w:r>
    </w:p>
    <w:tbl>
      <w:tblPr>
        <w:tblStyle w:val="TableGrid"/>
        <w:tblW w:type="dxa" w:w="487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701"/>
      </w:tblGrid>
      <w:tr>
        <w:trPr>
          <w:cantSplit/>
        </w:trPr>
        <w:tc>
          <w:tcPr>
            <w:tcW w:type="dxa" w:w="317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Medida</w:t>
            </w:r>
          </w:p>
        </w:tc>
        <w:tc>
          <w:tcPr>
            <w:tcW w:type="dxa" w:w="1701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Valor</w:t>
            </w:r>
          </w:p>
        </w:tc>
      </w:tr>
      <w:tr>
        <w:trPr>
          <w:cantSplit/>
        </w:trPr>
        <w:tc>
          <w:tcPr>
            <w:tcW w:type="dxa" w:w="317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Pontos; chips gerados; falhas</w:t>
            </w:r>
          </w:p>
        </w:tc>
        <w:tc>
          <w:tcPr>
            <w:tcW w:type="dxa" w:w="1701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458; 1.374; 0</w:t>
            </w:r>
          </w:p>
        </w:tc>
      </w:tr>
      <w:tr>
        <w:trPr>
          <w:cantSplit/>
        </w:trPr>
        <w:tc>
          <w:tcPr>
            <w:tcW w:type="dxa" w:w="317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Sessões produtivas; tempo de interpretação</w:t>
            </w:r>
          </w:p>
        </w:tc>
        <w:tc>
          <w:tcPr>
            <w:tcW w:type="dxa" w:w="1701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4; 2 h 25 min 37 s</w:t>
            </w:r>
          </w:p>
        </w:tc>
      </w:tr>
      <w:tr>
        <w:trPr>
          <w:cantSplit/>
        </w:trPr>
        <w:tc>
          <w:tcPr>
            <w:tcW w:type="dxa" w:w="317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Mediana por ponto, 1ª → 4ª sessão</w:t>
            </w:r>
          </w:p>
        </w:tc>
        <w:tc>
          <w:tcPr>
            <w:tcW w:type="dxa" w:w="1701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25,8 → 8,8 s</w:t>
            </w:r>
          </w:p>
        </w:tc>
      </w:tr>
      <w:tr>
        <w:trPr>
          <w:cantSplit/>
        </w:trPr>
        <w:tc>
          <w:tcPr>
            <w:tcW w:type="dxa" w:w="317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Confiança alta / média / baixa</w:t>
            </w:r>
          </w:p>
        </w:tc>
        <w:tc>
          <w:tcPr>
            <w:tcW w:type="dxa" w:w="1701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395 / 63 / 0</w:t>
            </w:r>
          </w:p>
        </w:tc>
      </w:tr>
      <w:tr>
        <w:trPr>
          <w:cantSplit/>
        </w:trPr>
        <w:tc>
          <w:tcPr>
            <w:tcW w:type="dxa" w:w="317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Revisões dirigidas (pontos; corrigidos)</w:t>
            </w:r>
          </w:p>
        </w:tc>
        <w:tc>
          <w:tcPr>
            <w:tcW w:type="dxa" w:w="1701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32 (22) e 55 (0)</w:t>
            </w:r>
          </w:p>
        </w:tc>
      </w:tr>
      <w:tr>
        <w:trPr>
          <w:cantSplit/>
        </w:trPr>
        <w:tc>
          <w:tcPr>
            <w:tcW w:type="dxa" w:w="317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Segunda passada cega (pontos; tempo)</w:t>
            </w:r>
          </w:p>
        </w:tc>
        <w:tc>
          <w:tcPr>
            <w:tcW w:type="dxa" w:w="1701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46; 10 min 50 s</w:t>
            </w:r>
          </w:p>
        </w:tc>
      </w:tr>
      <w:tr>
        <w:trPr>
          <w:cantSplit/>
        </w:trPr>
        <w:tc>
          <w:tcPr>
            <w:tcW w:type="dxa" w:w="317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Concordância intra-intérprete (kappa)</w:t>
            </w:r>
          </w:p>
        </w:tc>
        <w:tc>
          <w:tcPr>
            <w:tcW w:type="dxa" w:w="1701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keepNext/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38/46 = 82,6 % (0,787)</w:t>
            </w:r>
          </w:p>
        </w:tc>
      </w:tr>
      <w:tr>
        <w:trPr>
          <w:cantSplit/>
        </w:trPr>
        <w:tc>
          <w:tcPr>
            <w:tcW w:type="dxa" w:w="3175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Divergências arbitradas; tempo</w:t>
            </w:r>
          </w:p>
        </w:tc>
        <w:tc>
          <w:tcPr>
            <w:tcW w:type="dxa" w:w="1701"/>
            <w:tcMar>
              <w:top w:w="5" w:type="dxa"/>
              <w:bottom w:w="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8; 2 min 28 s</w:t>
            </w:r>
          </w:p>
        </w:tc>
      </w:tr>
    </w:tbl>
    <w:p>
      <w:pPr>
        <w:spacing w:before="0" w:after="120" w:line="20" w:lineRule="exact"/>
      </w:pPr>
      <w:r>
        <w:rPr>
          <w:rFonts w:ascii="Times New Roman" w:hAnsi="Times New Roman" w:eastAsia="Times New Roman"/>
          <w:sz w:val="2"/>
        </w:rPr>
        <w:t xml:space="preserve"> 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3.4. Segunda passada cega e consenso.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Como nenhuma resposta teve confiança baixa, a segunda passada foi a amostra de controle de 10 %: 46 pontos, sorteados em 23 de setembro e lidos pelo mesmo intérprete sob outro identificador em 30 de setembro, 15 a 17 dias depois das leituras originais, em 10 min 50 s. A concordância na classe foi de 38 em 46 (82,6 %; kappa de Cohen 0,787), calculada antes do consenso; sem os 8 pontos que também estavam nas listas dirigidas, com distância temporal de 7 dias, foi de 33 em 38 (86,8 %). As 8 divergências foram arbitradas no modo de consenso em 2 min 28 s; a ferramenta regravou só os 8 registros, com as duas leituras originais guardadas; os outros 450 ficaram idênticos ao backup da sessão. A acurácia do mapa sobre essa referência é reportada em [9].</w:t>
      </w:r>
    </w:p>
    <w:p>
      <w:pPr>
        <w:keepNext/>
        <w:spacing w:before="230" w:after="23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4. DISCUSSÃO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contribuição está no lugar das salvaguardas. Independência, subsídio uniforme, resposta completa, rastreabilidade e verificação de consistência deixam de ser itens de um protocolo que o operador promete cumprir e passam a ser propriedades verificáveis do sistema: há teste para a cegueira, hash para cada lista e cada projeto, cronômetro para cada ponto e um arquivo de amostra que a ferramenta se recusa a refazer. O caso de uso mostra o que isso rende: a curva de aprendizado, a consistência intra-intérprete e o custo do consenso foram medidos sem instrumentação adicional, e a releitura de critério, que num fluxo manual seria uma edição silenciosa, ficou gravada ponto a ponto.</w:t>
      </w:r>
    </w:p>
    <w:p>
      <w:pPr>
        <w:keepNext w:val="0"/>
        <w:spacing w:before="0" w:after="0" w:line="240" w:lineRule="auto"/>
        <w:ind w:firstLine="357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construção não substitui o protocolo. O desenho amostral e os estimadores [1] continuam fora da ferramenta, que exporta a referência para eles; o desenho de resposta é declarado pelo responsável pelo protocolo, e a ferramenta o aplica sem julgá-lo. A instabilidade de um critério da legenda, visível nas 22 correções da revisão dirigida e em metade das 8 divergências da passada cega, foi registrada pela ferramenta, não evitada por ela: o remédio é a legenda, não o programa.</w:t>
      </w:r>
    </w:p>
    <w:p>
      <w:pPr>
        <w:keepNext w:val="0"/>
        <w:spacing w:before="0" w:after="0" w:line="240" w:lineRule="auto"/>
        <w:ind w:firstLine="357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Três limites merecem registro. O caso é único, com um só intérprete: a consistência medida é intra-observador, e a passada com segundo intérprete, que a ferramenta já suporta, fica para a versão estendida. Os provedores dependem de serviços externos: o Earth Engine, para as composições e a série NDVI, e um serviço de mapas cuja imagem não traz data, mitigação parcial pela confirmação do ano no próprio desenho de resposta. Por fim, a concordância que o relatório de sessão imprime é calculada sobre a classe já arbitrada e, depois do consenso, torna-se circular; o número correto exige reconstruir as leituras originais que o arquivo guarda, o que foi feito fora da ferramenta e entra no roteiro de desenvolvimento, junto com o orquestrador de protocolo, que encadeará as etapas sem exibir os critérios ao intérprete.</w:t>
      </w:r>
    </w:p>
    <w:p>
      <w:pPr>
        <w:keepNext w:val="0"/>
        <w:spacing w:before="0" w:after="0" w:line="240" w:lineRule="auto"/>
        <w:ind w:firstLine="357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Em relação ao Collect Earth Online [5] e ao AcATaMa [7], o MIRADOURO não compete na coleta multiusuário nem nos estimadores: ocupa a etapa de rotulagem, com o pacote restaurável do AcATaMa como saída, e propõe que a cegueira, o subsídio e a auditoria sejam garantidos antes de qualquer análise.</w:t>
      </w:r>
    </w:p>
    <w:p>
      <w:pPr>
        <w:keepNext/>
        <w:spacing w:before="230" w:after="23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5. CONCLUSÕES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 MIRADOURO coloca na construção da ferramenta as salvaguardas que as boas práticas atribuem ao protocolo de interpretação de referência: a classe do mapa e o desenho amostral não chegam ao intérprete, o subsídio é pré-computado e uniforme, a resposta é validada contra um desenho declarado, cada gravação é atômica e auditável, e segunda passada, consenso e revisão dirigida são modos nativos com amostra persistida.</w:t>
      </w:r>
    </w:p>
    <w:p>
      <w:pPr>
        <w:keepNext w:val="0"/>
        <w:spacing w:before="0" w:after="0" w:line="240" w:lineRule="auto"/>
        <w:ind w:firstLine="357"/>
        <w:jc w:val="both"/>
      </w:pPr>
      <w:r>
        <w:br w:type="column"/>
      </w:r>
      <w:r>
        <w:rPr>
          <w:rFonts w:ascii="Times New Roman" w:hAnsi="Times New Roman" w:eastAsia="Times New Roman"/>
          <w:b w:val="0"/>
          <w:i w:val="0"/>
          <w:sz w:val="20"/>
        </w:rPr>
        <w:t>Numa referência real de 458 pontos, a ferramenta registrou 2 h 26 min de interpretação, uma mediana por ponto que caiu de 25,8 s para 8,8 s e uma concordância intra-intérprete de 82,6 %, tudo sem instrumentação adicional. O que a construção garante é a independência e a rastreabilidade da referência; o que continua com o protocolo é o desenho amostral, a legenda, os estimadores e o intérprete. O projeto declarativo permite aplicar a ferramenta a qualquer legenda e região, e a outras tarefas de rotulagem de pontos, como a produção de amostras de treinamento para classificadores, em que o subsídio uniforme e a trilha de auditoria mitigam o ruído de rótulo.</w:t>
      </w:r>
    </w:p>
    <w:p>
      <w:pPr>
        <w:keepNext/>
        <w:spacing w:before="230" w:after="23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REFERÊNCIAS</w:t>
      </w:r>
    </w:p>
    <w:p>
      <w:pPr>
        <w:keepNext w:val="0"/>
        <w:spacing w:before="0" w:after="20" w:line="240" w:lineRule="auto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[1] P. Olofsson et al. Good practices for estimating area and assessing accuracy of land change. Remote Sensing of Environment, v. 148, pp. 42–57, 2014.</w:t>
      </w:r>
    </w:p>
    <w:p>
      <w:pPr>
        <w:keepNext w:val="0"/>
        <w:spacing w:before="0" w:after="20" w:line="240" w:lineRule="auto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[2] S. V. Stehman e G. M. Foody. Key issues in rigorous accuracy assessment of land cover products. Remote Sensing of Environment, v. 231, 111199, 2019.</w:t>
      </w:r>
    </w:p>
    <w:p>
      <w:pPr>
        <w:keepNext w:val="0"/>
        <w:spacing w:before="0" w:after="20" w:line="240" w:lineRule="auto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[3] G. M. Foody. Assessing the accuracy of land cover change with imperfect ground reference data. Remote Sensing of Environment, v. 114, n. 10, pp. 2271–2285, 2010.</w:t>
      </w:r>
    </w:p>
    <w:p>
      <w:pPr>
        <w:keepNext w:val="0"/>
        <w:spacing w:before="0" w:after="20" w:line="240" w:lineRule="auto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[4] B. W. Pengra et al. Quality control and assessment of interpreter consistency of annual land cover reference data in an operational national monitoring program. Remote Sensing of Environment, v. 238, 111261, 2020.</w:t>
      </w:r>
    </w:p>
    <w:p>
      <w:pPr>
        <w:keepNext w:val="0"/>
        <w:spacing w:before="0" w:after="20" w:line="240" w:lineRule="auto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[5] D. Saah et al. Collect Earth: an online tool for systematic reference data collection in land cover and use applications. Environmental Modelling &amp; Software, v. 118, pp. 166–171, 2019.</w:t>
      </w:r>
    </w:p>
    <w:p>
      <w:pPr>
        <w:keepNext w:val="0"/>
        <w:spacing w:before="0" w:after="20" w:line="240" w:lineRule="auto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[6] A. Bey et al. Collect Earth: land use and land cover assessment through augmented visual interpretation. Remote Sensing, v. 8, n. 10, 807, 2016.</w:t>
      </w:r>
    </w:p>
    <w:p>
      <w:pPr>
        <w:keepNext w:val="0"/>
        <w:spacing w:before="0" w:after="20" w:line="240" w:lineRule="auto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[7] X. C. Llano, L. K. Vergara, J. A. Arias e G. Galindo. AcATaMa: a QGIS plugin for accuracy assessment and area estimation. Applied Computing and Geosciences, v. 31, 100389, 2026.</w:t>
      </w:r>
    </w:p>
    <w:p>
      <w:pPr>
        <w:keepNext w:val="0"/>
        <w:spacing w:before="0" w:after="20" w:line="240" w:lineRule="auto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[8] H. H. Salis. MIRADOURO: ferramenta de interpretação de pontos de referência, versão 0.1.0 [software]. 2026. Disponível em: https://github.com/hugoh-sig/miradouro.</w:t>
      </w:r>
    </w:p>
    <w:p>
      <w:pPr>
        <w:keepNext w:val="0"/>
        <w:spacing w:before="0" w:after="20" w:line="240" w:lineRule="auto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[9] H. H. Salis. Mapeamento multiescalar da agricultura familiar na bacia do rio Paraopeba (MG): Sentinel-2, análise de vizinhança e MapBiomas. Submetido ao XXII Simpósio Brasileiro de Sensoriamento Remoto, 2027.</w:t>
      </w:r>
    </w:p>
    <w:sectPr w:rsidR="00FC693F" w:rsidRPr="0006063C" w:rsidSect="00034616">
      <w:type w:val="continuous"/>
      <w:pgSz w:w="12240" w:h="15840"/>
      <w:pgMar w:top="1411" w:right="1080" w:bottom="1411" w:left="1080" w:header="0" w:footer="0" w:gutter="0"/>
      <w:cols w:num="2" w:space="346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