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376"/>
          <w:sz w:val="44"/>
        </w:rPr>
        <w:t>FLUXO DE ESTUDO</w:t>
      </w:r>
    </w:p>
    <w:p>
      <w:pPr>
        <w:jc w:val="center"/>
      </w:pPr>
      <w:r>
        <w:rPr>
          <w:b/>
          <w:color w:val="218ABE"/>
          <w:sz w:val="36"/>
        </w:rPr>
        <w:t>Avaliação de Empresas</w:t>
      </w:r>
    </w:p>
    <w:p>
      <w:pPr>
        <w:jc w:val="center"/>
      </w:pPr>
      <w:r>
        <w:rPr>
          <w:sz w:val="26"/>
        </w:rPr>
        <w:t>Mestrado Profissional em Economia</w:t>
      </w:r>
    </w:p>
    <w:p>
      <w:pPr>
        <w:jc w:val="center"/>
      </w:pPr>
      <w:r>
        <w:rPr>
          <w:i/>
          <w:sz w:val="22"/>
        </w:rPr>
        <w:t>Prof. Sérgio Jurandyr Machado</w:t>
      </w:r>
    </w:p>
    <w:p/>
    <w:p>
      <w:r>
        <w:rPr>
          <w:b/>
          <w:color w:val="1A5376"/>
          <w:sz w:val="24"/>
        </w:rPr>
        <w:t>ESTRUTURA DO FLUXO DE ESTUDO</w:t>
      </w:r>
    </w:p>
    <w:p>
      <w:r>
        <w:rPr>
          <w:b/>
          <w:color w:val="FFFFFF"/>
          <w:sz w:val="20"/>
        </w:rPr>
        <w:t xml:space="preserve">  MÓDULO 1  </w:t>
      </w:r>
      <w:r>
        <w:rPr>
          <w:sz w:val="22"/>
        </w:rPr>
        <w:t xml:space="preserve">Fundamentos do Valuation  </w:t>
      </w:r>
      <w:r>
        <w:rPr>
          <w:i/>
          <w:color w:val="555555"/>
          <w:sz w:val="20"/>
        </w:rPr>
        <w:t>[Aula 1]</w:t>
      </w:r>
    </w:p>
    <w:p>
      <w:r>
        <w:rPr>
          <w:b/>
          <w:color w:val="FFFFFF"/>
          <w:sz w:val="20"/>
        </w:rPr>
        <w:t xml:space="preserve">  MÓDULO 2  </w:t>
      </w:r>
      <w:r>
        <w:rPr>
          <w:sz w:val="22"/>
        </w:rPr>
        <w:t xml:space="preserve">Fluxo de Caixa Livre para a Firma (FCFF)  </w:t>
      </w:r>
      <w:r>
        <w:rPr>
          <w:i/>
          <w:color w:val="555555"/>
          <w:sz w:val="20"/>
        </w:rPr>
        <w:t>[Aulas 2–4]</w:t>
      </w:r>
    </w:p>
    <w:p>
      <w:r>
        <w:rPr>
          <w:b/>
          <w:color w:val="FFFFFF"/>
          <w:sz w:val="20"/>
        </w:rPr>
        <w:t xml:space="preserve">  MÓDULO 3  </w:t>
      </w:r>
      <w:r>
        <w:rPr>
          <w:sz w:val="22"/>
        </w:rPr>
        <w:t xml:space="preserve">Taxa de Desconto — WACC  </w:t>
      </w:r>
      <w:r>
        <w:rPr>
          <w:i/>
          <w:color w:val="555555"/>
          <w:sz w:val="20"/>
        </w:rPr>
        <w:t>[Aulas 2–4]</w:t>
      </w:r>
    </w:p>
    <w:p>
      <w:r>
        <w:rPr>
          <w:b/>
          <w:color w:val="FFFFFF"/>
          <w:sz w:val="20"/>
        </w:rPr>
        <w:t xml:space="preserve">  MÓDULO 4  </w:t>
      </w:r>
      <w:r>
        <w:rPr>
          <w:sz w:val="22"/>
        </w:rPr>
        <w:t xml:space="preserve">Ajustes Contábeis Relevantes para o Valuation  </w:t>
      </w:r>
      <w:r>
        <w:rPr>
          <w:i/>
          <w:color w:val="555555"/>
          <w:sz w:val="20"/>
        </w:rPr>
        <w:t>[Aulas 5–6]</w:t>
      </w:r>
    </w:p>
    <w:p>
      <w:r>
        <w:rPr>
          <w:b/>
          <w:color w:val="FFFFFF"/>
          <w:sz w:val="20"/>
        </w:rPr>
        <w:t xml:space="preserve">  MÓDULO 5  </w:t>
      </w:r>
      <w:r>
        <w:rPr>
          <w:sz w:val="22"/>
        </w:rPr>
        <w:t xml:space="preserve">Opções Reais e Valor da Flexibilidade  </w:t>
      </w:r>
      <w:r>
        <w:rPr>
          <w:i/>
          <w:color w:val="555555"/>
          <w:sz w:val="20"/>
        </w:rPr>
        <w:t>[Aulas 7–8]</w:t>
      </w:r>
    </w:p>
    <w:p>
      <w:r>
        <w:rPr>
          <w:b/>
          <w:color w:val="FFFFFF"/>
          <w:sz w:val="20"/>
        </w:rPr>
        <w:t xml:space="preserve">  MÓDULO 6  </w:t>
      </w:r>
      <w:r>
        <w:rPr>
          <w:sz w:val="22"/>
        </w:rPr>
        <w:t xml:space="preserve">Criação de Valor &amp; Avaliação Relativa  </w:t>
      </w:r>
      <w:r>
        <w:rPr>
          <w:i/>
          <w:color w:val="555555"/>
          <w:sz w:val="20"/>
        </w:rPr>
        <w:t>[Transversal]</w:t>
      </w:r>
    </w:p>
    <w:p>
      <w:r>
        <w:rPr>
          <w:b/>
          <w:color w:val="FFFFFF"/>
          <w:sz w:val="20"/>
        </w:rPr>
        <w:t xml:space="preserve">  MÓDULO 7  </w:t>
      </w:r>
      <w:r>
        <w:rPr>
          <w:sz w:val="22"/>
        </w:rPr>
        <w:t xml:space="preserve">Revisão Geral e Exercícios Integrados  </w:t>
      </w:r>
      <w:r>
        <w:rPr>
          <w:i/>
          <w:color w:val="555555"/>
          <w:sz w:val="20"/>
        </w:rPr>
        <w:t>[Antes da Prova]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1A5376"/>
        </w:rPr>
        <w:t>MÓDULO 1 — FUNDAMENTOS DO VALUATION</w:t>
      </w:r>
    </w:p>
    <w:p>
      <w:r>
        <w:rPr>
          <w:b w:val="0"/>
          <w:i/>
          <w:color w:val="555555"/>
          <w:sz w:val="22"/>
        </w:rPr>
        <w:t>Aulas de referência: Slide 02 (Aula 1)</w:t>
      </w:r>
    </w:p>
    <w:p/>
    <w:p>
      <w:pPr>
        <w:pStyle w:val="Heading2"/>
        <w:jc w:val="left"/>
      </w:pPr>
      <w:r>
        <w:rPr>
          <w:b/>
          <w:color w:val="218ABE"/>
        </w:rPr>
        <w:t>1.1 O que é Valuation?</w:t>
      </w:r>
    </w:p>
    <w:p>
      <w:r>
        <w:rPr>
          <w:b w:val="0"/>
          <w:i w:val="0"/>
          <w:sz w:val="22"/>
        </w:rPr>
        <w:t>Valuation é o processo de conversão de uma projeção em uma estimativa do valor de uma empresa ou de um ativo. Dois grandes métodos:</w:t>
      </w:r>
    </w:p>
    <w:p>
      <w:pPr>
        <w:pStyle w:val="ListBullet"/>
        <w:ind w:left="360"/>
      </w:pPr>
      <w:r>
        <w:rPr>
          <w:sz w:val="22"/>
        </w:rPr>
        <w:t>Fluxo de Caixa Descontado (DCF / FCD): baseia-se na capacidade de geração de caixa futuro da empresa.</w:t>
      </w:r>
    </w:p>
    <w:p>
      <w:pPr>
        <w:pStyle w:val="ListBullet"/>
        <w:ind w:left="360"/>
      </w:pPr>
      <w:r>
        <w:rPr>
          <w:sz w:val="22"/>
        </w:rPr>
        <w:t>Avaliação Relativa (Múltiplos): compara a empresa a pares de mercado por indicadores como EV/EBITDA, P/L etc.</w:t>
      </w:r>
    </w:p>
    <w:p/>
    <w:p>
      <w:pPr>
        <w:pStyle w:val="Heading2"/>
        <w:jc w:val="left"/>
      </w:pPr>
      <w:r>
        <w:rPr>
          <w:b/>
          <w:color w:val="218ABE"/>
        </w:rPr>
        <w:t>1.2 Tese de Investimento</w:t>
      </w:r>
    </w:p>
    <w:p>
      <w:r>
        <w:rPr>
          <w:b w:val="0"/>
          <w:i/>
          <w:color w:val="1A5376"/>
          <w:sz w:val="22"/>
        </w:rPr>
        <w:t>"O preço de um ativo converge para o seu valor justo."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5276" w:val="clear"/>
          </w:tcPr>
          <w:p>
            <w:r>
              <w:rPr>
                <w:b/>
                <w:color w:val="FFFFFF"/>
                <w:sz w:val="20"/>
              </w:rPr>
              <w:t>Estratégia</w:t>
            </w:r>
          </w:p>
        </w:tc>
        <w:tc>
          <w:tcPr>
            <w:tcW w:type="dxa" w:w="4561"/>
            <w:shd w:fill="1A5276" w:val="clear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Fundo Long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Compra ativo subavaliado (preço &lt; valor justo)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Fundo Short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Vende ativo superavaliado (preço &gt; valor justo)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Fundo Long &amp; Short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Opera nos dois sentidos simultaneamente</w:t>
            </w:r>
          </w:p>
        </w:tc>
      </w:tr>
    </w:tbl>
    <w:p/>
    <w:p>
      <w:pPr>
        <w:pStyle w:val="Heading2"/>
        <w:jc w:val="left"/>
      </w:pPr>
      <w:r>
        <w:rPr>
          <w:b/>
          <w:color w:val="218ABE"/>
        </w:rPr>
        <w:t>1.3 Eficiência de Mercado</w:t>
      </w:r>
    </w:p>
    <w:p>
      <w:pPr>
        <w:pStyle w:val="ListBullet"/>
        <w:ind w:left="360"/>
      </w:pPr>
      <w:r>
        <w:rPr>
          <w:sz w:val="22"/>
        </w:rPr>
        <w:t>Hipótese dos Mercados Eficientes (HME): na forma semi-forte, toda informação pública é incorporada instantaneamente ao preço.</w:t>
      </w:r>
    </w:p>
    <w:p>
      <w:pPr>
        <w:pStyle w:val="ListBullet"/>
        <w:ind w:left="360"/>
      </w:pPr>
      <w:r>
        <w:rPr>
          <w:sz w:val="22"/>
        </w:rPr>
        <w:t>Adaptive Markets Hypothesis (AMH): o preço converge para o valor justo, mas a velocidade pode variar por fricções de mercado (custos de transação, restrições à venda a descoberto) ou comportamento irracional (noise trader).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122"/>
            <w:shd w:fill="1A5276" w:val="clear"/>
          </w:tcPr>
          <w:p>
            <w:r>
              <w:rPr>
                <w:b/>
                <w:color w:val="FFFFFF"/>
                <w:sz w:val="22"/>
              </w:rPr>
              <w:t>CONCEITOS-CHAVE DO MÓDULO 1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  <w:t>Definição:</w:t>
            </w:r>
            <w:r>
              <w:rPr>
                <w:sz w:val="20"/>
              </w:rPr>
              <w:t xml:space="preserve"> Valuation = conversão de projeção em valor.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  <w:t>Premissa DCF:</w:t>
            </w:r>
            <w:r>
              <w:rPr>
                <w:sz w:val="20"/>
              </w:rPr>
              <w:t xml:space="preserve"> Valor = capacidade de geração de caixa futuro.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  <w:t>HME semi-forte:</w:t>
            </w:r>
            <w:r>
              <w:rPr>
                <w:sz w:val="20"/>
              </w:rPr>
              <w:t xml:space="preserve"> Informação pública → preço imediatamente.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  <w:t>Objetivo do analista:</w:t>
            </w:r>
            <w:r>
              <w:rPr>
                <w:sz w:val="20"/>
              </w:rPr>
              <w:t xml:space="preserve"> Gerar alfa: identificar o desvio entre preço e valor.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  <w:t>Citação de Damodaran:</w:t>
            </w:r>
            <w:r>
              <w:rPr>
                <w:sz w:val="20"/>
              </w:rPr>
              <w:t xml:space="preserve"> "I would buy any company at the right price."</w:t>
            </w:r>
          </w:p>
        </w:tc>
      </w:tr>
    </w:tbl>
    <w:p/>
    <w:p>
      <w:pPr>
        <w:pStyle w:val="Heading2"/>
        <w:jc w:val="left"/>
      </w:pPr>
      <w:r>
        <w:rPr>
          <w:b/>
          <w:color w:val="7D6BE8"/>
        </w:rPr>
        <w:t>Autoavaliação — Módulo 1</w:t>
      </w:r>
    </w:p>
    <w:p>
      <w:pPr>
        <w:pStyle w:val="ListBullet"/>
        <w:ind w:left="360"/>
      </w:pPr>
      <w:r>
        <w:rPr>
          <w:sz w:val="22"/>
        </w:rPr>
        <w:t>Qual a diferença entre preço e valor de um ativo?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O que é HME em sua forma semi-forte? E a AMH?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Por que 'gerar alfa é mais difícil do que ganhar as Olimpíadas'?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Quais as três perguntas centrais do DCF?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r>
        <w:br w:type="page"/>
      </w:r>
    </w:p>
    <w:p>
      <w:pPr>
        <w:pStyle w:val="Heading1"/>
        <w:jc w:val="left"/>
      </w:pPr>
      <w:r>
        <w:rPr>
          <w:b/>
          <w:color w:val="1A5376"/>
        </w:rPr>
        <w:t>MÓDULO 2 — FLUXO DE CAIXA LIVRE PARA A FIRMA (FCFF)</w:t>
      </w:r>
    </w:p>
    <w:p>
      <w:r>
        <w:rPr>
          <w:b w:val="0"/>
          <w:i/>
          <w:color w:val="555555"/>
          <w:sz w:val="22"/>
        </w:rPr>
        <w:t>Aulas de referência: Aulas 2–4</w:t>
      </w:r>
    </w:p>
    <w:p/>
    <w:p>
      <w:pPr>
        <w:pStyle w:val="Heading2"/>
        <w:jc w:val="left"/>
      </w:pPr>
      <w:r>
        <w:rPr>
          <w:b/>
          <w:color w:val="218ABE"/>
        </w:rPr>
        <w:t>2.1 Três Perguntas do DCF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5276" w:val="clear"/>
          </w:tcPr>
          <w:p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type="dxa" w:w="4561"/>
            <w:shd w:fill="1A5276" w:val="clear"/>
          </w:tcPr>
          <w:p>
            <w:r>
              <w:rPr>
                <w:b/>
                <w:color w:val="FFFFFF"/>
                <w:sz w:val="20"/>
              </w:rPr>
              <w:t>Questão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Pergunta 1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Qual o montante líquido de caixa gerado pelas atividades operacionais e como se distribui no tempo?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Pergunta 2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Qual deve ser a taxa de desconto?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Pergunta 3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Qual é o horizonte de análise (valor terminal)?</w:t>
            </w:r>
          </w:p>
        </w:tc>
      </w:tr>
    </w:tbl>
    <w:p/>
    <w:p>
      <w:pPr>
        <w:pStyle w:val="Heading2"/>
        <w:jc w:val="left"/>
      </w:pPr>
      <w:r>
        <w:rPr>
          <w:b/>
          <w:color w:val="218ABE"/>
        </w:rPr>
        <w:t>2.2 Cálculo do FCFF Atual (Pergunta 1.a)</w:t>
      </w:r>
    </w:p>
    <w:p>
      <w:r>
        <w:rPr>
          <w:b/>
          <w:color w:val="444444"/>
          <w:sz w:val="20"/>
        </w:rPr>
        <w:t xml:space="preserve">  Fórmula do FCFF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EBIT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(+)  Depreciação e Amortização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( =) EBITDA  [Resolução CVM 156/2022]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(+/-) Ajustes não recorrentes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( =) EBITDA Ajustado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( -) IR/CSLL estimado sobre o EBIT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( -) CAPEX (investimento em capital fixo)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( -) Variação da NCG (capital de giro não monetário)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═════════════════════════════════════════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( =) FCFF  em t</w:t>
      </w:r>
    </w:p>
    <w:p/>
    <w:p>
      <w:pPr>
        <w:pStyle w:val="Heading2"/>
        <w:jc w:val="left"/>
      </w:pPr>
      <w:r>
        <w:rPr>
          <w:b/>
          <w:color w:val="218ABE"/>
        </w:rPr>
        <w:t>2.3 CAPEX vs. OPEX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5276" w:val="clear"/>
          </w:tcPr>
          <w:p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561"/>
            <w:shd w:fill="1A5276" w:val="clear"/>
          </w:tcPr>
          <w:p>
            <w:r>
              <w:rPr>
                <w:b/>
                <w:color w:val="FFFFFF"/>
                <w:sz w:val="20"/>
              </w:rPr>
              <w:t>Característica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CAPEX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Investimento que: (i) gera receita adicional; e/ou (ii) aumenta vida útil de ativo; e/ou (iii) expande capacidade. Concentrado no tempo. Parte custeada com capital de terceiros.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OPEX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Gasto do dia a dia (ex.: manutenção, salários operacionais). Já contemplado no EBIT. Mais frequente e recorrente.</w:t>
            </w:r>
          </w:p>
        </w:tc>
      </w:tr>
    </w:tbl>
    <w:p/>
    <w:p>
      <w:pPr>
        <w:pStyle w:val="Heading2"/>
        <w:jc w:val="left"/>
      </w:pPr>
      <w:r>
        <w:rPr>
          <w:b/>
          <w:color w:val="218ABE"/>
        </w:rPr>
        <w:t>2.4 Necessidade de Capital de Giro (NCG)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NCG = Estoques + Contas a Receber – Fornecedores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Ciclo Financeiro = PME + PMR – PMP   (em dias de receita de vendas)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PME = Prazo Médio de Estoques     → quanto menor, melhor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PMR = Prazo Médio de Recebimento  → quanto menor, melhor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PMP = Prazo Médio de Pagamento    → quanto maior, melhor</w:t>
      </w:r>
    </w:p>
    <w:p/>
    <w:p>
      <w:pPr>
        <w:pStyle w:val="Heading2"/>
        <w:jc w:val="left"/>
      </w:pPr>
      <w:r>
        <w:rPr>
          <w:b/>
          <w:color w:val="218ABE"/>
        </w:rPr>
        <w:t>2.5 FCFF Atual como Base para Extrapolação (Pergunta 1.b)</w:t>
      </w:r>
    </w:p>
    <w:p>
      <w:pPr>
        <w:pStyle w:val="ListBullet"/>
        <w:ind w:left="360"/>
      </w:pPr>
      <w:r>
        <w:rPr>
          <w:sz w:val="22"/>
        </w:rPr>
        <w:t>Verifique se há itens não recorrentes distorcendo o FCFF corrente.</w:t>
      </w:r>
    </w:p>
    <w:p>
      <w:pPr>
        <w:pStyle w:val="ListBullet"/>
        <w:ind w:left="360"/>
      </w:pPr>
      <w:r>
        <w:rPr>
          <w:sz w:val="22"/>
        </w:rPr>
        <w:t>Avalie se o CAPEX do período é representativo ou pontual.</w:t>
      </w:r>
    </w:p>
    <w:p>
      <w:pPr>
        <w:pStyle w:val="ListBullet"/>
        <w:ind w:left="360"/>
      </w:pPr>
      <w:r>
        <w:rPr>
          <w:sz w:val="22"/>
        </w:rPr>
        <w:t>Analise se a margem EBIT reflete condições normais de mercado.</w:t>
      </w:r>
    </w:p>
    <w:p/>
    <w:p>
      <w:pPr>
        <w:pStyle w:val="Heading2"/>
        <w:jc w:val="left"/>
      </w:pPr>
      <w:r>
        <w:rPr>
          <w:b/>
          <w:color w:val="218ABE"/>
        </w:rPr>
        <w:t>2.6 Taxa de Crescimento Esperada do FCFF (Pergunta 1.c)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g (crescimento) = ROIC × (CAPEX Líquido + ΔNCG) / NOPAT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     ou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g (crescimento) = Lucro Retido × ROE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⚠  Atenção: g de longo prazo não deve superar o PIB Potencial ± ajustes de eficiência.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122"/>
            <w:shd w:fill="117A65" w:val="clear"/>
          </w:tcPr>
          <w:p>
            <w:r>
              <w:rPr>
                <w:b/>
                <w:color w:val="FFFFFF"/>
                <w:sz w:val="22"/>
              </w:rPr>
              <w:t>EXEMPLO RESOLVIDO — FCFF da Empresa XYZ (Polímeros)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  <w:t>Dados:</w:t>
            </w:r>
            <w:r>
              <w:rPr>
                <w:sz w:val="20"/>
              </w:rPr>
              <w:t>EBIT = R$ 20 MM | Depreciação = R$ 1,5 MM | IR sobre EBIT = R$ 6,8 MM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</w:r>
            <w:r>
              <w:rPr>
                <w:sz w:val="20"/>
              </w:rPr>
              <w:t>Receita não recorrente = R$ 5,2 MM | ΔNCG = R$ 1 MM | CAPEX = R$ 2 MM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  <w:t>FCFF 2025:</w:t>
            </w:r>
            <w:r>
              <w:rPr>
                <w:sz w:val="20"/>
              </w:rPr>
              <w:t>20,0 + 1,5 – 5,2 – 6,8 – 1,0 – 2,0 = R$ 6,5 MM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  <w:t>FCFF 2026:</w:t>
            </w:r>
            <w:r>
              <w:rPr>
                <w:sz w:val="20"/>
              </w:rPr>
              <w:t>R$ 6,5 MM × 1,02 = R$ 6,63 MM (crescimento real de 2%)</w:t>
            </w:r>
          </w:p>
        </w:tc>
      </w:tr>
    </w:tbl>
    <w:p/>
    <w:p>
      <w:pPr>
        <w:pStyle w:val="Heading2"/>
        <w:jc w:val="left"/>
      </w:pPr>
      <w:r>
        <w:rPr>
          <w:b/>
          <w:color w:val="7D6BE8"/>
        </w:rPr>
        <w:t>Autoavaliação — Módulo 2</w:t>
      </w:r>
    </w:p>
    <w:p>
      <w:pPr>
        <w:pStyle w:val="ListBullet"/>
        <w:ind w:left="360"/>
      </w:pPr>
      <w:r>
        <w:rPr>
          <w:sz w:val="22"/>
        </w:rPr>
        <w:t>Qual a diferença entre EBITDA e FCFF?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Por que subtraímos CAPEX e ΔNCG no cálculo do FCFF?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Por que adicionamos depreciação de volta ao EBIT?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Como itens não recorrentes afetam a extrapolação do FCFF?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Qual o risco de projetar g (crescimento) acima do PIB potencial de longo prazo?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r>
        <w:br w:type="page"/>
      </w:r>
    </w:p>
    <w:p>
      <w:pPr>
        <w:pStyle w:val="Heading1"/>
        <w:jc w:val="left"/>
      </w:pPr>
      <w:r>
        <w:rPr>
          <w:b/>
          <w:color w:val="1A5376"/>
        </w:rPr>
        <w:t>MÓDULO 3 — TAXA DE DESCONTO: WACC</w:t>
      </w:r>
    </w:p>
    <w:p>
      <w:r>
        <w:rPr>
          <w:b w:val="0"/>
          <w:i/>
          <w:color w:val="555555"/>
          <w:sz w:val="22"/>
        </w:rPr>
        <w:t>Aulas de referência: Aulas 2–4</w:t>
      </w:r>
    </w:p>
    <w:p/>
    <w:p>
      <w:pPr>
        <w:pStyle w:val="Heading2"/>
        <w:jc w:val="left"/>
      </w:pPr>
      <w:r>
        <w:rPr>
          <w:b/>
          <w:color w:val="218ABE"/>
        </w:rPr>
        <w:t>3.1 Custo de Capital Próprio (Ke) — CAPM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Ke  =  Rf  +  βi × (Rm – Rf)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Rf   = Taxa livre de risco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βi   = Beta da empresa i  (risco relativo ao mercado)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Rm–Rf = Prêmio de risco de mercado (ERP)</w:t>
      </w:r>
    </w:p>
    <w:p/>
    <w:p>
      <w:pPr>
        <w:pStyle w:val="Heading2"/>
        <w:jc w:val="left"/>
      </w:pPr>
      <w:r>
        <w:rPr>
          <w:b/>
          <w:color w:val="218ABE"/>
        </w:rPr>
        <w:t>3.2 Taxa Livre de Risco (Rf)</w:t>
      </w:r>
    </w:p>
    <w:p>
      <w:pPr>
        <w:pStyle w:val="ListBullet"/>
        <w:ind w:left="360"/>
      </w:pPr>
      <w:r>
        <w:rPr>
          <w:sz w:val="22"/>
        </w:rPr>
        <w:t>Requisitos: sem risco de default, sem risco de reinvestimento, duration compatível com o horizonte da análise.</w:t>
      </w:r>
    </w:p>
    <w:p>
      <w:pPr>
        <w:pStyle w:val="ListBullet"/>
        <w:ind w:left="360"/>
      </w:pPr>
      <w:r>
        <w:rPr>
          <w:sz w:val="22"/>
        </w:rPr>
        <w:t>Sugestão do professor: NTN-B Principal com vencimento próximo a 10 anos (taxa real). Já embute risco-país (Brasil).</w:t>
      </w:r>
    </w:p>
    <w:p>
      <w:pPr>
        <w:pStyle w:val="ListBullet"/>
        <w:ind w:left="360"/>
      </w:pPr>
      <w:r>
        <w:rPr>
          <w:sz w:val="22"/>
        </w:rPr>
        <w:t>Em valuation real: Ke = Rf [NTN-B 10a] + βi × 5,5% a.a.</w:t>
      </w:r>
    </w:p>
    <w:p/>
    <w:p>
      <w:pPr>
        <w:pStyle w:val="Heading2"/>
        <w:jc w:val="left"/>
      </w:pPr>
      <w:r>
        <w:rPr>
          <w:b/>
          <w:color w:val="218ABE"/>
        </w:rPr>
        <w:t>3.3 Prêmio de Risco de Mercado (ERP)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5276" w:val="clear"/>
          </w:tcPr>
          <w:p>
            <w:r>
              <w:rPr>
                <w:b/>
                <w:color w:val="FFFFFF"/>
                <w:sz w:val="20"/>
              </w:rPr>
              <w:t>Abordagem</w:t>
            </w:r>
          </w:p>
        </w:tc>
        <w:tc>
          <w:tcPr>
            <w:tcW w:type="dxa" w:w="4561"/>
            <w:shd w:fill="1A5276" w:val="clear"/>
          </w:tcPr>
          <w:p>
            <w:r>
              <w:rPr>
                <w:b/>
                <w:color w:val="FFFFFF"/>
                <w:sz w:val="20"/>
              </w:rPr>
              <w:t>Detalhamento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ERP Brasil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Instável: varia com o horizonte; média geométrica do Ibovespa vs. SELIC sugere prêmio baixo em vários períodos.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ERP USA (S&amp;P500)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Média geométrica de Stocks − T.Bonds (1928–2024) ≈ 5,44%. Sugestão do professor: 5,5% a.a.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CAPM Global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Ke = Rf[EUA] + Beta × (ERP[EUA] + Risco-País[BR]) + (INF_BR − INF_EUA). Avaliação em termos nominais.</w:t>
            </w:r>
          </w:p>
        </w:tc>
      </w:tr>
    </w:tbl>
    <w:p/>
    <w:p>
      <w:pPr>
        <w:pStyle w:val="Heading2"/>
        <w:jc w:val="left"/>
      </w:pPr>
      <w:r>
        <w:rPr>
          <w:b/>
          <w:color w:val="218ABE"/>
        </w:rPr>
        <w:t>3.4 Beta (β)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β  =  Cov(Ri, Rm) / σ²m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β &lt; 1 → ativo menos volátil que o mercado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β &gt; 1 → ativo mais volátil que o mercado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Bottom-Up Beta: β setorial desalavancado → realavancado pela estrutura da empresa.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β_alavancado = β_desalavancado × [1 + (1 − t) × (D/E)]</w:t>
      </w:r>
    </w:p>
    <w:p/>
    <w:p>
      <w:pPr>
        <w:pStyle w:val="Heading2"/>
        <w:jc w:val="left"/>
      </w:pPr>
      <w:r>
        <w:rPr>
          <w:b/>
          <w:color w:val="218ABE"/>
        </w:rPr>
        <w:t>3.5 Custo de Capital de Terceiros (Kd)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Kd = Rf + SOT   (spread over treasury)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Custo Líquido de IR:  Kd × (1 − alíquota IR/CSLL)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→ Juros são dedutíveis da base de cálculo do IR, gerando benefício fiscal.</w:t>
      </w:r>
    </w:p>
    <w:p/>
    <w:p>
      <w:pPr>
        <w:pStyle w:val="Heading2"/>
        <w:jc w:val="left"/>
      </w:pPr>
      <w:r>
        <w:rPr>
          <w:b/>
          <w:color w:val="218ABE"/>
        </w:rPr>
        <w:t>3.6 WACC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WACC = [E/(D+E)] × Ke  +  [D/(D+E)] × Kd × (1 − t)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E = Valor de mercado do capital próprio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D = Valor de mercado da dívida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t = Alíquota marginal de IR/CSLL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Use pesos a valor de mercado (não contábeis).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122"/>
            <w:shd w:fill="117A65" w:val="clear"/>
          </w:tcPr>
          <w:p>
            <w:r>
              <w:rPr>
                <w:b/>
                <w:color w:val="FFFFFF"/>
                <w:sz w:val="22"/>
              </w:rPr>
              <w:t>EXEMPLO RESOLVIDO — Ke para Orizon (ORVR3) e Azul (AZUL4)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  <w:t>Data:</w:t>
            </w:r>
            <w:r>
              <w:rPr>
                <w:sz w:val="20"/>
              </w:rPr>
              <w:t>22/10/2025 | NTN-B 2035 = 7,66% a.a. | ERP = 5,5% a.a.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  <w:t>Orizon:</w:t>
            </w:r>
            <w:r>
              <w:rPr>
                <w:sz w:val="20"/>
              </w:rPr>
              <w:t>β = 0,21  →  Ke = 7,66 + 0,21 × 5,5 = 8,82% a.a.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  <w:t>Azul:</w:t>
            </w:r>
            <w:r>
              <w:rPr>
                <w:sz w:val="20"/>
              </w:rPr>
              <w:t>β = 1,73  →  Ke = 7,66 + 1,73 × 5,5 = 17,18% a.a.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  <w:t>Interpretação:</w:t>
            </w:r>
            <w:r>
              <w:rPr>
                <w:sz w:val="20"/>
              </w:rPr>
              <w:t>Azul tem maior risco sistemático (setor aéreo vs. gestão de resíduos), exigindo maior retorno.</w:t>
            </w:r>
          </w:p>
        </w:tc>
      </w:tr>
    </w:tbl>
    <w:p/>
    <w:p>
      <w:pPr>
        <w:pStyle w:val="Heading2"/>
        <w:jc w:val="left"/>
      </w:pPr>
      <w:r>
        <w:rPr>
          <w:b/>
          <w:color w:val="7D6BE8"/>
        </w:rPr>
        <w:t>Autoavaliação — Módulo 3</w:t>
      </w:r>
    </w:p>
    <w:p>
      <w:pPr>
        <w:pStyle w:val="ListBullet"/>
        <w:ind w:left="360"/>
      </w:pPr>
      <w:r>
        <w:rPr>
          <w:sz w:val="22"/>
        </w:rPr>
        <w:t>Por que o Ke não é diretamente observável?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Por que o Kd é mais barato que o Ke (em geral)?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O que acontece com o WACC se a empresa aumenta sua alavancagem financeira?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Por que usar a NTN-B e não a SELIC como taxa livre de risco em termos reais?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O que é um 'bottom-up beta' e quando utilizá-lo?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r>
        <w:br w:type="page"/>
      </w:r>
    </w:p>
    <w:p>
      <w:pPr>
        <w:pStyle w:val="Heading1"/>
        <w:jc w:val="left"/>
      </w:pPr>
      <w:r>
        <w:rPr>
          <w:b/>
          <w:color w:val="1A5376"/>
        </w:rPr>
        <w:t>MÓDULO 4 — AJUSTES CONTÁBEIS RELEVANTES PARA O VALUATION</w:t>
      </w:r>
    </w:p>
    <w:p>
      <w:r>
        <w:rPr>
          <w:b w:val="0"/>
          <w:i/>
          <w:color w:val="555555"/>
          <w:sz w:val="22"/>
        </w:rPr>
        <w:t>Aulas de referência: Aulas 5–6</w:t>
      </w:r>
    </w:p>
    <w:p/>
    <w:p>
      <w:r>
        <w:rPr>
          <w:b w:val="0"/>
          <w:i/>
          <w:sz w:val="22"/>
        </w:rPr>
        <w:t>Estes itens são os 'Usual Suspects' — afetam (ou parecem afetar) o FCFF, mas sua influência real exige análise cuidadosa.</w:t>
      </w:r>
    </w:p>
    <w:p/>
    <w:p>
      <w:pPr>
        <w:pStyle w:val="Heading2"/>
        <w:jc w:val="left"/>
      </w:pPr>
      <w:r>
        <w:rPr>
          <w:b/>
          <w:color w:val="218ABE"/>
        </w:rPr>
        <w:t>4.1 Impairment (Perda por Desvalorização)</w:t>
      </w:r>
    </w:p>
    <w:p>
      <w:pPr>
        <w:pStyle w:val="ListBullet"/>
        <w:ind w:left="360"/>
      </w:pPr>
      <w:r>
        <w:rPr>
          <w:sz w:val="22"/>
        </w:rPr>
        <w:t>Conceito: quando Valor Contábil &gt; Valor Recuperável, reconhece-se perda no resultado.</w:t>
      </w:r>
    </w:p>
    <w:p>
      <w:pPr>
        <w:pStyle w:val="ListBullet"/>
        <w:ind w:left="360"/>
      </w:pPr>
      <w:r>
        <w:rPr>
          <w:sz w:val="22"/>
        </w:rPr>
        <w:t>Valor Recuperável = max(Valor Justo Líquido, Valor em Uso).</w:t>
      </w:r>
    </w:p>
    <w:p>
      <w:pPr>
        <w:pStyle w:val="ListBullet"/>
        <w:ind w:left="360"/>
      </w:pPr>
      <w:r>
        <w:rPr>
          <w:sz w:val="22"/>
        </w:rPr>
        <w:t>Efeito sobre o FCFF: em si, NÃO afeta o caixa (despesa sem efeito caixa). Deve ser adicionado de volta, como a depreciação.</w:t>
      </w:r>
    </w:p>
    <w:p>
      <w:pPr>
        <w:pStyle w:val="ListBullet"/>
        <w:ind w:left="360"/>
      </w:pPr>
      <w:r>
        <w:rPr>
          <w:sz w:val="22"/>
        </w:rPr>
        <w:t>Mas atenção: a reação do mercado ao impairment costuma ser negativa — o mercado entende que os fluxos futuros serão menores.</w:t>
      </w:r>
    </w:p>
    <w:p>
      <w:pPr>
        <w:pStyle w:val="ListBullet"/>
        <w:ind w:left="360"/>
      </w:pPr>
      <w:r>
        <w:rPr>
          <w:sz w:val="22"/>
        </w:rPr>
        <w:t>Pergunta-chave: seus inputs de valuation já refletiam a redução de benefício do ativo impaired?</w:t>
      </w:r>
    </w:p>
    <w:p>
      <w:r>
        <w:rPr>
          <w:b/>
          <w:i w:val="0"/>
          <w:sz w:val="22"/>
        </w:rPr>
        <w:t>Casos discutidos em aula:</w:t>
      </w:r>
    </w:p>
    <w:p>
      <w:pPr>
        <w:pStyle w:val="ListBullet"/>
        <w:ind w:left="720"/>
      </w:pPr>
      <w:r>
        <w:rPr>
          <w:sz w:val="22"/>
        </w:rPr>
        <w:t>Petrobras (2015–2017): R$ 44,6 bi em impairment (Comperj R$ 21,8 bi).</w:t>
      </w:r>
    </w:p>
    <w:p>
      <w:pPr>
        <w:pStyle w:val="ListBullet"/>
        <w:ind w:left="720"/>
      </w:pPr>
      <w:r>
        <w:rPr>
          <w:sz w:val="22"/>
        </w:rPr>
        <w:t>Grupo Soma / Hering: impairment do ágio por lei tributária (Lei nº 14.789/23).</w:t>
      </w:r>
    </w:p>
    <w:p/>
    <w:p>
      <w:pPr>
        <w:pStyle w:val="Heading2"/>
        <w:jc w:val="left"/>
      </w:pPr>
      <w:r>
        <w:rPr>
          <w:b/>
          <w:color w:val="218ABE"/>
        </w:rPr>
        <w:t>4.2 Provisões (Contingências Passivas)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5276" w:val="clear"/>
          </w:tcPr>
          <w:p>
            <w:r>
              <w:rPr>
                <w:b/>
                <w:color w:val="FFFFFF"/>
                <w:sz w:val="20"/>
              </w:rPr>
              <w:t>Classificação</w:t>
            </w:r>
          </w:p>
        </w:tc>
        <w:tc>
          <w:tcPr>
            <w:tcW w:type="dxa" w:w="4561"/>
            <w:shd w:fill="1A5276" w:val="clear"/>
          </w:tcPr>
          <w:p>
            <w:r>
              <w:rPr>
                <w:b/>
                <w:color w:val="FFFFFF"/>
                <w:sz w:val="20"/>
              </w:rPr>
              <w:t>Tratamento Contábil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Provável + mensurável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Provisionar no balanço (best estimate)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Provável + não mensurável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Divulgar em notas explicativas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Possível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Divulgar em notas explicativas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Remota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Não divulgar</w:t>
            </w:r>
          </w:p>
        </w:tc>
      </w:tr>
    </w:tbl>
    <w:p/>
    <w:p>
      <w:pPr>
        <w:pStyle w:val="ListBullet"/>
        <w:ind w:left="360"/>
      </w:pPr>
      <w:r>
        <w:rPr>
          <w:sz w:val="22"/>
        </w:rPr>
        <w:t>Relevância para valuation: contingências podem representar saídas futuras de caixa não capturadas no FCFF projetado.</w:t>
      </w:r>
    </w:p>
    <w:p>
      <w:pPr>
        <w:pStyle w:val="ListBullet"/>
        <w:ind w:left="360"/>
      </w:pPr>
      <w:r>
        <w:rPr>
          <w:sz w:val="22"/>
        </w:rPr>
        <w:t>Mecanismos em M&amp;A: Escrow Account e Earn-Out.</w:t>
      </w:r>
    </w:p>
    <w:p>
      <w:pPr>
        <w:pStyle w:val="ListBullet"/>
        <w:ind w:left="360"/>
      </w:pPr>
      <w:r>
        <w:rPr>
          <w:sz w:val="22"/>
        </w:rPr>
        <w:t>Earn-Out: pagamento futuro ao vendedor condicionado ao atingimento de metas de desempenho da empresa adquirida. Soluciona divergências de expectativas.</w:t>
      </w:r>
    </w:p>
    <w:p/>
    <w:p>
      <w:pPr>
        <w:pStyle w:val="Heading2"/>
        <w:jc w:val="left"/>
      </w:pPr>
      <w:r>
        <w:rPr>
          <w:b/>
          <w:color w:val="218ABE"/>
        </w:rPr>
        <w:t>4.3 Ágio por Expectativa de Rentabilidade Futura (Goodwill)</w:t>
      </w:r>
    </w:p>
    <w:p>
      <w:pPr>
        <w:pStyle w:val="ListBullet"/>
        <w:ind w:left="360"/>
      </w:pPr>
      <w:r>
        <w:rPr>
          <w:sz w:val="22"/>
        </w:rPr>
        <w:t>Surge em combinações de negócios: diferença entre o valor pago e o valor justo dos ativos líquidos adquiridos.</w:t>
      </w:r>
    </w:p>
    <w:p>
      <w:pPr>
        <w:pStyle w:val="ListBullet"/>
        <w:ind w:left="360"/>
      </w:pPr>
      <w:r>
        <w:rPr>
          <w:sz w:val="22"/>
        </w:rPr>
        <w:t>Representa a estimativa de sinergias (redução de custo, ganho de mercado, etc.) em t₀.</w:t>
      </w:r>
    </w:p>
    <w:p>
      <w:pPr>
        <w:pStyle w:val="ListBullet"/>
        <w:ind w:left="360"/>
      </w:pPr>
      <w:r>
        <w:rPr>
          <w:sz w:val="22"/>
        </w:rPr>
        <w:t>Para valuation: analise se o ágio é razoável — pode precisar ser ajustado para cima ou para baixo dependendo de sua análise de sinergias.</w:t>
      </w:r>
    </w:p>
    <w:p/>
    <w:p>
      <w:pPr>
        <w:pStyle w:val="Heading2"/>
        <w:jc w:val="left"/>
      </w:pPr>
      <w:r>
        <w:rPr>
          <w:b/>
          <w:color w:val="218ABE"/>
        </w:rPr>
        <w:t>4.4 ARO — Obrigação para Desmobilização de Ativos</w:t>
      </w:r>
    </w:p>
    <w:p>
      <w:pPr>
        <w:pStyle w:val="ListBullet"/>
        <w:ind w:left="360"/>
      </w:pPr>
      <w:r>
        <w:rPr>
          <w:sz w:val="22"/>
        </w:rPr>
        <w:t>Quando o custo de retirada de serviço do bem é significativo e obrigatório, contabiliza-se o VP desse custo como ativo e provisão como passivo.</w:t>
      </w:r>
    </w:p>
    <w:p>
      <w:pPr>
        <w:pStyle w:val="ListBullet"/>
        <w:ind w:left="360"/>
      </w:pPr>
      <w:r>
        <w:rPr>
          <w:sz w:val="22"/>
        </w:rPr>
        <w:t>O custo capitalizado é depreciado ao longo da vida útil do ativo.</w:t>
      </w:r>
    </w:p>
    <w:p>
      <w:pPr>
        <w:pStyle w:val="ListBullet"/>
        <w:ind w:left="360"/>
      </w:pPr>
      <w:r>
        <w:rPr>
          <w:sz w:val="22"/>
        </w:rPr>
        <w:t>Para valuation: verifique se a ARO está sub ou superestimada. Caso de estudo: balanço da Vale antes e depois de Brumadinho (2018–2019).</w:t>
      </w:r>
    </w:p>
    <w:p/>
    <w:p>
      <w:pPr>
        <w:pStyle w:val="Heading2"/>
        <w:jc w:val="left"/>
      </w:pPr>
      <w:r>
        <w:rPr>
          <w:b/>
          <w:color w:val="218ABE"/>
        </w:rPr>
        <w:t>4.5 Método POC (Percentage of Completion)</w:t>
      </w:r>
    </w:p>
    <w:p>
      <w:pPr>
        <w:pStyle w:val="ListBullet"/>
        <w:ind w:left="360"/>
      </w:pPr>
      <w:r>
        <w:rPr>
          <w:sz w:val="22"/>
        </w:rPr>
        <w:t>Reconhecimento de receita ao longo do tempo, proporcional ao avanço físico da obra/serviço.</w:t>
      </w:r>
    </w:p>
    <w:p>
      <w:pPr>
        <w:pStyle w:val="ListBullet"/>
        <w:ind w:left="360"/>
      </w:pPr>
      <w:r>
        <w:rPr>
          <w:sz w:val="22"/>
        </w:rPr>
        <w:t>Aplicável somente se há transferência progressiva de controle ao cliente (IFRS 15 / CPC 47).</w:t>
      </w:r>
    </w:p>
    <w:p>
      <w:pPr>
        <w:pStyle w:val="ListBullet"/>
        <w:ind w:left="360"/>
      </w:pPr>
      <w:r>
        <w:rPr>
          <w:sz w:val="22"/>
        </w:rPr>
        <w:t>Setor imobiliário: IASB esclareceu que o POC em geral NÃO é aderente ao IFRS 15 para incorporadoras residenciais no Brasil — receita deve ser reconhecida na entrega das chaves.</w:t>
      </w:r>
    </w:p>
    <w:p>
      <w:pPr>
        <w:pStyle w:val="ListBullet"/>
        <w:ind w:left="360"/>
      </w:pPr>
      <w:r>
        <w:rPr>
          <w:sz w:val="22"/>
        </w:rPr>
        <w:t>Para valuation: cuidado com o timing do reconhecimento de receita; pode haver descolamento entre receita contábil e caixa recebido.</w:t>
      </w:r>
    </w:p>
    <w:p/>
    <w:p>
      <w:pPr>
        <w:pStyle w:val="Heading2"/>
        <w:jc w:val="left"/>
      </w:pPr>
      <w:r>
        <w:rPr>
          <w:b/>
          <w:color w:val="218ABE"/>
        </w:rPr>
        <w:t>4.6 Hedge Accounting</w:t>
      </w:r>
    </w:p>
    <w:p>
      <w:pPr>
        <w:pStyle w:val="ListBullet"/>
        <w:ind w:left="360"/>
      </w:pPr>
      <w:r>
        <w:rPr>
          <w:sz w:val="22"/>
        </w:rPr>
        <w:t>Permite diferir no patrimônio as variações de valor de instrumentos de hedge, reconhecendo-as apenas quando o item objeto é reconhecido no resultado.</w:t>
      </w:r>
    </w:p>
    <w:p>
      <w:pPr>
        <w:pStyle w:val="ListBullet"/>
        <w:ind w:left="360"/>
      </w:pPr>
      <w:r>
        <w:rPr>
          <w:sz w:val="22"/>
        </w:rPr>
        <w:t>Caso Petrobras (2013–2015): área técnica da CVM entendeu que o hedge accounting foi usado para diferir perdas cambiais, desvirtuando a essência econômica. O Colegiado aceitou o recurso da empresa.</w:t>
      </w:r>
    </w:p>
    <w:p>
      <w:pPr>
        <w:pStyle w:val="ListBullet"/>
        <w:ind w:left="360"/>
      </w:pPr>
      <w:r>
        <w:rPr>
          <w:sz w:val="22"/>
        </w:rPr>
        <w:t>Para valuation: identifique se o hedge accounting está mascarando perdas ou ganhos relevantes na DRE.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122"/>
            <w:shd w:fill="76448A" w:val="clear"/>
          </w:tcPr>
          <w:p>
            <w:r>
              <w:rPr>
                <w:b/>
                <w:color w:val="FFFFFF"/>
                <w:sz w:val="22"/>
              </w:rPr>
              <w:t>RESUMO — IMPACTO DOS 'USUAL SUSPECTS' NO FCFF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  <w:t>Impairment:</w:t>
            </w:r>
            <w:r>
              <w:rPr>
                <w:sz w:val="20"/>
              </w:rPr>
              <w:t>Sem efeito caixa direto. Adicionar de volta. Mas revise suas premissas de fluxo futuro.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  <w:t>Provisões:</w:t>
            </w:r>
            <w:r>
              <w:rPr>
                <w:sz w:val="20"/>
              </w:rPr>
              <w:t>Sem efeito caixa direto quando constituídas. O caixa sai apenas no pagamento.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  <w:t>ARO:</w:t>
            </w:r>
            <w:r>
              <w:rPr>
                <w:sz w:val="20"/>
              </w:rPr>
              <w:t>Custo capitalizado → depreciação aumenta EBITDA; pagamento futuro reduz caixa.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  <w:t>POC:</w:t>
            </w:r>
            <w:r>
              <w:rPr>
                <w:sz w:val="20"/>
              </w:rPr>
              <w:t>Receita pode antecipar ou diferir caixa → reconcilie sempre com o FCFF.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  <w:t>Hedge Acc.:</w:t>
            </w:r>
            <w:r>
              <w:rPr>
                <w:sz w:val="20"/>
              </w:rPr>
              <w:t>Pode distorcer DRE; analise o caixa efetivo da operação objeto.</w:t>
            </w:r>
          </w:p>
        </w:tc>
      </w:tr>
    </w:tbl>
    <w:p/>
    <w:p>
      <w:pPr>
        <w:pStyle w:val="Heading2"/>
        <w:jc w:val="left"/>
      </w:pPr>
      <w:r>
        <w:rPr>
          <w:b/>
          <w:color w:val="7D6BE8"/>
        </w:rPr>
        <w:t>Autoavaliação — Módulo 4</w:t>
      </w:r>
    </w:p>
    <w:p>
      <w:pPr>
        <w:pStyle w:val="ListBullet"/>
        <w:ind w:left="360"/>
      </w:pPr>
      <w:r>
        <w:rPr>
          <w:sz w:val="22"/>
        </w:rPr>
        <w:t>Por que o impairment não afeta o FCFF diretamente, mas afeta a percepção de valor?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Qual a diferença entre escrow account e earn-out?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Como uma ARO subestimada pode inflar artificialmente o valuation de uma empresa?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Em que condições o POC é permitido pelo IFRS 15?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Como identificar se o hedge accounting está sendo usado para diferir perdas?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r>
        <w:br w:type="page"/>
      </w:r>
    </w:p>
    <w:p>
      <w:pPr>
        <w:pStyle w:val="Heading1"/>
        <w:jc w:val="left"/>
      </w:pPr>
      <w:r>
        <w:rPr>
          <w:b/>
          <w:color w:val="1A5376"/>
        </w:rPr>
        <w:t>MÓDULO 5 — OPÇÕES REAIS E VALOR DA FLEXIBILIDADE</w:t>
      </w:r>
    </w:p>
    <w:p>
      <w:r>
        <w:rPr>
          <w:b w:val="0"/>
          <w:i/>
          <w:color w:val="555555"/>
          <w:sz w:val="22"/>
        </w:rPr>
        <w:t>Aulas de referência: Aulas 7–8</w:t>
      </w:r>
    </w:p>
    <w:p/>
    <w:p>
      <w:pPr>
        <w:pStyle w:val="Heading2"/>
        <w:jc w:val="left"/>
      </w:pPr>
      <w:r>
        <w:rPr>
          <w:b/>
          <w:color w:val="218ABE"/>
        </w:rPr>
        <w:t>5.1 Conceito e Motivação</w:t>
      </w:r>
    </w:p>
    <w:p>
      <w:r>
        <w:rPr>
          <w:b w:val="0"/>
          <w:i w:val="0"/>
          <w:sz w:val="22"/>
        </w:rPr>
        <w:t>O VPL tradicional ignora o valor das decisões gerenciais futuras (expandir, adiar, abandonar, mudar escala). As opções reais capturam esse valor de flexibilidade.</w:t>
      </w:r>
    </w:p>
    <w:p>
      <w:r>
        <w:rPr>
          <w:b w:val="0"/>
          <w:i w:val="0"/>
          <w:sz w:val="22"/>
        </w:rPr>
        <w:t>VPL Expandido = VPL Tradicional + Valor das Opções Reais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5276" w:val="clear"/>
          </w:tcPr>
          <w:p>
            <w:r>
              <w:rPr>
                <w:b/>
                <w:color w:val="FFFFFF"/>
                <w:sz w:val="20"/>
              </w:rPr>
              <w:t>Tipo de Opção Real</w:t>
            </w:r>
          </w:p>
        </w:tc>
        <w:tc>
          <w:tcPr>
            <w:tcW w:type="dxa" w:w="4561"/>
            <w:shd w:fill="1A5276" w:val="clear"/>
          </w:tcPr>
          <w:p>
            <w:r>
              <w:rPr>
                <w:b/>
                <w:color w:val="FFFFFF"/>
                <w:sz w:val="20"/>
              </w:rPr>
              <w:t>Descrição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Opção de Expansão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Direito de ampliar o projeto se condições forem favoráveis. Análoga a uma opção de COMPRA (call).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Opção de Abandono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Direito de encerrar o projeto e recuperar valor residual. Análoga a uma opção de VENDA (put).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Opção de Adiamento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Direito de postergar o início do investimento até obter mais informação.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Opção de Contração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Direito de reduzir escala se condições deteriorarem.</w:t>
            </w:r>
          </w:p>
        </w:tc>
      </w:tr>
    </w:tbl>
    <w:p/>
    <w:p>
      <w:pPr>
        <w:pStyle w:val="Heading2"/>
        <w:jc w:val="left"/>
      </w:pPr>
      <w:r>
        <w:rPr>
          <w:b/>
          <w:color w:val="218ABE"/>
        </w:rPr>
        <w:t>5.2 Árvore Binomial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Em cada período, o valor do ativo sobe (×u) ou cai (×d):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u = fator de subida  (ex.: calculado a partir da volatilidade σ)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d = fator de descida (d = 1/u → árvore recombinante)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Probabilidade Neutra ao Risco (q):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q  =  (1 + r – d) / (u – d)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r  =  taxa livre de risco por período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Valor do nó pai = [q × Valor_sobe + (1−q) × Valor_desce] / (1 + r)</w:t>
      </w:r>
    </w:p>
    <w:p/>
    <w:p>
      <w:pPr>
        <w:pStyle w:val="Heading2"/>
        <w:jc w:val="left"/>
      </w:pPr>
      <w:r>
        <w:rPr>
          <w:b/>
          <w:color w:val="218ABE"/>
        </w:rPr>
        <w:t>5.3 Por que Usar a Probabilidade Neutra ao Risco?</w:t>
      </w:r>
    </w:p>
    <w:p>
      <w:pPr>
        <w:pStyle w:val="ListBullet"/>
        <w:ind w:left="360"/>
      </w:pPr>
      <w:r>
        <w:rPr>
          <w:sz w:val="22"/>
        </w:rPr>
        <w:t>O risco da opção muda a cada nó (depende do tempo, do preço de exercício e da volatilidade). Usar o WACC como taxa de desconto não é adequado para opções.</w:t>
      </w:r>
    </w:p>
    <w:p>
      <w:pPr>
        <w:pStyle w:val="ListBullet"/>
        <w:ind w:left="360"/>
      </w:pPr>
      <w:r>
        <w:rPr>
          <w:sz w:val="22"/>
        </w:rPr>
        <w:t>A mudança da medida de probabilidade cria um mundo hipotético de neutralidade ao risco onde a taxa de desconto única é a taxa livre de risco.</w:t>
      </w:r>
    </w:p>
    <w:p>
      <w:pPr>
        <w:pStyle w:val="ListBullet"/>
        <w:ind w:left="360"/>
      </w:pPr>
      <w:r>
        <w:rPr>
          <w:sz w:val="22"/>
        </w:rPr>
        <w:t>Esse 'truque matemático' (Girsanov) mantém os mesmos preços de mercado, mas permite descontar à taxa livre de risco.</w:t>
      </w:r>
    </w:p>
    <w:p/>
    <w:p>
      <w:pPr>
        <w:pStyle w:val="Heading2"/>
        <w:jc w:val="left"/>
      </w:pPr>
      <w:r>
        <w:rPr>
          <w:b/>
          <w:color w:val="218ABE"/>
        </w:rPr>
        <w:t>5.4 Black-Scholes para Opções Reais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Opção de Expansão (call):  c = S₀·N(d₁) − K·e^(−rT)·N(d₂)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Opção de Abandono (put):   p = K·e^(−rT)·[1−N(d₂)] − S₀·[1−N(d₁)]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d₁ = [ln(S₀/K) + (r + σ²/2)·T] / (σ√T)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d₂ = d₁ − σ√T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S₀ = VP do fluxo de caixa do projeto (ex-CAPEX inicial)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K  = preço de exercício (custo do investimento futuro)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σ  = volatilidade (use proxy setorial se necessário)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r  = taxa livre de risco (contínuo)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T  = tempo até o vencimento (em anos)</w:t>
      </w:r>
    </w:p>
    <w:p/>
    <w:p>
      <w:pPr>
        <w:pStyle w:val="Heading2"/>
        <w:jc w:val="left"/>
      </w:pPr>
      <w:r>
        <w:rPr>
          <w:b/>
          <w:color w:val="218ABE"/>
        </w:rPr>
        <w:t>5.5 O que Afeta o Valor de uma Opção Real?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5276" w:val="clear"/>
          </w:tcPr>
          <w:p>
            <w:r>
              <w:rPr>
                <w:b/>
                <w:color w:val="FFFFFF"/>
                <w:sz w:val="20"/>
              </w:rPr>
              <w:t>Parâmetro</w:t>
            </w:r>
          </w:p>
        </w:tc>
        <w:tc>
          <w:tcPr>
            <w:tcW w:type="dxa" w:w="4561"/>
            <w:shd w:fill="1A5276" w:val="clear"/>
          </w:tcPr>
          <w:p>
            <w:r>
              <w:rPr>
                <w:b/>
                <w:color w:val="FFFFFF"/>
                <w:sz w:val="20"/>
              </w:rPr>
              <w:t>Efeito sobre o Valor da Opção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Preço do ativo objeto (S₀) ↑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Call ↑   |   Put ↓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Preço de exercício (K) ↑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Call ↓   |   Put ↑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Volatilidade (σ) ↑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Call ↑   |   Put ↑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Tempo até vencimento (T) ↑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Call ↑   |   Put ↑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Taxa de juros (r) ↑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Call ↑   |   Put ↓</w:t>
            </w:r>
          </w:p>
        </w:tc>
      </w:tr>
    </w:tbl>
    <w:p/>
    <w:p>
      <w:pPr>
        <w:pStyle w:val="Heading2"/>
        <w:jc w:val="left"/>
      </w:pPr>
      <w:r>
        <w:rPr>
          <w:b/>
          <w:color w:val="218ABE"/>
        </w:rPr>
        <w:t>5.6 Exemplos Setoriais</w:t>
      </w:r>
    </w:p>
    <w:p>
      <w:pPr>
        <w:pStyle w:val="ListBullet"/>
        <w:ind w:left="360"/>
      </w:pPr>
      <w:r>
        <w:rPr>
          <w:sz w:val="22"/>
        </w:rPr>
        <w:t>Indústria Cinematográfica: o primeiro filme é uma opção real de expansão — sequência só produzida se o primeiro for bem recebido. Preferência por franquias com menor incerteza de demanda.</w:t>
      </w:r>
    </w:p>
    <w:p>
      <w:pPr>
        <w:pStyle w:val="ListBullet"/>
        <w:ind w:left="360"/>
      </w:pPr>
      <w:r>
        <w:rPr>
          <w:sz w:val="22"/>
        </w:rPr>
        <w:t>Indústria Farmacêutica: cada fase de P&amp;D é análoga a uma opção de compra onde o custo atual é o prêmio e o custo de fases seguintes é o preço de exercício.</w:t>
      </w:r>
    </w:p>
    <w:p>
      <w:pPr>
        <w:pStyle w:val="ListBullet"/>
        <w:ind w:left="360"/>
      </w:pPr>
      <w:r>
        <w:rPr>
          <w:sz w:val="22"/>
        </w:rPr>
        <w:t>Construção: opção de abandono com valor residual de venda a concorrente.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8352"/>
      </w:tblGrid>
      <w:tr>
        <w:tc>
          <w:tcPr>
            <w:tcW w:type="dxa" w:w="9122"/>
            <w:shd w:fill="76448A" w:val="clear"/>
          </w:tcPr>
          <w:p>
            <w:r>
              <w:rPr>
                <w:b/>
                <w:color w:val="FFFFFF"/>
                <w:sz w:val="22"/>
              </w:rPr>
              <w:t>EXEMPLO RESOLVIDO — Opção de Abandono (Planta de Ração)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  <w:t>Dados:</w:t>
            </w:r>
            <w:r>
              <w:rPr>
                <w:sz w:val="20"/>
              </w:rPr>
              <w:t>u=1,5 | d=0,5 | rf=5% a.a. | CAPEX=$ 1.000 | Preço de Exercício Abandono=$ 700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  <w:t>Prob. neutra ao risco:</w:t>
            </w:r>
            <w:r>
              <w:rPr>
                <w:sz w:val="20"/>
              </w:rPr>
              <w:t>q = (1,05 − 0,5) / (1,5 − 0,5) = 0,55  (55%)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  <w:t>Valor sem opção (VPL A):</w:t>
            </w:r>
            <w:r>
              <w:rPr>
                <w:sz w:val="20"/>
              </w:rPr>
              <w:t>Descontado ao WACC=30%; VPL negativo.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  <w:t>Valor com opção (VPL B):</w:t>
            </w:r>
            <w:r>
              <w:rPr>
                <w:sz w:val="20"/>
              </w:rPr>
              <w:t>Maior, pois no cenário adverso a empresa vende a planta por $ 700.</w:t>
            </w:r>
          </w:p>
        </w:tc>
      </w:tr>
      <w:tr>
        <w:tc>
          <w:tcPr>
            <w:tcW w:type="dxa" w:w="9122"/>
          </w:tcPr>
          <w:p>
            <w:r>
              <w:rPr>
                <w:b/>
                <w:sz w:val="20"/>
              </w:rPr>
              <w:t>Valor da Opção:</w:t>
            </w:r>
            <w:r>
              <w:rPr>
                <w:sz w:val="20"/>
              </w:rPr>
              <w:t>VPL_B − VPL_A  = valor econômico da flexibilidade de abandono.</w:t>
            </w:r>
          </w:p>
        </w:tc>
      </w:tr>
    </w:tbl>
    <w:p/>
    <w:p>
      <w:pPr>
        <w:pStyle w:val="Heading2"/>
        <w:jc w:val="left"/>
      </w:pPr>
      <w:r>
        <w:rPr>
          <w:b/>
          <w:color w:val="7D6BE8"/>
        </w:rPr>
        <w:t>Autoavaliação — Módulo 5</w:t>
      </w:r>
    </w:p>
    <w:p>
      <w:pPr>
        <w:pStyle w:val="ListBullet"/>
        <w:ind w:left="360"/>
      </w:pPr>
      <w:r>
        <w:rPr>
          <w:sz w:val="22"/>
        </w:rPr>
        <w:t>Por que o VPL tradicional subestima o valor de projetos com flexibilidade gerencial?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Por que não podemos usar o WACC para descontar os payoffs de uma opção real?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O que é a probabilidade neutra ao risco e por que ela simplifica o cálculo?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Aumento da volatilidade aumenta ou reduz o valor de uma opção de abandono? Por quê?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Explique a analogia entre P&amp;D farmacêutico e uma sequência de opções de compra.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r>
        <w:br w:type="page"/>
      </w:r>
    </w:p>
    <w:p>
      <w:pPr>
        <w:pStyle w:val="Heading1"/>
        <w:jc w:val="left"/>
      </w:pPr>
      <w:r>
        <w:rPr>
          <w:b/>
          <w:color w:val="1A5376"/>
        </w:rPr>
        <w:t>MÓDULO 6 — CRIAÇÃO DE VALOR &amp; AVALIAÇÃO RELATIVA</w:t>
      </w:r>
    </w:p>
    <w:p>
      <w:r>
        <w:rPr>
          <w:b w:val="0"/>
          <w:i/>
          <w:color w:val="555555"/>
          <w:sz w:val="22"/>
        </w:rPr>
        <w:t>Aulas de referência: transversal</w:t>
      </w:r>
    </w:p>
    <w:p/>
    <w:p>
      <w:pPr>
        <w:pStyle w:val="Heading2"/>
        <w:jc w:val="left"/>
      </w:pPr>
      <w:r>
        <w:rPr>
          <w:b/>
          <w:color w:val="218ABE"/>
        </w:rPr>
        <w:t>6.1 Fontes de Criação de Valor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5276" w:val="clear"/>
          </w:tcPr>
          <w:p>
            <w:r>
              <w:rPr>
                <w:b/>
                <w:color w:val="FFFFFF"/>
                <w:sz w:val="20"/>
              </w:rPr>
              <w:t>Alavanca</w:t>
            </w:r>
          </w:p>
        </w:tc>
        <w:tc>
          <w:tcPr>
            <w:tcW w:type="dxa" w:w="4561"/>
            <w:shd w:fill="1A5276" w:val="clear"/>
          </w:tcPr>
          <w:p>
            <w:r>
              <w:rPr>
                <w:b/>
                <w:color w:val="FFFFFF"/>
                <w:sz w:val="20"/>
              </w:rPr>
              <w:t>Mecanismo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Ganhos de eficiência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Melhoria de margem, giro de ativos ou alavancagem → ROE maior.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Novos projetos com VPL &gt; 0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TIR do projeto superior ao WACC: empresa cria riqueza para o acionista.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Alteração na estrutura de capital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Uso estratégico de dívida (benefício fiscal) sem comprometer a saúde financeira.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Combinações de negócios (M&amp;A)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Sinergias operacionais e tributárias podem gerar VPL positivo para o adquirente.</w:t>
            </w:r>
          </w:p>
        </w:tc>
      </w:tr>
    </w:tbl>
    <w:p/>
    <w:p>
      <w:pPr>
        <w:pStyle w:val="Heading2"/>
        <w:jc w:val="left"/>
      </w:pPr>
      <w:r>
        <w:rPr>
          <w:b/>
          <w:color w:val="218ABE"/>
        </w:rPr>
        <w:t>6.2 Decomposição do ROE (DuPont)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ROE = Margem Líquida × Giro do Ativo × Multiplicador do PL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Margem Líquida = Lucro Líquido / Receita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Giro do Ativo  = Receita / Ativo Total</w:t>
      </w:r>
    </w:p>
    <w:p>
      <w:pPr>
        <w:ind w:left="576"/>
      </w:pPr>
      <w:r>
        <w:rPr>
          <w:rFonts w:ascii="Courier New" w:hAnsi="Courier New"/>
          <w:color w:val="1A5376"/>
          <w:sz w:val="20"/>
        </w:rPr>
        <w:t xml:space="preserve">    Multiplicador  = Ativo Total / PL   (alavancagem)</w:t>
      </w:r>
    </w:p>
    <w:p/>
    <w:p>
      <w:pPr>
        <w:pStyle w:val="Heading2"/>
        <w:jc w:val="left"/>
      </w:pPr>
      <w:r>
        <w:rPr>
          <w:b/>
          <w:color w:val="218ABE"/>
        </w:rPr>
        <w:t>6.3 Caso Prático: Mobly &amp; Tok&amp;Stok (2024)</w:t>
      </w:r>
    </w:p>
    <w:p>
      <w:pPr>
        <w:pStyle w:val="ListBullet"/>
        <w:ind w:left="360"/>
      </w:pPr>
      <w:r>
        <w:rPr>
          <w:sz w:val="22"/>
        </w:rPr>
        <w:t>Sinergias operacionais: tecnologia/logística da Mobly + expertise de produto da Tok&amp;Stok → Bain&amp;Co estimou +R$ 80–135 MM de caixa/ano.</w:t>
      </w:r>
    </w:p>
    <w:p>
      <w:pPr>
        <w:pStyle w:val="ListBullet"/>
        <w:ind w:left="360"/>
      </w:pPr>
      <w:r>
        <w:rPr>
          <w:sz w:val="22"/>
        </w:rPr>
        <w:t>Estrutura de capital: Mobly assume dívida de R$ 450 MM da Tok&amp;Stok, avaliada por apenas 10% do seu pico de valor.</w:t>
      </w:r>
    </w:p>
    <w:p>
      <w:pPr>
        <w:pStyle w:val="ListBullet"/>
        <w:ind w:left="360"/>
      </w:pPr>
      <w:r>
        <w:rPr>
          <w:sz w:val="22"/>
        </w:rPr>
        <w:t>Earn-out embutido na operação: troca de ações com lock-up de 24 meses.</w:t>
      </w:r>
    </w:p>
    <w:p/>
    <w:p>
      <w:pPr>
        <w:pStyle w:val="Heading2"/>
        <w:jc w:val="left"/>
      </w:pPr>
      <w:r>
        <w:rPr>
          <w:b/>
          <w:color w:val="218ABE"/>
        </w:rPr>
        <w:t>6.4 Avaliação Relativa (Múltiplos)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5276" w:val="clear"/>
          </w:tcPr>
          <w:p>
            <w:r>
              <w:rPr>
                <w:b/>
                <w:color w:val="FFFFFF"/>
                <w:sz w:val="20"/>
              </w:rPr>
              <w:t>Múltiplo</w:t>
            </w:r>
          </w:p>
        </w:tc>
        <w:tc>
          <w:tcPr>
            <w:tcW w:type="dxa" w:w="4561"/>
            <w:shd w:fill="1A5276" w:val="clear"/>
          </w:tcPr>
          <w:p>
            <w:r>
              <w:rPr>
                <w:b/>
                <w:color w:val="FFFFFF"/>
                <w:sz w:val="20"/>
              </w:rPr>
              <w:t>Aplicação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EV/EBITDA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Enterprise Value / EBITDA. Múltiplo de operações, neutro à estrutura de capital.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P/L (P/E)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Preço / Lucro por Ação. Reflete expectativas de crescimento.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P/VPA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Preço / Valor Patrimonial por Ação. Relevante para bancos e financeiras.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EV/Receita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Usado em empresas pré-lucro ou de alto crescimento.</w:t>
            </w:r>
          </w:p>
        </w:tc>
      </w:tr>
    </w:tbl>
    <w:p/>
    <w:p>
      <w:pPr>
        <w:pStyle w:val="ListBullet"/>
        <w:ind w:left="360"/>
      </w:pPr>
      <w:r>
        <w:rPr>
          <w:sz w:val="22"/>
        </w:rPr>
        <w:t>Premissa central: 'ativos semelhantes devem valer o mesmo.'</w:t>
      </w:r>
    </w:p>
    <w:p>
      <w:pPr>
        <w:pStyle w:val="ListBullet"/>
        <w:ind w:left="360"/>
      </w:pPr>
      <w:r>
        <w:rPr>
          <w:sz w:val="22"/>
        </w:rPr>
        <w:t>Risco: múltiplos de mercado embitem otimismo ou pessimismo sistêmico do momento.</w:t>
      </w:r>
    </w:p>
    <w:p/>
    <w:p>
      <w:pPr>
        <w:pStyle w:val="Heading2"/>
        <w:jc w:val="left"/>
      </w:pPr>
      <w:r>
        <w:rPr>
          <w:b/>
          <w:color w:val="7D6BE8"/>
        </w:rPr>
        <w:t>Autoavaliação — Módulo 6</w:t>
      </w:r>
    </w:p>
    <w:p>
      <w:pPr>
        <w:pStyle w:val="ListBullet"/>
        <w:ind w:left="360"/>
      </w:pPr>
      <w:r>
        <w:rPr>
          <w:sz w:val="22"/>
        </w:rPr>
        <w:t>Em que condições um novo projeto cria valor para o acionista?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Como o uso de dívida pode criar valor (benefício fiscal) e, ao mesmo tempo, destruí-lo (custos de dificuldade financeira)?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Quais são os riscos de usar apenas múltiplos para avaliar uma empresa?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pPr>
        <w:pStyle w:val="ListBullet"/>
        <w:ind w:left="360"/>
      </w:pPr>
      <w:r>
        <w:rPr>
          <w:sz w:val="22"/>
        </w:rPr>
        <w:t>Como as sinergias de uma fusão devem ser refletidas no valuation do alvo?</w:t>
      </w:r>
    </w:p>
    <w:p>
      <w:pPr>
        <w:pStyle w:val="ListBullet"/>
        <w:ind w:left="720"/>
      </w:pPr>
      <w:r>
        <w:rPr>
          <w:sz w:val="22"/>
        </w:rPr>
        <w:t>____________________________________________________________</w:t>
      </w:r>
    </w:p>
    <w:p>
      <w:pPr>
        <w:pStyle w:val="ListBullet"/>
        <w:ind w:left="720"/>
      </w:pPr>
      <w:r>
        <w:rPr>
          <w:sz w:val="22"/>
        </w:rPr>
      </w:r>
    </w:p>
    <w:p>
      <w:r>
        <w:br w:type="page"/>
      </w:r>
    </w:p>
    <w:p>
      <w:pPr>
        <w:pStyle w:val="Heading1"/>
        <w:jc w:val="left"/>
      </w:pPr>
      <w:r>
        <w:rPr>
          <w:b/>
          <w:color w:val="1A5376"/>
        </w:rPr>
        <w:t>MÓDULO 7 — REVISÃO GERAL E EXERCÍCIOS INTEGRADOS</w:t>
      </w:r>
    </w:p>
    <w:p>
      <w:r>
        <w:rPr>
          <w:b w:val="0"/>
          <w:i/>
          <w:color w:val="555555"/>
          <w:sz w:val="22"/>
        </w:rPr>
        <w:t>Use este módulo na semana anterior à avaliação.</w:t>
      </w:r>
    </w:p>
    <w:p/>
    <w:p>
      <w:pPr>
        <w:pStyle w:val="Heading2"/>
        <w:jc w:val="left"/>
      </w:pPr>
      <w:r>
        <w:rPr>
          <w:b/>
          <w:color w:val="218ABE"/>
        </w:rPr>
        <w:t>7.1 Checklist de Valuation (DCF Completo)</w:t>
      </w:r>
    </w:p>
    <w:p>
      <w:pPr>
        <w:ind w:left="432"/>
      </w:pPr>
      <w:r>
        <w:rPr>
          <w:sz w:val="20"/>
        </w:rPr>
        <w:t>[ ] Calculei o FCFF atual e removi itens não recorrentes?</w:t>
      </w:r>
    </w:p>
    <w:p>
      <w:pPr>
        <w:ind w:left="432"/>
      </w:pPr>
      <w:r>
        <w:rPr>
          <w:sz w:val="20"/>
        </w:rPr>
        <w:t>[ ] Meu FCFF é uma base razoável para extrapolação?</w:t>
      </w:r>
    </w:p>
    <w:p>
      <w:pPr>
        <w:ind w:left="432"/>
      </w:pPr>
      <w:r>
        <w:rPr>
          <w:sz w:val="20"/>
        </w:rPr>
        <w:t>[ ] A taxa de crescimento de longo prazo é compatível com o PIB potencial?</w:t>
      </w:r>
    </w:p>
    <w:p>
      <w:pPr>
        <w:ind w:left="432"/>
      </w:pPr>
      <w:r>
        <w:rPr>
          <w:sz w:val="20"/>
        </w:rPr>
        <w:t>[ ] Calculei o Ke pelo CAPM usando NTN-B 10a e ERP de 5,5%?</w:t>
      </w:r>
    </w:p>
    <w:p>
      <w:pPr>
        <w:ind w:left="432"/>
      </w:pPr>
      <w:r>
        <w:rPr>
          <w:sz w:val="20"/>
        </w:rPr>
        <w:t>[ ] Usei o beta adequado (histórico ou bottom-up)?</w:t>
      </w:r>
    </w:p>
    <w:p>
      <w:pPr>
        <w:ind w:left="432"/>
      </w:pPr>
      <w:r>
        <w:rPr>
          <w:sz w:val="20"/>
        </w:rPr>
        <w:t>[ ] Calculei o Kd líquido de IR?</w:t>
      </w:r>
    </w:p>
    <w:p>
      <w:pPr>
        <w:ind w:left="432"/>
      </w:pPr>
      <w:r>
        <w:rPr>
          <w:sz w:val="20"/>
        </w:rPr>
        <w:t>[ ] Usei pesos do WACC a valor de mercado?</w:t>
      </w:r>
    </w:p>
    <w:p>
      <w:pPr>
        <w:ind w:left="432"/>
      </w:pPr>
      <w:r>
        <w:rPr>
          <w:sz w:val="20"/>
        </w:rPr>
        <w:t>[ ] Identifiquei e ajustei impairments, provisões e ARO relevantes?</w:t>
      </w:r>
    </w:p>
    <w:p>
      <w:pPr>
        <w:ind w:left="432"/>
      </w:pPr>
      <w:r>
        <w:rPr>
          <w:sz w:val="20"/>
        </w:rPr>
        <w:t>[ ] Verifiquei o POC / hedge accounting nos ajustes de receita?</w:t>
      </w:r>
    </w:p>
    <w:p>
      <w:pPr>
        <w:ind w:left="432"/>
      </w:pPr>
      <w:r>
        <w:rPr>
          <w:sz w:val="20"/>
        </w:rPr>
        <w:t>[ ] Considerei opções reais relevantes (expansão, abandono, adiamento)?</w:t>
      </w:r>
    </w:p>
    <w:p>
      <w:pPr>
        <w:ind w:left="432"/>
      </w:pPr>
      <w:r>
        <w:rPr>
          <w:sz w:val="20"/>
        </w:rPr>
        <w:t>[ ] Realizei análise de sensibilidade (g e WACC)?</w:t>
      </w:r>
    </w:p>
    <w:p>
      <w:pPr>
        <w:ind w:left="432"/>
      </w:pPr>
      <w:r>
        <w:rPr>
          <w:sz w:val="20"/>
        </w:rPr>
        <w:t>[ ] Comparei o resultado com múltiplos de mercado (sanity check)?</w:t>
      </w:r>
    </w:p>
    <w:p/>
    <w:p>
      <w:pPr>
        <w:pStyle w:val="Heading2"/>
        <w:jc w:val="left"/>
      </w:pPr>
      <w:r>
        <w:rPr>
          <w:b/>
          <w:color w:val="218ABE"/>
        </w:rPr>
        <w:t>7.2 Mapa de Conexões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5276" w:val="clear"/>
          </w:tcPr>
          <w:p>
            <w:r>
              <w:rPr>
                <w:b/>
                <w:color w:val="FFFFFF"/>
                <w:sz w:val="20"/>
              </w:rPr>
              <w:t>Variável / Evento</w:t>
            </w:r>
          </w:p>
        </w:tc>
        <w:tc>
          <w:tcPr>
            <w:tcW w:type="dxa" w:w="4561"/>
            <w:shd w:fill="1A5276" w:val="clear"/>
          </w:tcPr>
          <w:p>
            <w:r>
              <w:rPr>
                <w:b/>
                <w:color w:val="FFFFFF"/>
                <w:sz w:val="20"/>
              </w:rPr>
              <w:t>Efeito no Valuation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FCFF ↑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VPL do DCF ↑   (ceteris paribus)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WACC ↑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VPL do DCF ↓   (ceteris paribus)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g de longo prazo ↑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Valor Terminal ↑ → maior sensibilidade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β ↑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Ke ↑ → WACC ↑ → VPL ↓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Alavancagem ↑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Kd(1−t) mais barato → WACC pode ↓; mas risco financeiro ↑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Volatilidade ↑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Opções Reais ↑ (call e put)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Impairment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Sem efeito direto no FCFF; revisar premissas de crescimento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POC antecipado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Receita contábil antes do caixa → FCFF não afetado</w:t>
            </w:r>
          </w:p>
        </w:tc>
      </w:tr>
    </w:tbl>
    <w:p/>
    <w:p>
      <w:pPr>
        <w:pStyle w:val="Heading2"/>
        <w:jc w:val="left"/>
      </w:pPr>
      <w:r>
        <w:rPr>
          <w:b/>
          <w:color w:val="218ABE"/>
        </w:rPr>
        <w:t>7.3 Exercício Integrado</w:t>
      </w:r>
    </w:p>
    <w:p>
      <w:r>
        <w:rPr>
          <w:b w:val="0"/>
          <w:i w:val="0"/>
          <w:sz w:val="22"/>
        </w:rPr>
        <w:t>A empresa ABC atua no setor de logística. Com base nos dados abaixo, estime o FCFF, calcule o Ke, o WACC e discuta se existe opção real relevante: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5276" w:val="clear"/>
          </w:tcPr>
          <w:p>
            <w:r>
              <w:rPr>
                <w:b/>
                <w:color w:val="FFFFFF"/>
                <w:sz w:val="20"/>
              </w:rPr>
              <w:t>Dado</w:t>
            </w:r>
          </w:p>
        </w:tc>
        <w:tc>
          <w:tcPr>
            <w:tcW w:type="dxa" w:w="4561"/>
            <w:shd w:fill="1A5276" w:val="clear"/>
          </w:tcPr>
          <w:p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EBIT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R$ 50 MM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Depreciação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R$ 8 MM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Receita não recorr.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R$ 3 MM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IR sobre EBIT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R$ 15 MM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CAPEX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R$ 12 MM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ΔNCG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R$ 4 MM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Beta (histórico)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0,85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NTN-B 10a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7,5% a.a.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ERP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5,5% a.a.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Kd bruto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11% a.a.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Alíquota IR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34%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E/(D+E)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60%</w:t>
            </w:r>
          </w:p>
        </w:tc>
      </w:tr>
      <w:tr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g projetado</w:t>
            </w:r>
          </w:p>
        </w:tc>
        <w:tc>
          <w:tcPr>
            <w:tcW w:type="dxa" w:w="4561"/>
            <w:shd w:fill="EBF5FB" w:val="clear"/>
          </w:tcPr>
          <w:p>
            <w:r>
              <w:rPr>
                <w:sz w:val="20"/>
              </w:rPr>
              <w:t>3% a.a. real</w:t>
            </w:r>
          </w:p>
        </w:tc>
      </w:tr>
    </w:tbl>
    <w:p/>
    <w:p>
      <w:r>
        <w:rPr>
          <w:b/>
          <w:i w:val="0"/>
          <w:sz w:val="22"/>
        </w:rPr>
        <w:t>Resolução:</w:t>
      </w:r>
    </w:p>
    <w:p>
      <w:pPr>
        <w:pStyle w:val="ListBullet"/>
        <w:ind w:left="720"/>
      </w:pPr>
      <w:r>
        <w:rPr>
          <w:sz w:val="22"/>
        </w:rPr>
        <w:t>FCFF = 50 + 8 − 3 − 15 − 12 − 4  =  R$ 24 MM</w:t>
      </w:r>
    </w:p>
    <w:p>
      <w:pPr>
        <w:pStyle w:val="ListBullet"/>
        <w:ind w:left="720"/>
      </w:pPr>
      <w:r>
        <w:rPr>
          <w:sz w:val="22"/>
        </w:rPr>
        <w:t>Ke   = 7,5 + 0,85 × 5,5           = 12,175% a.a.</w:t>
      </w:r>
    </w:p>
    <w:p>
      <w:pPr>
        <w:pStyle w:val="ListBullet"/>
        <w:ind w:left="720"/>
      </w:pPr>
      <w:r>
        <w:rPr>
          <w:sz w:val="22"/>
        </w:rPr>
        <w:t>Kd líquido = 11 × (1 − 0,34)      =  7,26% a.a.</w:t>
      </w:r>
    </w:p>
    <w:p>
      <w:pPr>
        <w:pStyle w:val="ListBullet"/>
        <w:ind w:left="720"/>
      </w:pPr>
      <w:r>
        <w:rPr>
          <w:sz w:val="22"/>
        </w:rPr>
        <w:t>WACC = 0,60 × 12,175 + 0,40 × 7,26 = 10,21% a.a.</w:t>
      </w:r>
    </w:p>
    <w:p>
      <w:pPr>
        <w:pStyle w:val="ListBullet"/>
        <w:ind w:left="720"/>
      </w:pPr>
      <w:r>
        <w:rPr>
          <w:sz w:val="22"/>
        </w:rPr>
        <w:t>Valor Terminal = FCFF × (1+g) / (WACC−g) = 24×1,03 / (0,1021−0,03) = ~R$ 343 MM</w:t>
      </w:r>
    </w:p>
    <w:p>
      <w:pPr>
        <w:pStyle w:val="ListBullet"/>
        <w:ind w:left="720"/>
      </w:pPr>
      <w:r>
        <w:rPr>
          <w:sz w:val="22"/>
        </w:rPr>
        <w:t>Discuta: existe opção real de expansão (nova rota/terminal) relevante?</w:t>
      </w:r>
    </w:p>
    <w:p/>
    <w:p>
      <w:pPr>
        <w:pStyle w:val="Heading2"/>
        <w:jc w:val="left"/>
      </w:pPr>
      <w:r>
        <w:rPr>
          <w:b/>
          <w:color w:val="218ABE"/>
        </w:rPr>
        <w:t>7.4 Dicas para a Avaliação (Estudos Dirigidos e Seminário)</w:t>
      </w:r>
    </w:p>
    <w:p>
      <w:pPr>
        <w:pStyle w:val="ListBullet"/>
        <w:ind w:left="360"/>
      </w:pPr>
      <w:r>
        <w:rPr>
          <w:sz w:val="22"/>
        </w:rPr>
        <w:t>Leia os relatórios de resultado (ITR/DFP) com atenção às notas explicativas sobre contingências, impairment e segmentos.</w:t>
      </w:r>
    </w:p>
    <w:p>
      <w:pPr>
        <w:pStyle w:val="ListBullet"/>
        <w:ind w:left="360"/>
      </w:pPr>
      <w:r>
        <w:rPr>
          <w:sz w:val="22"/>
        </w:rPr>
        <w:t>Em estudos de caso, sempre justifique os ajustes ao FCFF.</w:t>
      </w:r>
    </w:p>
    <w:p>
      <w:pPr>
        <w:pStyle w:val="ListBullet"/>
        <w:ind w:left="360"/>
      </w:pPr>
      <w:r>
        <w:rPr>
          <w:sz w:val="22"/>
        </w:rPr>
        <w:t>No seminário, contextualize o artigo e explicite a questão de pesquisa nos dois primeiros slides (conforme diretriz do professor).</w:t>
      </w:r>
    </w:p>
    <w:p>
      <w:pPr>
        <w:pStyle w:val="ListBullet"/>
        <w:ind w:left="360"/>
      </w:pPr>
      <w:r>
        <w:rPr>
          <w:sz w:val="22"/>
        </w:rPr>
        <w:t>Tempo de apresentação: ~30 minutos; upload até quinta-feira anterior às 23h59.</w:t>
      </w:r>
    </w:p>
    <w:p/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888888"/>
          <w:sz w:val="18"/>
        </w:rPr>
        <w:t>Fluxo de Estudo gerado com base nos Slides das Aulas 1–8 — Avaliação de Empresas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