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E2" w:rsidRPr="00272815" w:rsidRDefault="00272815" w:rsidP="00D34AB3">
      <w:pPr>
        <w:jc w:val="center"/>
        <w:rPr>
          <w:rFonts w:ascii="Arial" w:hAnsi="Arial" w:cs="Arial"/>
          <w:sz w:val="32"/>
        </w:rPr>
      </w:pPr>
      <w:r w:rsidRPr="00272815">
        <w:rPr>
          <w:rFonts w:ascii="Arial" w:hAnsi="Arial" w:cs="Arial"/>
          <w:sz w:val="32"/>
        </w:rPr>
        <w:t>Resumen de lo investigado en la semana 1</w:t>
      </w:r>
    </w:p>
    <w:p w:rsidR="00272815" w:rsidRDefault="00272815" w:rsidP="00D34AB3">
      <w:pPr>
        <w:jc w:val="both"/>
      </w:pPr>
    </w:p>
    <w:p w:rsidR="00272815" w:rsidRDefault="00BA4675" w:rsidP="00D34AB3">
      <w:pPr>
        <w:jc w:val="both"/>
      </w:pPr>
      <w:r>
        <w:t>Definición</w:t>
      </w:r>
      <w:r w:rsidR="00272815">
        <w:t>:</w:t>
      </w:r>
    </w:p>
    <w:p w:rsidR="00CC2DF8" w:rsidRDefault="00CC2DF8" w:rsidP="00D34AB3">
      <w:pPr>
        <w:jc w:val="both"/>
      </w:pPr>
      <w:r>
        <w:t>Inflamación</w:t>
      </w:r>
      <w:r w:rsidR="00272815">
        <w:t xml:space="preserve"> que produce una estenosis del canal </w:t>
      </w:r>
      <w:proofErr w:type="spellStart"/>
      <w:r w:rsidR="00272815">
        <w:t>osteofibrososinovial</w:t>
      </w:r>
      <w:proofErr w:type="spellEnd"/>
      <w:r w:rsidR="00272815">
        <w:t xml:space="preserve"> situado en la estiloides radial por el que discurren los tendones del abductor largo </w:t>
      </w:r>
      <w:r w:rsidR="003F215B">
        <w:t xml:space="preserve">y el extensor corto del pulgar. [1] Asimismo está definido como una condición que limita la movilidad de la muñeca en criterios como </w:t>
      </w:r>
      <w:r w:rsidR="00BA4675">
        <w:t>flexión</w:t>
      </w:r>
      <w:r w:rsidR="003F215B">
        <w:t xml:space="preserve"> </w:t>
      </w:r>
      <w:r w:rsidR="00BA4675">
        <w:t xml:space="preserve">y aducción del pulgar debido al dolor generado en el tendón. </w:t>
      </w:r>
    </w:p>
    <w:p w:rsidR="00CC2DF8" w:rsidRDefault="00CC2DF8" w:rsidP="00D34AB3">
      <w:pPr>
        <w:jc w:val="both"/>
      </w:pPr>
      <w:r>
        <w:t xml:space="preserve">Diagnóstico: </w:t>
      </w:r>
    </w:p>
    <w:p w:rsidR="00CC2DF8" w:rsidRDefault="00CC2DF8" w:rsidP="00D34AB3">
      <w:pPr>
        <w:jc w:val="both"/>
      </w:pPr>
      <w:r>
        <w:t>Principalmente se hace por la anamnesis (Información recopilada por un especialista y plasmada en la historia clínica) y la exploración clínica.</w:t>
      </w:r>
      <w:r w:rsidR="00943C31">
        <w:t xml:space="preserve"> En muchos casos hay presencia de una hinchazón local sobre la apófisis estiloides por el engrosamiento de la polea o una deformidad fusiforme sobre los tendones cuando es notoria la proliferación </w:t>
      </w:r>
      <w:proofErr w:type="spellStart"/>
      <w:r w:rsidR="00943C31">
        <w:t>tenosinovial</w:t>
      </w:r>
      <w:proofErr w:type="spellEnd"/>
      <w:r w:rsidR="00943C31">
        <w:t>.</w:t>
      </w:r>
      <w:r w:rsidR="00886961">
        <w:t xml:space="preserve"> [2]</w:t>
      </w:r>
    </w:p>
    <w:p w:rsidR="00943C31" w:rsidRDefault="00886961" w:rsidP="00D34AB3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255477D0" wp14:editId="34853610">
            <wp:simplePos x="0" y="0"/>
            <wp:positionH relativeFrom="column">
              <wp:posOffset>1882140</wp:posOffset>
            </wp:positionH>
            <wp:positionV relativeFrom="paragraph">
              <wp:posOffset>626745</wp:posOffset>
            </wp:positionV>
            <wp:extent cx="17221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265" y="21424"/>
                <wp:lineTo x="21265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8-2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85" t="50193" r="3527" b="24397"/>
                    <a:stretch/>
                  </pic:blipFill>
                  <pic:spPr bwMode="auto">
                    <a:xfrm>
                      <a:off x="0" y="0"/>
                      <a:ext cx="172212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Otra</w:t>
      </w:r>
      <w:r w:rsidR="00943C31">
        <w:t xml:space="preserve"> manera de diagnóstico es por medio de la maniobra de </w:t>
      </w:r>
      <w:proofErr w:type="spellStart"/>
      <w:r w:rsidR="00943C31">
        <w:t>Finkelstein</w:t>
      </w:r>
      <w:proofErr w:type="spellEnd"/>
      <w:r w:rsidR="00943C31">
        <w:t>, de inclinación cubital de la muñeca con el pulgar en flexión completa, despierta un dolor muy vivo. Esta maniobra hecha correctamente tiene una efectividad del 98%</w:t>
      </w:r>
      <w:r>
        <w:t xml:space="preserve"> </w:t>
      </w:r>
      <w:r w:rsidR="00943C31">
        <w:t xml:space="preserve"> </w:t>
      </w:r>
    </w:p>
    <w:p w:rsidR="00886961" w:rsidRDefault="00886961" w:rsidP="00D34AB3">
      <w:pPr>
        <w:jc w:val="both"/>
      </w:pPr>
    </w:p>
    <w:p w:rsidR="00886961" w:rsidRDefault="00886961" w:rsidP="00D34AB3">
      <w:pPr>
        <w:jc w:val="both"/>
      </w:pPr>
    </w:p>
    <w:p w:rsidR="00886961" w:rsidRDefault="00886961" w:rsidP="00D34AB3">
      <w:pPr>
        <w:jc w:val="both"/>
      </w:pPr>
    </w:p>
    <w:p w:rsidR="00886961" w:rsidRDefault="00886961" w:rsidP="00D34AB3">
      <w:pPr>
        <w:jc w:val="both"/>
      </w:pPr>
      <w:r>
        <w:tab/>
      </w:r>
      <w:r>
        <w:tab/>
      </w:r>
      <w:r>
        <w:tab/>
      </w:r>
    </w:p>
    <w:p w:rsidR="00886961" w:rsidRDefault="00886961" w:rsidP="00D34AB3">
      <w:pPr>
        <w:jc w:val="both"/>
      </w:pPr>
      <w:r>
        <w:tab/>
      </w:r>
      <w:r>
        <w:tab/>
      </w:r>
      <w:r>
        <w:tab/>
        <w:t xml:space="preserve"> </w:t>
      </w:r>
      <w:r>
        <w:tab/>
        <w:t xml:space="preserve">Figura 1: Maniobra de </w:t>
      </w:r>
      <w:proofErr w:type="spellStart"/>
      <w:r>
        <w:t>Finkelstein</w:t>
      </w:r>
      <w:proofErr w:type="spellEnd"/>
    </w:p>
    <w:p w:rsidR="00886961" w:rsidRDefault="00886961" w:rsidP="00D34AB3">
      <w:pPr>
        <w:jc w:val="both"/>
      </w:pPr>
      <w:r>
        <w:t xml:space="preserve">En casos más sospechosos se suele realizar una ecografía, </w:t>
      </w:r>
      <w:proofErr w:type="spellStart"/>
      <w:r>
        <w:t>Tomografia</w:t>
      </w:r>
      <w:proofErr w:type="spellEnd"/>
      <w:r>
        <w:t xml:space="preserve"> axial computarizada o Resonancia </w:t>
      </w:r>
      <w:proofErr w:type="spellStart"/>
      <w:r>
        <w:t>Magnetica</w:t>
      </w:r>
      <w:proofErr w:type="spellEnd"/>
      <w:r>
        <w:t xml:space="preserve"> para descartar alguna otra complicación. [3]</w:t>
      </w:r>
    </w:p>
    <w:p w:rsidR="00BA4675" w:rsidRDefault="00BA4675" w:rsidP="00D34AB3">
      <w:pPr>
        <w:jc w:val="both"/>
      </w:pPr>
      <w:proofErr w:type="spellStart"/>
      <w:r>
        <w:t>Anatomia</w:t>
      </w:r>
      <w:proofErr w:type="spellEnd"/>
      <w:r>
        <w:t xml:space="preserve"> de la muñeca: (</w:t>
      </w:r>
      <w:proofErr w:type="spellStart"/>
      <w:r>
        <w:t>Podriamos</w:t>
      </w:r>
      <w:proofErr w:type="spellEnd"/>
      <w:r>
        <w:t xml:space="preserve"> incluir el video del profesor que nos </w:t>
      </w:r>
      <w:proofErr w:type="spellStart"/>
      <w:r>
        <w:t>mostro</w:t>
      </w:r>
      <w:proofErr w:type="spellEnd"/>
      <w:r>
        <w:t xml:space="preserve"> en clase)</w:t>
      </w:r>
    </w:p>
    <w:p w:rsidR="00CF5188" w:rsidRDefault="00CC2DF8" w:rsidP="00D34AB3">
      <w:pPr>
        <w:jc w:val="both"/>
      </w:pPr>
      <w:r>
        <w:t>Tratamientos act</w:t>
      </w:r>
      <w:r w:rsidR="00886961">
        <w:t xml:space="preserve">uales: </w:t>
      </w:r>
    </w:p>
    <w:p w:rsidR="00CF5188" w:rsidRDefault="00CF5188" w:rsidP="00D34AB3">
      <w:pPr>
        <w:jc w:val="both"/>
      </w:pPr>
      <w:r>
        <w:t xml:space="preserve">La condición puede ser de fase aguda o fase crónica, depende del momento en que el paciente se haga ver con el médico responsable. </w:t>
      </w:r>
    </w:p>
    <w:p w:rsidR="00CF5188" w:rsidRDefault="00CF5188" w:rsidP="00D34AB3">
      <w:pPr>
        <w:jc w:val="both"/>
      </w:pPr>
      <w:r>
        <w:t xml:space="preserve">El tratamiento de la </w:t>
      </w:r>
      <w:r w:rsidRPr="00CF5188">
        <w:rPr>
          <w:b/>
        </w:rPr>
        <w:t>fase aguda</w:t>
      </w:r>
      <w:r>
        <w:t xml:space="preserve"> consiste:</w:t>
      </w:r>
    </w:p>
    <w:p w:rsidR="00CF5188" w:rsidRDefault="00D34AB3" w:rsidP="00D34AB3">
      <w:pPr>
        <w:pStyle w:val="Prrafodelista"/>
        <w:numPr>
          <w:ilvl w:val="0"/>
          <w:numId w:val="1"/>
        </w:numPr>
        <w:jc w:val="both"/>
      </w:pPr>
      <w:r>
        <w:t>Inmovilización</w:t>
      </w:r>
      <w:r w:rsidR="00CF5188">
        <w:t xml:space="preserve"> de la zona afectada mediante vendaje o uso de </w:t>
      </w:r>
      <w:proofErr w:type="spellStart"/>
      <w:r w:rsidR="00CF5188">
        <w:t>ferula</w:t>
      </w:r>
      <w:proofErr w:type="spellEnd"/>
      <w:r w:rsidR="00CF5188">
        <w:t xml:space="preserve">, </w:t>
      </w:r>
      <w:proofErr w:type="spellStart"/>
      <w:r w:rsidR="00CF5188">
        <w:t>ortesis</w:t>
      </w:r>
      <w:proofErr w:type="spellEnd"/>
      <w:r w:rsidR="00CF5188">
        <w:t xml:space="preserve"> o yesos.</w:t>
      </w:r>
    </w:p>
    <w:p w:rsidR="00CF5188" w:rsidRDefault="00CF5188" w:rsidP="00D34AB3">
      <w:pPr>
        <w:pStyle w:val="Prrafodelista"/>
        <w:numPr>
          <w:ilvl w:val="0"/>
          <w:numId w:val="1"/>
        </w:numPr>
        <w:jc w:val="both"/>
      </w:pPr>
      <w:r>
        <w:t>Realizar fisioterapia mediante ejercicios.</w:t>
      </w:r>
    </w:p>
    <w:p w:rsidR="00CF5188" w:rsidRDefault="00CF5188" w:rsidP="00D34AB3">
      <w:pPr>
        <w:pStyle w:val="Prrafodelista"/>
        <w:numPr>
          <w:ilvl w:val="0"/>
          <w:numId w:val="1"/>
        </w:numPr>
        <w:jc w:val="both"/>
      </w:pPr>
      <w:r>
        <w:t xml:space="preserve">Administrar anti-inflamatorios por </w:t>
      </w:r>
      <w:r w:rsidR="00D34AB3">
        <w:t>vía</w:t>
      </w:r>
      <w:r>
        <w:t xml:space="preserve"> oral. </w:t>
      </w:r>
    </w:p>
    <w:p w:rsidR="00D34AB3" w:rsidRDefault="00D34AB3" w:rsidP="00D34AB3">
      <w:pPr>
        <w:pStyle w:val="Prrafodelista"/>
        <w:numPr>
          <w:ilvl w:val="0"/>
          <w:numId w:val="1"/>
        </w:numPr>
        <w:jc w:val="both"/>
      </w:pPr>
      <w:r>
        <w:t>Inyección de corticoides en la zona afectada si el dolor es muy agudo.</w:t>
      </w:r>
    </w:p>
    <w:p w:rsidR="00D34AB3" w:rsidRDefault="00D34AB3" w:rsidP="00D34AB3">
      <w:pPr>
        <w:jc w:val="both"/>
      </w:pPr>
      <w:r>
        <w:t>En general, en la fase crónica se debe:</w:t>
      </w:r>
    </w:p>
    <w:p w:rsidR="00D34AB3" w:rsidRDefault="00D34AB3" w:rsidP="00D34AB3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Identificar si se puede realizar alguna modificación biomecánica en la actividad responsable, que evite el desarrollo de un nuevo episodio de dolor. Ejemplo: otro tipo de postura al escribir en el teclado, al agarra el mousse, al comer, etc. </w:t>
      </w:r>
    </w:p>
    <w:p w:rsidR="00D34AB3" w:rsidRDefault="00D34AB3" w:rsidP="00D34AB3">
      <w:pPr>
        <w:pStyle w:val="Prrafodelista"/>
        <w:numPr>
          <w:ilvl w:val="0"/>
          <w:numId w:val="2"/>
        </w:numPr>
        <w:jc w:val="both"/>
      </w:pPr>
      <w:r>
        <w:t>Realizar ejercicios de rehabilitación.</w:t>
      </w:r>
    </w:p>
    <w:p w:rsidR="00D34AB3" w:rsidRDefault="00D34AB3" w:rsidP="00D34AB3">
      <w:pPr>
        <w:pStyle w:val="Prrafodelista"/>
        <w:numPr>
          <w:ilvl w:val="0"/>
          <w:numId w:val="2"/>
        </w:numPr>
        <w:jc w:val="both"/>
      </w:pPr>
      <w:r>
        <w:t>Administras frio o calor en la zona afectada.</w:t>
      </w:r>
    </w:p>
    <w:p w:rsidR="00D34AB3" w:rsidRDefault="00D34AB3" w:rsidP="00D34AB3">
      <w:pPr>
        <w:jc w:val="both"/>
      </w:pPr>
      <w:r>
        <w:t>En casos más severos, si luego de 6 meses no se ve mejoría alguna es recomendable aplicar un tratamiento quirúrgico. [4]</w:t>
      </w:r>
    </w:p>
    <w:p w:rsidR="00CF5188" w:rsidRDefault="00CF5188" w:rsidP="00D34AB3">
      <w:pPr>
        <w:jc w:val="both"/>
      </w:pPr>
      <w:bookmarkStart w:id="0" w:name="_GoBack"/>
      <w:bookmarkEnd w:id="0"/>
    </w:p>
    <w:p w:rsidR="00CF5188" w:rsidRDefault="00CF5188" w:rsidP="00D34AB3">
      <w:pPr>
        <w:jc w:val="both"/>
      </w:pPr>
    </w:p>
    <w:p w:rsidR="00CF5188" w:rsidRDefault="00CF5188" w:rsidP="00D34AB3">
      <w:pPr>
        <w:jc w:val="both"/>
      </w:pPr>
    </w:p>
    <w:p w:rsidR="00CF5188" w:rsidRDefault="00CF5188" w:rsidP="00D34AB3">
      <w:pPr>
        <w:jc w:val="both"/>
      </w:pPr>
    </w:p>
    <w:p w:rsidR="00CF5188" w:rsidRDefault="00CF5188" w:rsidP="00D34AB3">
      <w:pPr>
        <w:jc w:val="both"/>
      </w:pPr>
    </w:p>
    <w:p w:rsidR="00886961" w:rsidRDefault="00886961" w:rsidP="00D34AB3">
      <w:pPr>
        <w:jc w:val="both"/>
      </w:pPr>
      <w:r>
        <w:t xml:space="preserve">Los ejercicios que están en la </w:t>
      </w:r>
      <w:r w:rsidR="00CF5188">
        <w:t>página</w:t>
      </w:r>
      <w:r w:rsidR="00D34AB3">
        <w:t xml:space="preserve"> y que tienen su bibliografía.</w:t>
      </w:r>
    </w:p>
    <w:p w:rsidR="00CF5188" w:rsidRDefault="00CF5188" w:rsidP="00D34AB3">
      <w:pPr>
        <w:jc w:val="both"/>
      </w:pPr>
    </w:p>
    <w:p w:rsidR="00BA4675" w:rsidRDefault="00CC2DF8" w:rsidP="00D34AB3">
      <w:pPr>
        <w:jc w:val="both"/>
      </w:pPr>
      <w:r>
        <w:t xml:space="preserve"> </w:t>
      </w:r>
    </w:p>
    <w:p w:rsidR="00BA4675" w:rsidRDefault="00BA4675" w:rsidP="00D34AB3">
      <w:pPr>
        <w:jc w:val="both"/>
      </w:pPr>
    </w:p>
    <w:p w:rsidR="003F215B" w:rsidRDefault="003F215B" w:rsidP="00D34AB3">
      <w:pPr>
        <w:jc w:val="both"/>
      </w:pPr>
    </w:p>
    <w:p w:rsidR="003F215B" w:rsidRDefault="003F215B" w:rsidP="00D34AB3">
      <w:pPr>
        <w:jc w:val="both"/>
      </w:pPr>
    </w:p>
    <w:p w:rsidR="003F215B" w:rsidRDefault="003F215B" w:rsidP="00D34AB3">
      <w:pPr>
        <w:jc w:val="both"/>
      </w:pPr>
    </w:p>
    <w:p w:rsidR="003F215B" w:rsidRDefault="003F215B" w:rsidP="00D34AB3">
      <w:pPr>
        <w:jc w:val="both"/>
      </w:pPr>
    </w:p>
    <w:p w:rsidR="003F215B" w:rsidRDefault="003F215B" w:rsidP="00D34AB3">
      <w:pPr>
        <w:jc w:val="both"/>
      </w:pPr>
    </w:p>
    <w:p w:rsidR="003F215B" w:rsidRDefault="003F215B" w:rsidP="00D34AB3">
      <w:pPr>
        <w:jc w:val="both"/>
      </w:pPr>
    </w:p>
    <w:p w:rsidR="003F215B" w:rsidRDefault="003F215B" w:rsidP="00D34AB3">
      <w:pPr>
        <w:jc w:val="both"/>
      </w:pPr>
      <w:r>
        <w:t xml:space="preserve">Referencias: </w:t>
      </w:r>
    </w:p>
    <w:p w:rsidR="003F215B" w:rsidRDefault="003F215B" w:rsidP="00D34AB3">
      <w:pPr>
        <w:jc w:val="both"/>
      </w:pPr>
      <w:r>
        <w:t>[1]</w:t>
      </w:r>
      <w:r w:rsidR="00BA4675">
        <w:t xml:space="preserve"> </w:t>
      </w:r>
      <w:proofErr w:type="spellStart"/>
      <w:r w:rsidR="00BA4675">
        <w:t>Rodriguez</w:t>
      </w:r>
      <w:proofErr w:type="spellEnd"/>
      <w:r w:rsidR="00BA4675">
        <w:t xml:space="preserve"> D, </w:t>
      </w:r>
      <w:proofErr w:type="spellStart"/>
      <w:r w:rsidR="00BA4675">
        <w:t>Garcia</w:t>
      </w:r>
      <w:proofErr w:type="spellEnd"/>
      <w:r w:rsidR="00BA4675">
        <w:t xml:space="preserve"> M, M</w:t>
      </w:r>
      <w:r w:rsidR="00CC2DF8">
        <w:t xml:space="preserve">ena J, </w:t>
      </w:r>
      <w:proofErr w:type="spellStart"/>
      <w:r w:rsidR="00CC2DF8">
        <w:t>Silió</w:t>
      </w:r>
      <w:proofErr w:type="spellEnd"/>
      <w:r w:rsidR="00CC2DF8">
        <w:t xml:space="preserve"> Fernando y Blasco J. (2010). </w:t>
      </w:r>
      <w:r w:rsidR="00CC2DF8" w:rsidRPr="00CC2DF8">
        <w:rPr>
          <w:i/>
        </w:rPr>
        <w:t xml:space="preserve">Enfermedades profesionales relacionas con los trastornos </w:t>
      </w:r>
      <w:proofErr w:type="spellStart"/>
      <w:r w:rsidR="00CC2DF8" w:rsidRPr="00CC2DF8">
        <w:rPr>
          <w:i/>
        </w:rPr>
        <w:t>musculoesqueléticos</w:t>
      </w:r>
      <w:proofErr w:type="spellEnd"/>
      <w:r w:rsidR="00CC2DF8">
        <w:t>. Madrid, España. Editorial: Instituto Nacional de Seguridad e Higiene en el trabajo.</w:t>
      </w:r>
      <w:r w:rsidR="00886961">
        <w:t xml:space="preserve"> </w:t>
      </w:r>
    </w:p>
    <w:p w:rsidR="00272815" w:rsidRDefault="00886961" w:rsidP="00D34AB3">
      <w:pPr>
        <w:jc w:val="both"/>
      </w:pPr>
      <w:r>
        <w:t xml:space="preserve">[2] </w:t>
      </w:r>
      <w:proofErr w:type="spellStart"/>
      <w:r>
        <w:t>Celester</w:t>
      </w:r>
      <w:proofErr w:type="spellEnd"/>
      <w:r>
        <w:t xml:space="preserve"> </w:t>
      </w:r>
      <w:r w:rsidR="008F3F51">
        <w:t xml:space="preserve">G. (2009). </w:t>
      </w:r>
      <w:proofErr w:type="spellStart"/>
      <w:r w:rsidR="008F3F51" w:rsidRPr="008F3F51">
        <w:rPr>
          <w:i/>
        </w:rPr>
        <w:t>Tendinopatía</w:t>
      </w:r>
      <w:proofErr w:type="spellEnd"/>
      <w:r w:rsidR="008F3F51" w:rsidRPr="008F3F51">
        <w:rPr>
          <w:i/>
        </w:rPr>
        <w:t xml:space="preserve"> de </w:t>
      </w:r>
      <w:proofErr w:type="spellStart"/>
      <w:r w:rsidR="008F3F51" w:rsidRPr="008F3F51">
        <w:rPr>
          <w:i/>
        </w:rPr>
        <w:t>De</w:t>
      </w:r>
      <w:proofErr w:type="spellEnd"/>
      <w:r w:rsidR="008F3F51" w:rsidRPr="008F3F51">
        <w:rPr>
          <w:i/>
        </w:rPr>
        <w:t xml:space="preserve"> </w:t>
      </w:r>
      <w:proofErr w:type="spellStart"/>
      <w:r w:rsidR="008F3F51" w:rsidRPr="008F3F51">
        <w:rPr>
          <w:i/>
        </w:rPr>
        <w:t>Quervain</w:t>
      </w:r>
      <w:proofErr w:type="spellEnd"/>
      <w:r w:rsidR="008F3F51" w:rsidRPr="008F3F51">
        <w:rPr>
          <w:i/>
        </w:rPr>
        <w:t>. Revisión de conceptos.</w:t>
      </w:r>
      <w:r w:rsidR="008F3F51">
        <w:rPr>
          <w:i/>
        </w:rPr>
        <w:t xml:space="preserve"> </w:t>
      </w:r>
      <w:proofErr w:type="spellStart"/>
      <w:r w:rsidR="008F3F51">
        <w:t>Coruña</w:t>
      </w:r>
      <w:proofErr w:type="gramStart"/>
      <w:r w:rsidR="008F3F51">
        <w:t>,España</w:t>
      </w:r>
      <w:proofErr w:type="spellEnd"/>
      <w:proofErr w:type="gramEnd"/>
      <w:r w:rsidR="008F3F51">
        <w:t xml:space="preserve">. </w:t>
      </w:r>
      <w:proofErr w:type="spellStart"/>
      <w:r w:rsidR="008F3F51">
        <w:t>Vol</w:t>
      </w:r>
      <w:proofErr w:type="spellEnd"/>
      <w:r w:rsidR="008F3F51">
        <w:t xml:space="preserve"> 37, </w:t>
      </w:r>
      <w:proofErr w:type="spellStart"/>
      <w:r w:rsidR="008F3F51">
        <w:t>Num</w:t>
      </w:r>
      <w:proofErr w:type="spellEnd"/>
      <w:r w:rsidR="008F3F51">
        <w:t xml:space="preserve"> 2. Recuperado de Revista Iberoamericana de </w:t>
      </w:r>
      <w:proofErr w:type="spellStart"/>
      <w:r w:rsidR="008F3F51">
        <w:t>Cirugia</w:t>
      </w:r>
      <w:proofErr w:type="spellEnd"/>
      <w:r w:rsidR="008F3F51">
        <w:t xml:space="preserve"> de la Mano. </w:t>
      </w:r>
    </w:p>
    <w:p w:rsidR="008F3F51" w:rsidRDefault="008F3F51" w:rsidP="00D34AB3">
      <w:pPr>
        <w:jc w:val="both"/>
        <w:rPr>
          <w:lang w:val="en-US"/>
        </w:rPr>
      </w:pPr>
      <w:r w:rsidRPr="008F3F51">
        <w:rPr>
          <w:lang w:val="en-US"/>
        </w:rPr>
        <w:t xml:space="preserve">[3] </w:t>
      </w:r>
      <w:proofErr w:type="spellStart"/>
      <w:r w:rsidRPr="008F3F51">
        <w:rPr>
          <w:lang w:val="en-US"/>
        </w:rPr>
        <w:t>Frederico</w:t>
      </w:r>
      <w:proofErr w:type="spellEnd"/>
      <w:r w:rsidRPr="008F3F51">
        <w:rPr>
          <w:lang w:val="en-US"/>
        </w:rPr>
        <w:t xml:space="preserve"> C. (2012). </w:t>
      </w:r>
      <w:r w:rsidRPr="00CF5188">
        <w:rPr>
          <w:lang w:val="en-US"/>
        </w:rPr>
        <w:t xml:space="preserve">Tenosynovitis and </w:t>
      </w:r>
      <w:proofErr w:type="spellStart"/>
      <w:r w:rsidRPr="00CF5188">
        <w:rPr>
          <w:lang w:val="en-US"/>
        </w:rPr>
        <w:t>sinovitis</w:t>
      </w:r>
      <w:proofErr w:type="spellEnd"/>
      <w:r w:rsidRPr="00CF5188">
        <w:rPr>
          <w:lang w:val="en-US"/>
        </w:rPr>
        <w:t xml:space="preserve"> of the first extensor compartment of the wrist: what sonographers should </w:t>
      </w:r>
      <w:proofErr w:type="gramStart"/>
      <w:r w:rsidRPr="00CF5188">
        <w:rPr>
          <w:lang w:val="en-US"/>
        </w:rPr>
        <w:t>know</w:t>
      </w:r>
      <w:r w:rsidR="00CF5188">
        <w:rPr>
          <w:i/>
          <w:lang w:val="en-US"/>
        </w:rPr>
        <w:t>.</w:t>
      </w:r>
      <w:proofErr w:type="gramEnd"/>
      <w:r w:rsidR="00CF5188">
        <w:rPr>
          <w:i/>
          <w:lang w:val="en-US"/>
        </w:rPr>
        <w:t xml:space="preserve"> </w:t>
      </w:r>
      <w:proofErr w:type="spellStart"/>
      <w:proofErr w:type="gramStart"/>
      <w:r w:rsidR="00CF5188">
        <w:rPr>
          <w:i/>
          <w:lang w:val="en-US"/>
        </w:rPr>
        <w:t>Colegio</w:t>
      </w:r>
      <w:proofErr w:type="spellEnd"/>
      <w:r w:rsidR="00CF5188">
        <w:rPr>
          <w:i/>
          <w:lang w:val="en-US"/>
        </w:rPr>
        <w:t xml:space="preserve"> </w:t>
      </w:r>
      <w:proofErr w:type="spellStart"/>
      <w:r w:rsidR="00CF5188">
        <w:rPr>
          <w:i/>
          <w:lang w:val="en-US"/>
        </w:rPr>
        <w:t>Brasileiro</w:t>
      </w:r>
      <w:proofErr w:type="spellEnd"/>
      <w:r w:rsidR="00CF5188">
        <w:rPr>
          <w:i/>
          <w:lang w:val="en-US"/>
        </w:rPr>
        <w:t xml:space="preserve"> de </w:t>
      </w:r>
      <w:proofErr w:type="spellStart"/>
      <w:r w:rsidR="00CF5188">
        <w:rPr>
          <w:i/>
          <w:lang w:val="en-US"/>
        </w:rPr>
        <w:t>Radiologia</w:t>
      </w:r>
      <w:proofErr w:type="spellEnd"/>
      <w:r w:rsidR="00CF5188">
        <w:rPr>
          <w:i/>
          <w:lang w:val="en-US"/>
        </w:rPr>
        <w:t xml:space="preserve"> e </w:t>
      </w:r>
      <w:proofErr w:type="spellStart"/>
      <w:r w:rsidR="00CF5188">
        <w:rPr>
          <w:i/>
          <w:lang w:val="en-US"/>
        </w:rPr>
        <w:t>Diagnostico</w:t>
      </w:r>
      <w:proofErr w:type="spellEnd"/>
      <w:r w:rsidR="00CF5188">
        <w:rPr>
          <w:i/>
          <w:lang w:val="en-US"/>
        </w:rPr>
        <w:t xml:space="preserve"> </w:t>
      </w:r>
      <w:proofErr w:type="spellStart"/>
      <w:r w:rsidR="00CF5188">
        <w:rPr>
          <w:i/>
          <w:lang w:val="en-US"/>
        </w:rPr>
        <w:t>por</w:t>
      </w:r>
      <w:proofErr w:type="spellEnd"/>
      <w:r w:rsidR="00CF5188">
        <w:rPr>
          <w:i/>
          <w:lang w:val="en-US"/>
        </w:rPr>
        <w:t xml:space="preserve"> </w:t>
      </w:r>
      <w:proofErr w:type="spellStart"/>
      <w:r w:rsidR="00CF5188">
        <w:rPr>
          <w:i/>
          <w:lang w:val="en-US"/>
        </w:rPr>
        <w:t>Imagem</w:t>
      </w:r>
      <w:proofErr w:type="spellEnd"/>
      <w:r w:rsidR="00CF5188">
        <w:rPr>
          <w:i/>
          <w:lang w:val="en-US"/>
        </w:rPr>
        <w:t>.</w:t>
      </w:r>
      <w:proofErr w:type="gramEnd"/>
      <w:r w:rsidR="00CF5188">
        <w:rPr>
          <w:i/>
          <w:lang w:val="en-US"/>
        </w:rPr>
        <w:t xml:space="preserve"> </w:t>
      </w:r>
      <w:r w:rsidR="00CF5188" w:rsidRPr="00CF5188">
        <w:rPr>
          <w:lang w:val="en-US"/>
        </w:rPr>
        <w:t>45 (4): 219-224.</w:t>
      </w:r>
    </w:p>
    <w:p w:rsidR="00D34AB3" w:rsidRPr="00645E8A" w:rsidRDefault="00D34AB3" w:rsidP="00D34AB3">
      <w:pPr>
        <w:jc w:val="both"/>
      </w:pPr>
      <w:r w:rsidRPr="00645E8A">
        <w:lastRenderedPageBreak/>
        <w:t>[4]</w:t>
      </w:r>
      <w:r w:rsidR="00645E8A" w:rsidRPr="00645E8A">
        <w:t xml:space="preserve"> </w:t>
      </w:r>
      <w:proofErr w:type="spellStart"/>
      <w:r w:rsidR="00645E8A" w:rsidRPr="00645E8A">
        <w:rPr>
          <w:i/>
        </w:rPr>
        <w:t>Guia</w:t>
      </w:r>
      <w:proofErr w:type="spellEnd"/>
      <w:r w:rsidR="00645E8A" w:rsidRPr="00645E8A">
        <w:rPr>
          <w:i/>
        </w:rPr>
        <w:t xml:space="preserve"> de </w:t>
      </w:r>
      <w:proofErr w:type="spellStart"/>
      <w:r w:rsidR="00645E8A" w:rsidRPr="00645E8A">
        <w:rPr>
          <w:i/>
        </w:rPr>
        <w:t>atencion</w:t>
      </w:r>
      <w:proofErr w:type="spellEnd"/>
      <w:r w:rsidR="00645E8A" w:rsidRPr="00645E8A">
        <w:rPr>
          <w:i/>
        </w:rPr>
        <w:t xml:space="preserve"> manejo de </w:t>
      </w:r>
      <w:proofErr w:type="spellStart"/>
      <w:r w:rsidR="00645E8A" w:rsidRPr="00645E8A">
        <w:rPr>
          <w:i/>
        </w:rPr>
        <w:t>Tenosinuvitis</w:t>
      </w:r>
      <w:proofErr w:type="spellEnd"/>
      <w:r w:rsidR="00645E8A" w:rsidRPr="00645E8A">
        <w:rPr>
          <w:i/>
        </w:rPr>
        <w:t xml:space="preserve"> de </w:t>
      </w:r>
      <w:proofErr w:type="spellStart"/>
      <w:r w:rsidR="00645E8A" w:rsidRPr="00645E8A">
        <w:rPr>
          <w:i/>
        </w:rPr>
        <w:t>Querain</w:t>
      </w:r>
      <w:proofErr w:type="spellEnd"/>
      <w:r w:rsidR="00645E8A">
        <w:rPr>
          <w:i/>
        </w:rPr>
        <w:t>.</w:t>
      </w:r>
      <w:r w:rsidR="00645E8A" w:rsidRPr="00645E8A">
        <w:t xml:space="preserve"> </w:t>
      </w:r>
      <w:r w:rsidR="00645E8A">
        <w:t>(</w:t>
      </w:r>
      <w:r w:rsidR="00645E8A" w:rsidRPr="00645E8A">
        <w:t>2014</w:t>
      </w:r>
      <w:r w:rsidR="00645E8A">
        <w:t>) Colombia. Editorial: Colombiana de Salud S.A.</w:t>
      </w:r>
    </w:p>
    <w:sectPr w:rsidR="00D34AB3" w:rsidRPr="00645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03B23"/>
    <w:multiLevelType w:val="hybridMultilevel"/>
    <w:tmpl w:val="A95A4B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2ADC"/>
    <w:multiLevelType w:val="hybridMultilevel"/>
    <w:tmpl w:val="FA0E7B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15"/>
    <w:rsid w:val="00272815"/>
    <w:rsid w:val="003F215B"/>
    <w:rsid w:val="005D7BE2"/>
    <w:rsid w:val="00645E8A"/>
    <w:rsid w:val="00886961"/>
    <w:rsid w:val="008F3F51"/>
    <w:rsid w:val="00943C31"/>
    <w:rsid w:val="00BA4675"/>
    <w:rsid w:val="00CC2DF8"/>
    <w:rsid w:val="00CF5188"/>
    <w:rsid w:val="00D3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1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5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1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F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0870-FFA0-4363-B001-A5B58DA0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Segura</dc:creator>
  <cp:lastModifiedBy>Alvaro Segura</cp:lastModifiedBy>
  <cp:revision>1</cp:revision>
  <dcterms:created xsi:type="dcterms:W3CDTF">2018-08-27T14:47:00Z</dcterms:created>
  <dcterms:modified xsi:type="dcterms:W3CDTF">2018-08-27T16:25:00Z</dcterms:modified>
</cp:coreProperties>
</file>