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06F" w:rsidRPr="00FC444B" w:rsidRDefault="0077506F" w:rsidP="0077506F">
      <w:pPr>
        <w:pStyle w:val="Ttulo2"/>
        <w:shd w:val="clear" w:color="auto" w:fill="FFFFFF"/>
        <w:jc w:val="center"/>
        <w:rPr>
          <w:rStyle w:val="nfasissutil"/>
          <w:rFonts w:ascii="Times New Roman" w:hAnsi="Times New Roman" w:cs="Times New Roman"/>
          <w:color w:val="4BACC6" w:themeColor="accent5"/>
          <w:sz w:val="36"/>
          <w:szCs w:val="36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  <w:sz w:val="36"/>
          <w:szCs w:val="36"/>
        </w:rPr>
        <w:t xml:space="preserve">Taller Práctico: Creación del Business </w:t>
      </w:r>
      <w:proofErr w:type="spellStart"/>
      <w:r w:rsidRPr="00FC444B">
        <w:rPr>
          <w:rStyle w:val="nfasissutil"/>
          <w:rFonts w:ascii="Times New Roman" w:hAnsi="Times New Roman" w:cs="Times New Roman"/>
          <w:color w:val="4BACC6" w:themeColor="accent5"/>
          <w:sz w:val="36"/>
          <w:szCs w:val="36"/>
        </w:rPr>
        <w:t>Requirements</w:t>
      </w:r>
      <w:proofErr w:type="spellEnd"/>
      <w:r w:rsidRPr="00FC444B">
        <w:rPr>
          <w:rStyle w:val="nfasissutil"/>
          <w:rFonts w:ascii="Times New Roman" w:hAnsi="Times New Roman" w:cs="Times New Roman"/>
          <w:color w:val="4BACC6" w:themeColor="accent5"/>
          <w:sz w:val="36"/>
          <w:szCs w:val="36"/>
        </w:rPr>
        <w:t xml:space="preserve"> </w:t>
      </w:r>
      <w:proofErr w:type="spellStart"/>
      <w:r w:rsidRPr="00FC444B">
        <w:rPr>
          <w:rStyle w:val="nfasissutil"/>
          <w:rFonts w:ascii="Times New Roman" w:hAnsi="Times New Roman" w:cs="Times New Roman"/>
          <w:color w:val="4BACC6" w:themeColor="accent5"/>
          <w:sz w:val="36"/>
          <w:szCs w:val="36"/>
        </w:rPr>
        <w:t>Document</w:t>
      </w:r>
      <w:proofErr w:type="spellEnd"/>
      <w:r w:rsidRPr="00FC444B">
        <w:rPr>
          <w:rStyle w:val="nfasissutil"/>
          <w:rFonts w:ascii="Times New Roman" w:hAnsi="Times New Roman" w:cs="Times New Roman"/>
          <w:color w:val="4BACC6" w:themeColor="accent5"/>
          <w:sz w:val="36"/>
          <w:szCs w:val="36"/>
        </w:rPr>
        <w:t xml:space="preserve"> (BRD) y Mapeo Estratégico de Interesados en Ecosistemas Digitales</w:t>
      </w:r>
      <w:r w:rsidR="000D67EF" w:rsidRPr="00FC444B">
        <w:rPr>
          <w:rStyle w:val="nfasissutil"/>
          <w:rFonts w:ascii="Times New Roman" w:hAnsi="Times New Roman" w:cs="Times New Roman"/>
          <w:color w:val="4BACC6" w:themeColor="accent5"/>
          <w:sz w:val="36"/>
          <w:szCs w:val="36"/>
        </w:rPr>
        <w:t>.</w:t>
      </w:r>
    </w:p>
    <w:p w:rsidR="00772E76" w:rsidRPr="00FC444B" w:rsidRDefault="00772E76" w:rsidP="00772E76">
      <w:pPr>
        <w:spacing w:before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Hugo Ernesto </w:t>
      </w:r>
      <w:proofErr w:type="spellStart"/>
      <w:r>
        <w:rPr>
          <w:rFonts w:ascii="Times New Roman" w:hAnsi="Times New Roman" w:cs="Times New Roman"/>
          <w:i/>
          <w:iCs/>
          <w:color w:val="666666"/>
          <w:sz w:val="18"/>
          <w:szCs w:val="18"/>
        </w:rPr>
        <w:t>Jovel</w:t>
      </w:r>
      <w:proofErr w:type="spellEnd"/>
      <w:r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 Hernández. Full </w:t>
      </w:r>
      <w:proofErr w:type="spellStart"/>
      <w:r>
        <w:rPr>
          <w:rFonts w:ascii="Times New Roman" w:hAnsi="Times New Roman" w:cs="Times New Roman"/>
          <w:i/>
          <w:iCs/>
          <w:color w:val="666666"/>
          <w:sz w:val="18"/>
          <w:szCs w:val="18"/>
        </w:rPr>
        <w:t>Stack</w:t>
      </w:r>
      <w:proofErr w:type="spellEnd"/>
      <w:r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 J36.</w:t>
      </w:r>
    </w:p>
    <w:p w:rsidR="0077506F" w:rsidRPr="00FC444B" w:rsidRDefault="0077506F" w:rsidP="0077506F">
      <w:pPr>
        <w:spacing w:after="200"/>
        <w:jc w:val="center"/>
        <w:rPr>
          <w:rFonts w:ascii="Times New Roman" w:hAnsi="Times New Roman" w:cs="Times New Roman"/>
        </w:rPr>
      </w:pPr>
    </w:p>
    <w:tbl>
      <w:tblPr>
        <w:tblStyle w:val="Cuadrculavistosa-nfasis1"/>
        <w:tblW w:w="9060" w:type="dxa"/>
        <w:tblLook w:val="0000" w:firstRow="0" w:lastRow="0" w:firstColumn="0" w:lastColumn="0" w:noHBand="0" w:noVBand="0"/>
      </w:tblPr>
      <w:tblGrid>
        <w:gridCol w:w="2400"/>
        <w:gridCol w:w="6660"/>
      </w:tblGrid>
      <w:tr w:rsidR="000D67E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6660" w:type="dxa"/>
          </w:tcPr>
          <w:p w:rsidR="0077506F" w:rsidRPr="00FC444B" w:rsidRDefault="0077506F" w:rsidP="00FC4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0D67E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666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Tienda de Moda (</w:t>
            </w:r>
            <w:proofErr w:type="spellStart"/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Retail</w:t>
            </w:r>
            <w:proofErr w:type="spellEnd"/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) — Confidencial</w:t>
            </w:r>
          </w:p>
        </w:tc>
      </w:tr>
      <w:tr w:rsidR="000D67E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Consultora</w:t>
            </w:r>
          </w:p>
        </w:tc>
        <w:tc>
          <w:tcPr>
            <w:tcW w:w="666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MaTech</w:t>
            </w:r>
            <w:proofErr w:type="spellEnd"/>
            <w:r w:rsidRPr="00FC44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Solutions</w:t>
            </w:r>
            <w:proofErr w:type="spellEnd"/>
          </w:p>
        </w:tc>
      </w:tr>
      <w:tr w:rsidR="000D67E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Elaborado por</w:t>
            </w:r>
          </w:p>
        </w:tc>
        <w:tc>
          <w:tcPr>
            <w:tcW w:w="666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 xml:space="preserve">Analista de Negocio / </w:t>
            </w:r>
            <w:proofErr w:type="spellStart"/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proofErr w:type="spellEnd"/>
            <w:r w:rsidRPr="00FC44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</w:p>
        </w:tc>
      </w:tr>
      <w:tr w:rsidR="000D67E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666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0D67E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666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17 de julio de 2026</w:t>
            </w:r>
          </w:p>
        </w:tc>
      </w:tr>
      <w:tr w:rsidR="000D67E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666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sz w:val="24"/>
                <w:szCs w:val="24"/>
              </w:rPr>
              <w:t>Borrador para revisión de Comité de Proyecto</w:t>
            </w:r>
          </w:p>
        </w:tc>
      </w:tr>
    </w:tbl>
    <w:p w:rsidR="0077506F" w:rsidRPr="00FC444B" w:rsidRDefault="0077506F" w:rsidP="0077506F">
      <w:pPr>
        <w:pStyle w:val="Ttulo1"/>
        <w:pBdr>
          <w:bottom w:val="single" w:sz="6" w:space="4" w:color="1F3864"/>
        </w:pBdr>
        <w:spacing w:before="300" w:after="15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1. Visión y Justificación</w:t>
      </w:r>
    </w:p>
    <w:p w:rsidR="0077506F" w:rsidRPr="00FC444B" w:rsidRDefault="0077506F" w:rsidP="0077506F">
      <w:pPr>
        <w:pStyle w:val="Ttulo2"/>
        <w:spacing w:before="200" w:after="10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1.1 Contexto del problema</w:t>
      </w:r>
    </w:p>
    <w:p w:rsidR="0077506F" w:rsidRPr="00FC444B" w:rsidRDefault="0077506F" w:rsidP="007750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La operación actual de devoluciones se ejecuta de forma manual, soportada por correo electrónico y hojas de cálculo. Esto genera tres efectos críticos sobre el negocio:</w:t>
      </w:r>
    </w:p>
    <w:p w:rsidR="0077506F" w:rsidRPr="00FC444B" w:rsidRDefault="0077506F" w:rsidP="0077506F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El 30 % de las ventas totales terminan en devolución.</w:t>
      </w:r>
    </w:p>
    <w:p w:rsidR="0077506F" w:rsidRPr="00FC444B" w:rsidRDefault="0077506F" w:rsidP="0077506F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El cliente final espera hasta 20 días hábiles para recibir su reembolso.</w:t>
      </w:r>
    </w:p>
    <w:p w:rsidR="0077506F" w:rsidRPr="00FC444B" w:rsidRDefault="0077506F" w:rsidP="0077506F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No existe trazabilidad ni control centralizado del estado de cada devolución, lo que incrementa el riesgo operativo, el costo de atención al cliente y la insatisfacción del comprador.</w:t>
      </w:r>
    </w:p>
    <w:p w:rsidR="0077506F" w:rsidRPr="00FC444B" w:rsidRDefault="0077506F" w:rsidP="0077506F">
      <w:pPr>
        <w:pStyle w:val="Ttulo2"/>
        <w:spacing w:before="200" w:after="10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1.2 Propósito del proyecto</w:t>
      </w:r>
    </w:p>
    <w:p w:rsidR="0077506F" w:rsidRPr="00FC444B" w:rsidRDefault="0077506F" w:rsidP="0077506F">
      <w:pPr>
        <w:spacing w:after="120"/>
        <w:rPr>
          <w:rFonts w:ascii="Times New Roman" w:hAnsi="Times New Roman" w:cs="Times New Roman"/>
        </w:rPr>
      </w:pPr>
      <w:r w:rsidRPr="00FC444B">
        <w:rPr>
          <w:rFonts w:ascii="Times New Roman" w:hAnsi="Times New Roman" w:cs="Times New Roman"/>
          <w:sz w:val="24"/>
          <w:szCs w:val="24"/>
        </w:rPr>
        <w:t>Diseñar e implementar una plataforma digital que automatice el ciclo completo de logística inversa —solicitud, recolección a domicilio, inspección de calidad y reembolso— sustituyendo el flujo manual actual por un proceso trazable, medible y escalable</w:t>
      </w:r>
      <w:r w:rsidRPr="00FC444B">
        <w:rPr>
          <w:rFonts w:ascii="Times New Roman" w:hAnsi="Times New Roman" w:cs="Times New Roman"/>
        </w:rPr>
        <w:t>.</w:t>
      </w:r>
    </w:p>
    <w:p w:rsidR="0077506F" w:rsidRPr="00FC444B" w:rsidRDefault="0077506F" w:rsidP="0077506F">
      <w:pPr>
        <w:pStyle w:val="Ttulo2"/>
        <w:spacing w:before="200" w:after="10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1.3 Objetivos SMART</w:t>
      </w:r>
    </w:p>
    <w:tbl>
      <w:tblPr>
        <w:tblStyle w:val="Cuadrculavistosa-nfasis1"/>
        <w:tblW w:w="9060" w:type="dxa"/>
        <w:tblLook w:val="0000" w:firstRow="0" w:lastRow="0" w:firstColumn="0" w:lastColumn="0" w:noHBand="0" w:noVBand="0"/>
      </w:tblPr>
      <w:tblGrid>
        <w:gridCol w:w="900"/>
        <w:gridCol w:w="8160"/>
      </w:tblGrid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8160" w:type="dxa"/>
          </w:tcPr>
          <w:p w:rsidR="0077506F" w:rsidRPr="00FC444B" w:rsidRDefault="0077506F" w:rsidP="000D6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Objetivo SMART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OBJ-01</w:t>
            </w:r>
          </w:p>
        </w:tc>
        <w:tc>
          <w:tcPr>
            <w:tcW w:w="8160" w:type="dxa"/>
          </w:tcPr>
          <w:p w:rsidR="0077506F" w:rsidRPr="00FC444B" w:rsidRDefault="0077506F" w:rsidP="000D6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Reducir el tiempo promedio de reembolso de 20 a 3 días hábiles durante los primeros 6 meses posteriores al lanzamiento, mediante la automatización del flujo de inspección, aprobación y liquidación del reembolso.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OBJ-02</w:t>
            </w:r>
          </w:p>
        </w:tc>
        <w:tc>
          <w:tcPr>
            <w:tcW w:w="8160" w:type="dxa"/>
          </w:tcPr>
          <w:p w:rsidR="0077506F" w:rsidRPr="00FC444B" w:rsidRDefault="0077506F" w:rsidP="000D6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Migrar el 100 % de las solicitudes de devolución desde correo electrónico y hojas de cálculo hacia la plataforma digital, disminuyendo en al menos 80 % el uso de estos canales manuales durante el primer trimestre de operación.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OBJ-03</w:t>
            </w:r>
          </w:p>
        </w:tc>
        <w:tc>
          <w:tcPr>
            <w:tcW w:w="8160" w:type="dxa"/>
          </w:tcPr>
          <w:p w:rsidR="0077506F" w:rsidRPr="00FC444B" w:rsidRDefault="0077506F" w:rsidP="000D6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Incrementar el índice de satisfacción del cliente (CSAT) asociado al proceso de devoluciones en al menos 25 puntos porcentuales dentro de los primeros 4 meses de implementación, medido mediante encuesta post-servicio automatizada.</w:t>
            </w:r>
          </w:p>
        </w:tc>
      </w:tr>
    </w:tbl>
    <w:p w:rsidR="0077506F" w:rsidRPr="00FC444B" w:rsidRDefault="0077506F" w:rsidP="0077506F">
      <w:pPr>
        <w:pStyle w:val="Ttulo2"/>
        <w:spacing w:before="200" w:after="10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1.4 Justificación de la inversión</w:t>
      </w:r>
    </w:p>
    <w:p w:rsidR="0077506F" w:rsidRPr="00FC444B" w:rsidRDefault="0077506F" w:rsidP="007750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Cada día de retraso en el reembolso incrementa el costo de atención (llamadas, correos de reclamo) y el riesgo de pérdida de clientes recurrentes. Automatizar el 30 % del volumen de ventas que hoy se gestiona manualmente representa una reducción directa de horas-hombre en logística y atención al cliente, además de una mejora medible en la retención y en la reputación de marca.</w:t>
      </w:r>
    </w:p>
    <w:p w:rsidR="0077506F" w:rsidRPr="00FC444B" w:rsidRDefault="0077506F" w:rsidP="0077506F">
      <w:pPr>
        <w:rPr>
          <w:rFonts w:ascii="Times New Roman" w:hAnsi="Times New Roman" w:cs="Times New Roman"/>
        </w:rPr>
      </w:pPr>
      <w:r w:rsidRPr="00FC444B">
        <w:rPr>
          <w:rFonts w:ascii="Times New Roman" w:hAnsi="Times New Roman" w:cs="Times New Roman"/>
        </w:rPr>
        <w:br w:type="page"/>
      </w:r>
    </w:p>
    <w:p w:rsidR="0077506F" w:rsidRPr="00FC444B" w:rsidRDefault="0077506F" w:rsidP="0077506F">
      <w:pPr>
        <w:pStyle w:val="Ttulo1"/>
        <w:pBdr>
          <w:bottom w:val="single" w:sz="6" w:space="4" w:color="1F3864"/>
        </w:pBdr>
        <w:spacing w:before="300" w:after="15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lastRenderedPageBreak/>
        <w:t>2. Análisis del Ecosistema (</w:t>
      </w:r>
      <w:proofErr w:type="spellStart"/>
      <w:r w:rsidRPr="00FC444B">
        <w:rPr>
          <w:rStyle w:val="nfasissutil"/>
          <w:rFonts w:ascii="Times New Roman" w:hAnsi="Times New Roman" w:cs="Times New Roman"/>
          <w:color w:val="4BACC6" w:themeColor="accent5"/>
        </w:rPr>
        <w:t>Stakeholders</w:t>
      </w:r>
      <w:proofErr w:type="spellEnd"/>
      <w:r w:rsidRPr="00FC444B">
        <w:rPr>
          <w:rStyle w:val="nfasissutil"/>
          <w:rFonts w:ascii="Times New Roman" w:hAnsi="Times New Roman" w:cs="Times New Roman"/>
          <w:color w:val="4BACC6" w:themeColor="accent5"/>
        </w:rPr>
        <w:t>)</w:t>
      </w:r>
    </w:p>
    <w:p w:rsidR="0077506F" w:rsidRPr="00FC444B" w:rsidRDefault="0077506F" w:rsidP="0077506F">
      <w:pPr>
        <w:pStyle w:val="Ttulo2"/>
        <w:spacing w:before="200" w:after="10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2.1 Identificación de interesados</w:t>
      </w:r>
    </w:p>
    <w:tbl>
      <w:tblPr>
        <w:tblStyle w:val="Cuadrculavistosa-nfasis1"/>
        <w:tblW w:w="8660" w:type="dxa"/>
        <w:tblLook w:val="0000" w:firstRow="0" w:lastRow="0" w:firstColumn="0" w:lastColumn="0" w:noHBand="0" w:noVBand="0"/>
      </w:tblPr>
      <w:tblGrid>
        <w:gridCol w:w="2600"/>
        <w:gridCol w:w="3200"/>
        <w:gridCol w:w="1400"/>
        <w:gridCol w:w="1460"/>
      </w:tblGrid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3200" w:type="dxa"/>
          </w:tcPr>
          <w:p w:rsidR="0077506F" w:rsidRPr="00FC444B" w:rsidRDefault="0077506F" w:rsidP="00FC4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 frente al proyecto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Poder</w:t>
            </w:r>
          </w:p>
        </w:tc>
        <w:tc>
          <w:tcPr>
            <w:tcW w:w="1460" w:type="dxa"/>
          </w:tcPr>
          <w:p w:rsidR="0077506F" w:rsidRPr="00FC444B" w:rsidRDefault="0077506F" w:rsidP="00FC4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Interés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Gerencia de Logística</w:t>
            </w:r>
          </w:p>
        </w:tc>
        <w:tc>
          <w:tcPr>
            <w:tcW w:w="32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Sponsor operativo, dueño del proceso de devoluciones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146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Alto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Clientes Finales</w:t>
            </w:r>
          </w:p>
        </w:tc>
        <w:tc>
          <w:tcPr>
            <w:tcW w:w="320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Usuario final del servicio de devolución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Bajo</w:t>
            </w:r>
          </w:p>
        </w:tc>
        <w:tc>
          <w:tcPr>
            <w:tcW w:w="146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Alto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Equipo de Atención al Cliente</w:t>
            </w:r>
          </w:p>
        </w:tc>
        <w:tc>
          <w:tcPr>
            <w:tcW w:w="32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Usuario operativo, gestiona excepciones y reclamos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146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Alto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Proveedores de Transporte</w:t>
            </w:r>
          </w:p>
        </w:tc>
        <w:tc>
          <w:tcPr>
            <w:tcW w:w="320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Ejecutan la recolección física del producto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146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Medio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Dirección Financiera (CFO)</w:t>
            </w:r>
          </w:p>
        </w:tc>
        <w:tc>
          <w:tcPr>
            <w:tcW w:w="32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Aprueba presupuesto e impacto en flujo de caja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146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Medio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Equipo de TI / Desarrollo</w:t>
            </w:r>
          </w:p>
        </w:tc>
        <w:tc>
          <w:tcPr>
            <w:tcW w:w="320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Responsable de construir e integrar la plataforma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146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Alto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Área Legal y Cumplimiento</w:t>
            </w:r>
          </w:p>
        </w:tc>
        <w:tc>
          <w:tcPr>
            <w:tcW w:w="32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Vela por el cumplimiento normativo de datos y consumo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146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Bajo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Auditoría Interna</w:t>
            </w:r>
          </w:p>
        </w:tc>
        <w:tc>
          <w:tcPr>
            <w:tcW w:w="320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Supervisa controles internos del nuevo proceso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Bajo</w:t>
            </w:r>
          </w:p>
        </w:tc>
        <w:tc>
          <w:tcPr>
            <w:tcW w:w="146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Bajo</w:t>
            </w:r>
          </w:p>
        </w:tc>
      </w:tr>
    </w:tbl>
    <w:p w:rsidR="0077506F" w:rsidRPr="00FC444B" w:rsidRDefault="0077506F" w:rsidP="0077506F">
      <w:pPr>
        <w:pStyle w:val="Ttulo2"/>
        <w:spacing w:before="200" w:after="10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2.2 Matriz de Interés vs. Poder</w:t>
      </w:r>
    </w:p>
    <w:tbl>
      <w:tblPr>
        <w:tblStyle w:val="Cuadrculavistosa-nfasis1"/>
        <w:tblW w:w="8660" w:type="dxa"/>
        <w:tblLook w:val="0000" w:firstRow="0" w:lastRow="0" w:firstColumn="0" w:lastColumn="0" w:noHBand="0" w:noVBand="0"/>
      </w:tblPr>
      <w:tblGrid>
        <w:gridCol w:w="1800"/>
        <w:gridCol w:w="3400"/>
        <w:gridCol w:w="3460"/>
      </w:tblGrid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0" w:type="dxa"/>
          </w:tcPr>
          <w:p w:rsidR="0077506F" w:rsidRPr="00FC444B" w:rsidRDefault="0077506F" w:rsidP="00FC4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Interés Bajo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6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Interés Alto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Poder Alto</w:t>
            </w:r>
          </w:p>
        </w:tc>
        <w:tc>
          <w:tcPr>
            <w:tcW w:w="3400" w:type="dxa"/>
          </w:tcPr>
          <w:p w:rsidR="0077506F" w:rsidRPr="00FC444B" w:rsidRDefault="0077506F" w:rsidP="006D5DD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  <w:b/>
                <w:bCs/>
              </w:rPr>
              <w:t>Mantener satisfechos:</w:t>
            </w:r>
          </w:p>
          <w:p w:rsidR="0077506F" w:rsidRPr="00FC444B" w:rsidRDefault="0077506F" w:rsidP="006D5DD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Dirección Financiera (CFO)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60" w:type="dxa"/>
          </w:tcPr>
          <w:p w:rsidR="0077506F" w:rsidRPr="00FC444B" w:rsidRDefault="0077506F" w:rsidP="006D5DD6">
            <w:pPr>
              <w:spacing w:after="4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  <w:b/>
                <w:bCs/>
              </w:rPr>
              <w:t>Gestionar de cerca:</w:t>
            </w:r>
          </w:p>
          <w:p w:rsidR="0077506F" w:rsidRPr="00FC444B" w:rsidRDefault="0077506F" w:rsidP="006D5DD6">
            <w:pPr>
              <w:spacing w:after="4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Gerencia de Logística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Poder Medio</w:t>
            </w:r>
          </w:p>
        </w:tc>
        <w:tc>
          <w:tcPr>
            <w:tcW w:w="3400" w:type="dxa"/>
          </w:tcPr>
          <w:p w:rsidR="0077506F" w:rsidRPr="00FC444B" w:rsidRDefault="0077506F" w:rsidP="006D5DD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  <w:b/>
                <w:bCs/>
              </w:rPr>
              <w:t>Monitorear:</w:t>
            </w:r>
          </w:p>
          <w:p w:rsidR="0077506F" w:rsidRPr="00FC444B" w:rsidRDefault="0077506F" w:rsidP="006D5DD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Área Legal y Cumplimiento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60" w:type="dxa"/>
          </w:tcPr>
          <w:p w:rsidR="0077506F" w:rsidRPr="00FC444B" w:rsidRDefault="0077506F" w:rsidP="006D5DD6">
            <w:pPr>
              <w:spacing w:after="4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  <w:b/>
                <w:bCs/>
              </w:rPr>
              <w:t>Gestionar de cerca:</w:t>
            </w:r>
          </w:p>
          <w:p w:rsidR="0077506F" w:rsidRPr="00FC444B" w:rsidRDefault="0077506F" w:rsidP="006D5DD6">
            <w:pPr>
              <w:spacing w:after="4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Atención al Cliente, TI/Desarrollo</w:t>
            </w:r>
          </w:p>
          <w:p w:rsidR="0077506F" w:rsidRPr="00FC444B" w:rsidRDefault="0077506F" w:rsidP="006D5DD6">
            <w:pPr>
              <w:spacing w:after="4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  <w:b/>
                <w:bCs/>
              </w:rPr>
              <w:t>Mantener satisfechos:</w:t>
            </w:r>
          </w:p>
          <w:p w:rsidR="0077506F" w:rsidRPr="00FC444B" w:rsidRDefault="0077506F" w:rsidP="006D5DD6">
            <w:pPr>
              <w:spacing w:after="4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Proveedores de Transporte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Poder Bajo</w:t>
            </w:r>
          </w:p>
        </w:tc>
        <w:tc>
          <w:tcPr>
            <w:tcW w:w="3400" w:type="dxa"/>
          </w:tcPr>
          <w:p w:rsidR="0077506F" w:rsidRPr="00FC444B" w:rsidRDefault="0077506F" w:rsidP="006D5DD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  <w:b/>
                <w:bCs/>
              </w:rPr>
              <w:t>Monitorear:</w:t>
            </w:r>
          </w:p>
          <w:p w:rsidR="0077506F" w:rsidRPr="00FC444B" w:rsidRDefault="0077506F" w:rsidP="006D5DD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Auditoría Interna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60" w:type="dxa"/>
          </w:tcPr>
          <w:p w:rsidR="0077506F" w:rsidRPr="00FC444B" w:rsidRDefault="0077506F" w:rsidP="006D5DD6">
            <w:pPr>
              <w:spacing w:after="4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  <w:b/>
                <w:bCs/>
              </w:rPr>
              <w:t>Mantener informados:</w:t>
            </w:r>
          </w:p>
          <w:p w:rsidR="0077506F" w:rsidRPr="00FC444B" w:rsidRDefault="0077506F" w:rsidP="006D5DD6">
            <w:pPr>
              <w:spacing w:after="4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Clientes Finales</w:t>
            </w:r>
          </w:p>
        </w:tc>
      </w:tr>
    </w:tbl>
    <w:p w:rsidR="0077506F" w:rsidRPr="00FC444B" w:rsidRDefault="0077506F" w:rsidP="007750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b/>
          <w:bCs/>
          <w:sz w:val="24"/>
          <w:szCs w:val="24"/>
        </w:rPr>
        <w:t>Estrategia de gestión por cuadrante:</w:t>
      </w:r>
    </w:p>
    <w:p w:rsidR="0077506F" w:rsidRPr="00FC444B" w:rsidRDefault="0077506F" w:rsidP="0077506F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Gestionar de cerca (Gerencia de Logística, Atención al Cliente, TI/Desarrollo): involucramiento directo en comités de decisión y validación de requerimientos.</w:t>
      </w:r>
    </w:p>
    <w:p w:rsidR="0077506F" w:rsidRPr="00FC444B" w:rsidRDefault="0077506F" w:rsidP="0077506F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Mantener satisfechos (CFO, Proveedores de Transporte): reportes ejecutivos periódicos e indicadores de impacto financiero y de SLA.</w:t>
      </w:r>
    </w:p>
    <w:p w:rsidR="0077506F" w:rsidRPr="00FC444B" w:rsidRDefault="0077506F" w:rsidP="0077506F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Mantener informados (Clientes Finales): comunicación proactiva vía la propia plataforma (notificaciones, estado en tiempo real).</w:t>
      </w:r>
    </w:p>
    <w:p w:rsidR="0077506F" w:rsidRPr="00FC444B" w:rsidRDefault="0077506F" w:rsidP="0077506F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Monitorear (Legal/Cumplimiento, Auditoría Interna): seguimiento pasivo con revisiones puntuales de cumplimiento normativo.</w:t>
      </w:r>
    </w:p>
    <w:p w:rsidR="0077506F" w:rsidRPr="00FC444B" w:rsidRDefault="0077506F" w:rsidP="0077506F">
      <w:pPr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br w:type="page"/>
      </w:r>
    </w:p>
    <w:p w:rsidR="0077506F" w:rsidRPr="00FC444B" w:rsidRDefault="0077506F" w:rsidP="0077506F">
      <w:pPr>
        <w:pStyle w:val="Ttulo1"/>
        <w:pBdr>
          <w:bottom w:val="single" w:sz="6" w:space="4" w:color="1F3864"/>
        </w:pBdr>
        <w:spacing w:before="300" w:after="15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lastRenderedPageBreak/>
        <w:t>3. Especificación de Requerimientos</w:t>
      </w:r>
    </w:p>
    <w:p w:rsidR="0077506F" w:rsidRPr="00FC444B" w:rsidRDefault="0077506F" w:rsidP="0077506F">
      <w:pPr>
        <w:pStyle w:val="Ttulo2"/>
        <w:spacing w:before="200" w:after="10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3.1 Requerimientos Funcionales (RF)</w:t>
      </w:r>
    </w:p>
    <w:tbl>
      <w:tblPr>
        <w:tblStyle w:val="Cuadrculavistosa-nfasis1"/>
        <w:tblW w:w="9060" w:type="dxa"/>
        <w:tblLook w:val="0000" w:firstRow="0" w:lastRow="0" w:firstColumn="0" w:lastColumn="0" w:noHBand="0" w:noVBand="0"/>
      </w:tblPr>
      <w:tblGrid>
        <w:gridCol w:w="900"/>
        <w:gridCol w:w="2400"/>
        <w:gridCol w:w="5760"/>
      </w:tblGrid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400" w:type="dxa"/>
          </w:tcPr>
          <w:p w:rsidR="0077506F" w:rsidRPr="00FC444B" w:rsidRDefault="0077506F" w:rsidP="00FC4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Requerimiento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RF-01</w:t>
            </w:r>
          </w:p>
        </w:tc>
        <w:tc>
          <w:tcPr>
            <w:tcW w:w="24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Programación de recolección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El sistema debe permitir al cliente seleccionar una ventana de horario disponible para la recolección del producto en su domicilio.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RF-02</w:t>
            </w:r>
          </w:p>
        </w:tc>
        <w:tc>
          <w:tcPr>
            <w:tcW w:w="240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Seguimiento en tiempo real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El sistema debe permitir al cliente consultar el estado actual de su devolución (solicitada, en recolección, en inspección, reembolsada).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RF-03</w:t>
            </w:r>
          </w:p>
        </w:tc>
        <w:tc>
          <w:tcPr>
            <w:tcW w:w="24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Registro de inspección de calidad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El sistema debe registrar el resultado de la inspección de calidad realizada en el almacén (aprobado/rechazado, evidencia fotográfica, observaciones).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RF-04</w:t>
            </w:r>
          </w:p>
        </w:tc>
        <w:tc>
          <w:tcPr>
            <w:tcW w:w="240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Generación de guía de recolección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El sistema debe generar automáticamente la orden de recolección para el proveedor de transporte asignado.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RF-05</w:t>
            </w:r>
          </w:p>
        </w:tc>
        <w:tc>
          <w:tcPr>
            <w:tcW w:w="24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Notificaciones automáticas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El sistema debe notificar al cliente en cada cambio de estado del proceso (confirmación, recolección, inspección, reembolso).</w:t>
            </w:r>
          </w:p>
        </w:tc>
      </w:tr>
    </w:tbl>
    <w:p w:rsidR="0077506F" w:rsidRPr="00FC444B" w:rsidRDefault="0077506F" w:rsidP="0077506F">
      <w:pPr>
        <w:pStyle w:val="Ttulo2"/>
        <w:spacing w:before="200" w:after="10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3.2 Requerimientos No Funcionales (RNF)</w:t>
      </w:r>
    </w:p>
    <w:tbl>
      <w:tblPr>
        <w:tblStyle w:val="Cuadrculavistosa-nfasis1"/>
        <w:tblW w:w="9060" w:type="dxa"/>
        <w:tblLook w:val="0000" w:firstRow="0" w:lastRow="0" w:firstColumn="0" w:lastColumn="0" w:noHBand="0" w:noVBand="0"/>
      </w:tblPr>
      <w:tblGrid>
        <w:gridCol w:w="900"/>
        <w:gridCol w:w="2400"/>
        <w:gridCol w:w="5760"/>
      </w:tblGrid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400" w:type="dxa"/>
          </w:tcPr>
          <w:p w:rsidR="0077506F" w:rsidRPr="00FC444B" w:rsidRDefault="0077506F" w:rsidP="00FC4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Requerimiento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RNF-01</w:t>
            </w:r>
          </w:p>
        </w:tc>
        <w:tc>
          <w:tcPr>
            <w:tcW w:w="24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Desempeño del reembolso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El sistema debe procesar el reembolso en menos de 5 segundos tras la aprobación del inspector de calidad.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RNF-02</w:t>
            </w:r>
          </w:p>
        </w:tc>
        <w:tc>
          <w:tcPr>
            <w:tcW w:w="240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Disponibilidad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La plataforma debe garantizar una disponibilidad mínima del 99.5 % mensual.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RNF-03</w:t>
            </w:r>
          </w:p>
        </w:tc>
        <w:tc>
          <w:tcPr>
            <w:tcW w:w="24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Seguridad de datos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La plataforma debe cifrar los datos personales en tránsito y en reposo, cumpliendo la normativa vigente de protección de datos.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RNF-04</w:t>
            </w:r>
          </w:p>
        </w:tc>
        <w:tc>
          <w:tcPr>
            <w:tcW w:w="240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Escalabilidad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La plataforma debe soportar picos de hasta 3 veces el volumen promedio diario de solicitudes sin degradación del servicio.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RNF-05</w:t>
            </w:r>
          </w:p>
        </w:tc>
        <w:tc>
          <w:tcPr>
            <w:tcW w:w="24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Usabilidad / rendimiento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La interfaz del cliente debe cargar en menos de 3 segundos en condiciones normales de red.</w:t>
            </w:r>
          </w:p>
        </w:tc>
      </w:tr>
    </w:tbl>
    <w:p w:rsidR="0077506F" w:rsidRPr="00FC444B" w:rsidRDefault="0077506F" w:rsidP="0077506F">
      <w:pPr>
        <w:rPr>
          <w:rFonts w:ascii="Times New Roman" w:hAnsi="Times New Roman" w:cs="Times New Roman"/>
        </w:rPr>
      </w:pPr>
      <w:r w:rsidRPr="00FC444B">
        <w:rPr>
          <w:rFonts w:ascii="Times New Roman" w:hAnsi="Times New Roman" w:cs="Times New Roman"/>
        </w:rPr>
        <w:br w:type="page"/>
      </w:r>
    </w:p>
    <w:p w:rsidR="0077506F" w:rsidRPr="00FC444B" w:rsidRDefault="0077506F" w:rsidP="0077506F">
      <w:pPr>
        <w:pStyle w:val="Ttulo1"/>
        <w:pBdr>
          <w:bottom w:val="single" w:sz="6" w:space="4" w:color="1F3864"/>
        </w:pBdr>
        <w:spacing w:before="300" w:after="15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lastRenderedPageBreak/>
        <w:t>4. Análisis de Viabilidad</w:t>
      </w:r>
    </w:p>
    <w:p w:rsidR="0077506F" w:rsidRPr="00FC444B" w:rsidRDefault="0077506F" w:rsidP="0077506F">
      <w:pPr>
        <w:pStyle w:val="Ttulo2"/>
        <w:spacing w:before="200" w:after="10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4.1 Restricciones</w:t>
      </w:r>
    </w:p>
    <w:tbl>
      <w:tblPr>
        <w:tblStyle w:val="Cuadrculavistosa-nfasis1"/>
        <w:tblW w:w="9060" w:type="dxa"/>
        <w:tblLook w:val="0000" w:firstRow="0" w:lastRow="0" w:firstColumn="0" w:lastColumn="0" w:noHBand="0" w:noVBand="0"/>
      </w:tblPr>
      <w:tblGrid>
        <w:gridCol w:w="900"/>
        <w:gridCol w:w="8160"/>
      </w:tblGrid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160" w:type="dxa"/>
          </w:tcPr>
          <w:p w:rsidR="0077506F" w:rsidRPr="00FC444B" w:rsidRDefault="0077506F" w:rsidP="00FC4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Restricción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RES-01</w:t>
            </w:r>
          </w:p>
        </w:tc>
        <w:tc>
          <w:tcPr>
            <w:tcW w:w="816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El presupuesto aprobado corresponde a una fase MVP, por lo que solo se priorizarán las integraciones críticas (inventario, pagos, transporte).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RES-02</w:t>
            </w:r>
          </w:p>
        </w:tc>
        <w:tc>
          <w:tcPr>
            <w:tcW w:w="816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La plataforma debe integrarse obligatoriamente con el sistema ERP/</w:t>
            </w:r>
            <w:proofErr w:type="spellStart"/>
            <w:r w:rsidRPr="00FC444B">
              <w:rPr>
                <w:rFonts w:ascii="Times New Roman" w:hAnsi="Times New Roman" w:cs="Times New Roman"/>
              </w:rPr>
              <w:t>legacy</w:t>
            </w:r>
            <w:proofErr w:type="spellEnd"/>
            <w:r w:rsidRPr="00FC444B">
              <w:rPr>
                <w:rFonts w:ascii="Times New Roman" w:hAnsi="Times New Roman" w:cs="Times New Roman"/>
              </w:rPr>
              <w:t xml:space="preserve"> de inventario existente, lo que condiciona la arquitectura y las tecnologías a utilizar.</w:t>
            </w:r>
          </w:p>
        </w:tc>
      </w:tr>
    </w:tbl>
    <w:p w:rsidR="0077506F" w:rsidRPr="00FC444B" w:rsidRDefault="0077506F" w:rsidP="0077506F">
      <w:pPr>
        <w:pStyle w:val="Ttulo2"/>
        <w:spacing w:before="200" w:after="10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4.2 Riesgos Críticos</w:t>
      </w:r>
    </w:p>
    <w:tbl>
      <w:tblPr>
        <w:tblStyle w:val="Cuadrculavistosa-nfasis1"/>
        <w:tblW w:w="9060" w:type="dxa"/>
        <w:tblLook w:val="0000" w:firstRow="0" w:lastRow="0" w:firstColumn="0" w:lastColumn="0" w:noHBand="0" w:noVBand="0"/>
      </w:tblPr>
      <w:tblGrid>
        <w:gridCol w:w="791"/>
        <w:gridCol w:w="2689"/>
        <w:gridCol w:w="1564"/>
        <w:gridCol w:w="1189"/>
        <w:gridCol w:w="2827"/>
      </w:tblGrid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800" w:type="dxa"/>
          </w:tcPr>
          <w:p w:rsidR="0077506F" w:rsidRPr="00FC444B" w:rsidRDefault="0077506F" w:rsidP="00FC4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Riesgo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Probabilidad</w:t>
            </w:r>
          </w:p>
        </w:tc>
        <w:tc>
          <w:tcPr>
            <w:tcW w:w="1200" w:type="dxa"/>
          </w:tcPr>
          <w:p w:rsidR="0077506F" w:rsidRPr="00FC444B" w:rsidRDefault="0077506F" w:rsidP="00FC4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Impacto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:rsidR="0077506F" w:rsidRPr="00FC444B" w:rsidRDefault="0077506F" w:rsidP="00FC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44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Mitigación propuesta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RGO-01</w:t>
            </w:r>
          </w:p>
        </w:tc>
        <w:tc>
          <w:tcPr>
            <w:tcW w:w="28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Incumplimiento de la Ley de Protección de Datos Personales al gestionar información sensible del cliente.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2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 xml:space="preserve">Auditoría legal previa al lanzamiento, cifrado extremo a extremo y </w:t>
            </w:r>
            <w:proofErr w:type="spellStart"/>
            <w:r w:rsidRPr="00FC444B">
              <w:rPr>
                <w:rFonts w:ascii="Times New Roman" w:hAnsi="Times New Roman" w:cs="Times New Roman"/>
              </w:rPr>
              <w:t>anonimización</w:t>
            </w:r>
            <w:proofErr w:type="spellEnd"/>
            <w:r w:rsidRPr="00FC444B">
              <w:rPr>
                <w:rFonts w:ascii="Times New Roman" w:hAnsi="Times New Roman" w:cs="Times New Roman"/>
              </w:rPr>
              <w:t xml:space="preserve"> de datos no esenciales.</w:t>
            </w:r>
          </w:p>
        </w:tc>
      </w:tr>
      <w:tr w:rsidR="0077506F" w:rsidRPr="00FC444B" w:rsidTr="00FC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RGO-02</w:t>
            </w:r>
          </w:p>
        </w:tc>
        <w:tc>
          <w:tcPr>
            <w:tcW w:w="280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Fallos en la integración con la pasarela de pagos para el reembolso automático.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200" w:type="dxa"/>
          </w:tcPr>
          <w:p w:rsidR="0077506F" w:rsidRPr="00FC444B" w:rsidRDefault="0077506F" w:rsidP="006D5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 xml:space="preserve">Pruebas de integración en ambiente </w:t>
            </w:r>
            <w:proofErr w:type="spellStart"/>
            <w:r w:rsidRPr="00FC444B">
              <w:rPr>
                <w:rFonts w:ascii="Times New Roman" w:hAnsi="Times New Roman" w:cs="Times New Roman"/>
              </w:rPr>
              <w:t>sandbox</w:t>
            </w:r>
            <w:proofErr w:type="spellEnd"/>
            <w:r w:rsidRPr="00FC444B">
              <w:rPr>
                <w:rFonts w:ascii="Times New Roman" w:hAnsi="Times New Roman" w:cs="Times New Roman"/>
              </w:rPr>
              <w:t>, mecanismo de reintento y reembolso manual de respaldo (</w:t>
            </w:r>
            <w:proofErr w:type="spellStart"/>
            <w:r w:rsidRPr="00FC444B">
              <w:rPr>
                <w:rFonts w:ascii="Times New Roman" w:hAnsi="Times New Roman" w:cs="Times New Roman"/>
              </w:rPr>
              <w:t>fallback</w:t>
            </w:r>
            <w:proofErr w:type="spellEnd"/>
            <w:r w:rsidRPr="00FC444B">
              <w:rPr>
                <w:rFonts w:ascii="Times New Roman" w:hAnsi="Times New Roman" w:cs="Times New Roman"/>
              </w:rPr>
              <w:t>).</w:t>
            </w:r>
          </w:p>
        </w:tc>
      </w:tr>
      <w:tr w:rsidR="0077506F" w:rsidRPr="00FC444B" w:rsidTr="00FC44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RGO-03</w:t>
            </w:r>
          </w:p>
        </w:tc>
        <w:tc>
          <w:tcPr>
            <w:tcW w:w="28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Resistencia al cambio del equipo de Atención al Cliente frente al nuevo flujo digital.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200" w:type="dxa"/>
          </w:tcPr>
          <w:p w:rsidR="0077506F" w:rsidRPr="00FC444B" w:rsidRDefault="0077506F" w:rsidP="006D5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60" w:type="dxa"/>
          </w:tcPr>
          <w:p w:rsidR="0077506F" w:rsidRPr="00FC444B" w:rsidRDefault="0077506F" w:rsidP="006D5DD6">
            <w:pPr>
              <w:rPr>
                <w:rFonts w:ascii="Times New Roman" w:hAnsi="Times New Roman" w:cs="Times New Roman"/>
              </w:rPr>
            </w:pPr>
            <w:r w:rsidRPr="00FC444B">
              <w:rPr>
                <w:rFonts w:ascii="Times New Roman" w:hAnsi="Times New Roman" w:cs="Times New Roman"/>
              </w:rPr>
              <w:t>Plan de capacitación y gestión del cambio previo al despliegue.</w:t>
            </w:r>
          </w:p>
        </w:tc>
      </w:tr>
    </w:tbl>
    <w:p w:rsidR="0077506F" w:rsidRPr="00FC444B" w:rsidRDefault="0077506F" w:rsidP="0077506F">
      <w:pPr>
        <w:pStyle w:val="Ttulo1"/>
        <w:pBdr>
          <w:bottom w:val="single" w:sz="6" w:space="4" w:color="1F3864"/>
        </w:pBdr>
        <w:spacing w:before="300" w:after="150"/>
        <w:rPr>
          <w:rStyle w:val="nfasissutil"/>
          <w:rFonts w:ascii="Times New Roman" w:hAnsi="Times New Roman" w:cs="Times New Roman"/>
          <w:color w:val="4BACC6" w:themeColor="accent5"/>
        </w:rPr>
      </w:pPr>
      <w:r w:rsidRPr="00FC444B">
        <w:rPr>
          <w:rStyle w:val="nfasissutil"/>
          <w:rFonts w:ascii="Times New Roman" w:hAnsi="Times New Roman" w:cs="Times New Roman"/>
          <w:color w:val="4BACC6" w:themeColor="accent5"/>
        </w:rPr>
        <w:t>5. Próximos Pasos</w:t>
      </w:r>
    </w:p>
    <w:p w:rsidR="0077506F" w:rsidRPr="00FC444B" w:rsidRDefault="0077506F" w:rsidP="0077506F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1. Validar el presente BRD con la Gerencia de Logística y la Dirección Financiera.</w:t>
      </w:r>
    </w:p>
    <w:p w:rsidR="0077506F" w:rsidRPr="00FC444B" w:rsidRDefault="0077506F" w:rsidP="0077506F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2. Priorizar los requerimientos funcionales para la fase MVP.</w:t>
      </w:r>
    </w:p>
    <w:p w:rsidR="0077506F" w:rsidRPr="00FC444B" w:rsidRDefault="0077506F" w:rsidP="0077506F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FC444B">
        <w:rPr>
          <w:rFonts w:ascii="Times New Roman" w:hAnsi="Times New Roman" w:cs="Times New Roman"/>
          <w:sz w:val="24"/>
          <w:szCs w:val="24"/>
        </w:rPr>
        <w:t>3. Iniciar el levantamiento detallado de historias de usuario a partir de los RF definidos.</w:t>
      </w:r>
    </w:p>
    <w:p w:rsidR="0077506F" w:rsidRDefault="0077506F" w:rsidP="0077506F">
      <w:pPr>
        <w:spacing w:before="200"/>
        <w:jc w:val="center"/>
        <w:rPr>
          <w:rFonts w:ascii="Times New Roman" w:hAnsi="Times New Roman" w:cs="Times New Roman"/>
          <w:i/>
          <w:iCs/>
          <w:color w:val="666666"/>
          <w:sz w:val="18"/>
          <w:szCs w:val="18"/>
        </w:rPr>
      </w:pPr>
      <w:r w:rsidRPr="00FC444B"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Documento elaborado por </w:t>
      </w:r>
      <w:proofErr w:type="spellStart"/>
      <w:r w:rsidRPr="00FC444B">
        <w:rPr>
          <w:rFonts w:ascii="Times New Roman" w:hAnsi="Times New Roman" w:cs="Times New Roman"/>
          <w:i/>
          <w:iCs/>
          <w:color w:val="666666"/>
          <w:sz w:val="18"/>
          <w:szCs w:val="18"/>
        </w:rPr>
        <w:t>MaTech</w:t>
      </w:r>
      <w:proofErr w:type="spellEnd"/>
      <w:r w:rsidRPr="00FC444B"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 </w:t>
      </w:r>
      <w:proofErr w:type="spellStart"/>
      <w:r w:rsidRPr="00FC444B">
        <w:rPr>
          <w:rFonts w:ascii="Times New Roman" w:hAnsi="Times New Roman" w:cs="Times New Roman"/>
          <w:i/>
          <w:iCs/>
          <w:color w:val="666666"/>
          <w:sz w:val="18"/>
          <w:szCs w:val="18"/>
        </w:rPr>
        <w:t>Solutions</w:t>
      </w:r>
      <w:proofErr w:type="spellEnd"/>
      <w:r w:rsidRPr="00FC444B"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 — Analista de Negocio / </w:t>
      </w:r>
      <w:proofErr w:type="spellStart"/>
      <w:r w:rsidRPr="00FC444B">
        <w:rPr>
          <w:rFonts w:ascii="Times New Roman" w:hAnsi="Times New Roman" w:cs="Times New Roman"/>
          <w:i/>
          <w:iCs/>
          <w:color w:val="666666"/>
          <w:sz w:val="18"/>
          <w:szCs w:val="18"/>
        </w:rPr>
        <w:t>Product</w:t>
      </w:r>
      <w:proofErr w:type="spellEnd"/>
      <w:r w:rsidRPr="00FC444B"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 </w:t>
      </w:r>
      <w:proofErr w:type="spellStart"/>
      <w:r w:rsidRPr="00FC444B">
        <w:rPr>
          <w:rFonts w:ascii="Times New Roman" w:hAnsi="Times New Roman" w:cs="Times New Roman"/>
          <w:i/>
          <w:iCs/>
          <w:color w:val="666666"/>
          <w:sz w:val="18"/>
          <w:szCs w:val="18"/>
        </w:rPr>
        <w:t>Owner</w:t>
      </w:r>
      <w:proofErr w:type="spellEnd"/>
      <w:r w:rsidRPr="00FC444B">
        <w:rPr>
          <w:rFonts w:ascii="Times New Roman" w:hAnsi="Times New Roman" w:cs="Times New Roman"/>
          <w:i/>
          <w:iCs/>
          <w:color w:val="666666"/>
          <w:sz w:val="18"/>
          <w:szCs w:val="18"/>
        </w:rPr>
        <w:t>.</w:t>
      </w:r>
    </w:p>
    <w:p w:rsidR="00772E76" w:rsidRPr="00FC444B" w:rsidRDefault="00772E76" w:rsidP="0077506F">
      <w:pPr>
        <w:spacing w:before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Hugo Ernesto </w:t>
      </w:r>
      <w:proofErr w:type="spellStart"/>
      <w:r>
        <w:rPr>
          <w:rFonts w:ascii="Times New Roman" w:hAnsi="Times New Roman" w:cs="Times New Roman"/>
          <w:i/>
          <w:iCs/>
          <w:color w:val="666666"/>
          <w:sz w:val="18"/>
          <w:szCs w:val="18"/>
        </w:rPr>
        <w:t>Jovel</w:t>
      </w:r>
      <w:proofErr w:type="spellEnd"/>
      <w:r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 Hernández. Full </w:t>
      </w:r>
      <w:proofErr w:type="spellStart"/>
      <w:r>
        <w:rPr>
          <w:rFonts w:ascii="Times New Roman" w:hAnsi="Times New Roman" w:cs="Times New Roman"/>
          <w:i/>
          <w:iCs/>
          <w:color w:val="666666"/>
          <w:sz w:val="18"/>
          <w:szCs w:val="18"/>
        </w:rPr>
        <w:t>Stack</w:t>
      </w:r>
      <w:proofErr w:type="spellEnd"/>
      <w:r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 J36.</w:t>
      </w:r>
    </w:p>
    <w:p w:rsidR="00392204" w:rsidRPr="00FC444B" w:rsidRDefault="00392204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92204" w:rsidRPr="00FC444B">
      <w:headerReference w:type="default" r:id="rId9"/>
      <w:footerReference w:type="default" r:id="rId10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6A60" w:rsidRDefault="00196A60" w:rsidP="0077506F">
      <w:r>
        <w:separator/>
      </w:r>
    </w:p>
  </w:endnote>
  <w:endnote w:type="continuationSeparator" w:id="0">
    <w:p w:rsidR="00196A60" w:rsidRDefault="00196A60" w:rsidP="00775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693" w:rsidRDefault="00196A60">
    <w:pPr>
      <w:jc w:val="center"/>
    </w:pPr>
    <w:r>
      <w:rPr>
        <w:color w:val="808080"/>
        <w:sz w:val="14"/>
        <w:szCs w:val="14"/>
      </w:rPr>
      <w:t xml:space="preserve">Página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FD6896">
      <w:rPr>
        <w:noProof/>
        <w:color w:val="808080"/>
        <w:sz w:val="14"/>
        <w:szCs w:val="14"/>
      </w:rPr>
      <w:t>4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de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NUMPAGES</w:instrText>
    </w:r>
    <w:r>
      <w:rPr>
        <w:color w:val="808080"/>
        <w:sz w:val="14"/>
        <w:szCs w:val="14"/>
      </w:rPr>
      <w:fldChar w:fldCharType="separate"/>
    </w:r>
    <w:r w:rsidR="00FD6896">
      <w:rPr>
        <w:noProof/>
        <w:color w:val="808080"/>
        <w:sz w:val="14"/>
        <w:szCs w:val="14"/>
      </w:rPr>
      <w:t>4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6A60" w:rsidRDefault="00196A60" w:rsidP="0077506F">
      <w:r>
        <w:separator/>
      </w:r>
    </w:p>
  </w:footnote>
  <w:footnote w:type="continuationSeparator" w:id="0">
    <w:p w:rsidR="00196A60" w:rsidRDefault="00196A60" w:rsidP="007750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693" w:rsidRPr="00FC444B" w:rsidRDefault="00196A60">
    <w:pPr>
      <w:jc w:val="right"/>
      <w:rPr>
        <w:color w:val="4BACC6" w:themeColor="accent5"/>
      </w:rPr>
    </w:pPr>
    <w:r w:rsidRPr="00FC444B">
      <w:rPr>
        <w:color w:val="4BACC6" w:themeColor="accent5"/>
        <w:sz w:val="14"/>
        <w:szCs w:val="14"/>
      </w:rPr>
      <w:t xml:space="preserve">BRD — Plataforma de Logística Inversa | </w:t>
    </w:r>
    <w:proofErr w:type="spellStart"/>
    <w:r w:rsidRPr="00FC444B">
      <w:rPr>
        <w:color w:val="4BACC6" w:themeColor="accent5"/>
        <w:sz w:val="14"/>
        <w:szCs w:val="14"/>
      </w:rPr>
      <w:t>MaTech</w:t>
    </w:r>
    <w:proofErr w:type="spellEnd"/>
    <w:r w:rsidRPr="00FC444B">
      <w:rPr>
        <w:color w:val="4BACC6" w:themeColor="accent5"/>
        <w:sz w:val="14"/>
        <w:szCs w:val="14"/>
      </w:rPr>
      <w:t xml:space="preserve"> </w:t>
    </w:r>
    <w:proofErr w:type="spellStart"/>
    <w:r w:rsidRPr="00FC444B">
      <w:rPr>
        <w:color w:val="4BACC6" w:themeColor="accent5"/>
        <w:sz w:val="14"/>
        <w:szCs w:val="14"/>
      </w:rPr>
      <w:t>Solutions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97ED8"/>
    <w:multiLevelType w:val="hybridMultilevel"/>
    <w:tmpl w:val="F846574A"/>
    <w:lvl w:ilvl="0" w:tplc="02BA03F0">
      <w:start w:val="1"/>
      <w:numFmt w:val="bullet"/>
      <w:lvlText w:val="●"/>
      <w:lvlJc w:val="left"/>
      <w:pPr>
        <w:ind w:left="720" w:hanging="360"/>
      </w:pPr>
    </w:lvl>
    <w:lvl w:ilvl="1" w:tplc="85E2CD0A">
      <w:start w:val="1"/>
      <w:numFmt w:val="bullet"/>
      <w:lvlText w:val="○"/>
      <w:lvlJc w:val="left"/>
      <w:pPr>
        <w:ind w:left="1440" w:hanging="360"/>
      </w:pPr>
    </w:lvl>
    <w:lvl w:ilvl="2" w:tplc="844A6DA6">
      <w:start w:val="1"/>
      <w:numFmt w:val="bullet"/>
      <w:lvlText w:val="■"/>
      <w:lvlJc w:val="left"/>
      <w:pPr>
        <w:ind w:left="2160" w:hanging="360"/>
      </w:pPr>
    </w:lvl>
    <w:lvl w:ilvl="3" w:tplc="047080F6">
      <w:start w:val="1"/>
      <w:numFmt w:val="bullet"/>
      <w:lvlText w:val="●"/>
      <w:lvlJc w:val="left"/>
      <w:pPr>
        <w:ind w:left="2880" w:hanging="360"/>
      </w:pPr>
    </w:lvl>
    <w:lvl w:ilvl="4" w:tplc="EE7229E8">
      <w:start w:val="1"/>
      <w:numFmt w:val="bullet"/>
      <w:lvlText w:val="○"/>
      <w:lvlJc w:val="left"/>
      <w:pPr>
        <w:ind w:left="3600" w:hanging="360"/>
      </w:pPr>
    </w:lvl>
    <w:lvl w:ilvl="5" w:tplc="06D0977C">
      <w:start w:val="1"/>
      <w:numFmt w:val="bullet"/>
      <w:lvlText w:val="■"/>
      <w:lvlJc w:val="left"/>
      <w:pPr>
        <w:ind w:left="4320" w:hanging="360"/>
      </w:pPr>
    </w:lvl>
    <w:lvl w:ilvl="6" w:tplc="0CD6B3AE">
      <w:start w:val="1"/>
      <w:numFmt w:val="bullet"/>
      <w:lvlText w:val="●"/>
      <w:lvlJc w:val="left"/>
      <w:pPr>
        <w:ind w:left="5040" w:hanging="360"/>
      </w:pPr>
    </w:lvl>
    <w:lvl w:ilvl="7" w:tplc="C53AFF96">
      <w:start w:val="1"/>
      <w:numFmt w:val="bullet"/>
      <w:lvlText w:val="●"/>
      <w:lvlJc w:val="left"/>
      <w:pPr>
        <w:ind w:left="5760" w:hanging="360"/>
      </w:pPr>
    </w:lvl>
    <w:lvl w:ilvl="8" w:tplc="CA3E4D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06F"/>
    <w:rsid w:val="000D67EF"/>
    <w:rsid w:val="00196A60"/>
    <w:rsid w:val="00392204"/>
    <w:rsid w:val="00772E76"/>
    <w:rsid w:val="0077506F"/>
    <w:rsid w:val="00FC444B"/>
    <w:rsid w:val="00FD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2E76"/>
    <w:pPr>
      <w:spacing w:after="0" w:line="240" w:lineRule="auto"/>
    </w:pPr>
    <w:rPr>
      <w:rFonts w:ascii="Calibri" w:eastAsia="Calibri" w:hAnsi="Calibri" w:cs="Calibri"/>
      <w:sz w:val="20"/>
      <w:szCs w:val="20"/>
      <w:lang w:eastAsia="es-SV"/>
    </w:rPr>
  </w:style>
  <w:style w:type="paragraph" w:styleId="Ttulo1">
    <w:name w:val="heading 1"/>
    <w:link w:val="Ttulo1Car"/>
    <w:qFormat/>
    <w:rsid w:val="0077506F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  <w:lang w:eastAsia="es-SV"/>
    </w:rPr>
  </w:style>
  <w:style w:type="paragraph" w:styleId="Ttulo2">
    <w:name w:val="heading 2"/>
    <w:link w:val="Ttulo2Car"/>
    <w:qFormat/>
    <w:rsid w:val="0077506F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7506F"/>
    <w:rPr>
      <w:rFonts w:ascii="Calibri" w:eastAsia="Calibri" w:hAnsi="Calibri" w:cs="Calibri"/>
      <w:color w:val="2E74B5"/>
      <w:sz w:val="32"/>
      <w:szCs w:val="32"/>
      <w:lang w:eastAsia="es-SV"/>
    </w:rPr>
  </w:style>
  <w:style w:type="character" w:customStyle="1" w:styleId="Ttulo2Car">
    <w:name w:val="Título 2 Car"/>
    <w:basedOn w:val="Fuentedeprrafopredeter"/>
    <w:link w:val="Ttulo2"/>
    <w:rsid w:val="0077506F"/>
    <w:rPr>
      <w:rFonts w:ascii="Calibri" w:eastAsia="Calibri" w:hAnsi="Calibri" w:cs="Calibri"/>
      <w:color w:val="2E74B5"/>
      <w:sz w:val="26"/>
      <w:szCs w:val="26"/>
      <w:lang w:eastAsia="es-SV"/>
    </w:rPr>
  </w:style>
  <w:style w:type="paragraph" w:styleId="Prrafodelista">
    <w:name w:val="List Paragraph"/>
    <w:qFormat/>
    <w:rsid w:val="0077506F"/>
    <w:pPr>
      <w:spacing w:after="0" w:line="240" w:lineRule="auto"/>
    </w:pPr>
    <w:rPr>
      <w:rFonts w:ascii="Calibri" w:eastAsia="Calibri" w:hAnsi="Calibri" w:cs="Calibri"/>
      <w:sz w:val="20"/>
      <w:szCs w:val="20"/>
      <w:lang w:eastAsia="es-SV"/>
    </w:rPr>
  </w:style>
  <w:style w:type="paragraph" w:styleId="Encabezado">
    <w:name w:val="header"/>
    <w:basedOn w:val="Normal"/>
    <w:link w:val="EncabezadoCar"/>
    <w:uiPriority w:val="99"/>
    <w:unhideWhenUsed/>
    <w:rsid w:val="007750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506F"/>
    <w:rPr>
      <w:rFonts w:ascii="Calibri" w:eastAsia="Calibri" w:hAnsi="Calibri" w:cs="Calibri"/>
      <w:sz w:val="20"/>
      <w:szCs w:val="20"/>
      <w:lang w:eastAsia="es-SV"/>
    </w:rPr>
  </w:style>
  <w:style w:type="paragraph" w:styleId="Piedepgina">
    <w:name w:val="footer"/>
    <w:basedOn w:val="Normal"/>
    <w:link w:val="PiedepginaCar"/>
    <w:uiPriority w:val="99"/>
    <w:unhideWhenUsed/>
    <w:rsid w:val="007750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06F"/>
    <w:rPr>
      <w:rFonts w:ascii="Calibri" w:eastAsia="Calibri" w:hAnsi="Calibri" w:cs="Calibri"/>
      <w:sz w:val="20"/>
      <w:szCs w:val="20"/>
      <w:lang w:eastAsia="es-SV"/>
    </w:rPr>
  </w:style>
  <w:style w:type="character" w:styleId="nfasissutil">
    <w:name w:val="Subtle Emphasis"/>
    <w:basedOn w:val="Fuentedeprrafopredeter"/>
    <w:uiPriority w:val="19"/>
    <w:qFormat/>
    <w:rsid w:val="000D67EF"/>
    <w:rPr>
      <w:i/>
      <w:iCs/>
      <w:color w:val="808080" w:themeColor="text1" w:themeTint="7F"/>
    </w:rPr>
  </w:style>
  <w:style w:type="table" w:styleId="Sombreadoclaro">
    <w:name w:val="Light Shading"/>
    <w:basedOn w:val="Tablanormal"/>
    <w:uiPriority w:val="60"/>
    <w:rsid w:val="000D67E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0D67E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aconcuadrcula">
    <w:name w:val="Table Grid"/>
    <w:basedOn w:val="Tablanormal"/>
    <w:uiPriority w:val="59"/>
    <w:rsid w:val="000D6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2-nfasis4">
    <w:name w:val="Medium Shading 2 Accent 4"/>
    <w:basedOn w:val="Tablanormal"/>
    <w:uiPriority w:val="64"/>
    <w:rsid w:val="000D67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1">
    <w:name w:val="Medium List 1 Accent 1"/>
    <w:basedOn w:val="Tablanormal"/>
    <w:uiPriority w:val="65"/>
    <w:rsid w:val="000D67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0D67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0D67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5">
    <w:name w:val="Medium List 1 Accent 5"/>
    <w:basedOn w:val="Tablanormal"/>
    <w:uiPriority w:val="65"/>
    <w:rsid w:val="000D67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Cuadrculavistosa">
    <w:name w:val="Colorful Grid"/>
    <w:basedOn w:val="Tablanormal"/>
    <w:uiPriority w:val="73"/>
    <w:rsid w:val="000D67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FC444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2E76"/>
    <w:pPr>
      <w:spacing w:after="0" w:line="240" w:lineRule="auto"/>
    </w:pPr>
    <w:rPr>
      <w:rFonts w:ascii="Calibri" w:eastAsia="Calibri" w:hAnsi="Calibri" w:cs="Calibri"/>
      <w:sz w:val="20"/>
      <w:szCs w:val="20"/>
      <w:lang w:eastAsia="es-SV"/>
    </w:rPr>
  </w:style>
  <w:style w:type="paragraph" w:styleId="Ttulo1">
    <w:name w:val="heading 1"/>
    <w:link w:val="Ttulo1Car"/>
    <w:qFormat/>
    <w:rsid w:val="0077506F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  <w:lang w:eastAsia="es-SV"/>
    </w:rPr>
  </w:style>
  <w:style w:type="paragraph" w:styleId="Ttulo2">
    <w:name w:val="heading 2"/>
    <w:link w:val="Ttulo2Car"/>
    <w:qFormat/>
    <w:rsid w:val="0077506F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7506F"/>
    <w:rPr>
      <w:rFonts w:ascii="Calibri" w:eastAsia="Calibri" w:hAnsi="Calibri" w:cs="Calibri"/>
      <w:color w:val="2E74B5"/>
      <w:sz w:val="32"/>
      <w:szCs w:val="32"/>
      <w:lang w:eastAsia="es-SV"/>
    </w:rPr>
  </w:style>
  <w:style w:type="character" w:customStyle="1" w:styleId="Ttulo2Car">
    <w:name w:val="Título 2 Car"/>
    <w:basedOn w:val="Fuentedeprrafopredeter"/>
    <w:link w:val="Ttulo2"/>
    <w:rsid w:val="0077506F"/>
    <w:rPr>
      <w:rFonts w:ascii="Calibri" w:eastAsia="Calibri" w:hAnsi="Calibri" w:cs="Calibri"/>
      <w:color w:val="2E74B5"/>
      <w:sz w:val="26"/>
      <w:szCs w:val="26"/>
      <w:lang w:eastAsia="es-SV"/>
    </w:rPr>
  </w:style>
  <w:style w:type="paragraph" w:styleId="Prrafodelista">
    <w:name w:val="List Paragraph"/>
    <w:qFormat/>
    <w:rsid w:val="0077506F"/>
    <w:pPr>
      <w:spacing w:after="0" w:line="240" w:lineRule="auto"/>
    </w:pPr>
    <w:rPr>
      <w:rFonts w:ascii="Calibri" w:eastAsia="Calibri" w:hAnsi="Calibri" w:cs="Calibri"/>
      <w:sz w:val="20"/>
      <w:szCs w:val="20"/>
      <w:lang w:eastAsia="es-SV"/>
    </w:rPr>
  </w:style>
  <w:style w:type="paragraph" w:styleId="Encabezado">
    <w:name w:val="header"/>
    <w:basedOn w:val="Normal"/>
    <w:link w:val="EncabezadoCar"/>
    <w:uiPriority w:val="99"/>
    <w:unhideWhenUsed/>
    <w:rsid w:val="007750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506F"/>
    <w:rPr>
      <w:rFonts w:ascii="Calibri" w:eastAsia="Calibri" w:hAnsi="Calibri" w:cs="Calibri"/>
      <w:sz w:val="20"/>
      <w:szCs w:val="20"/>
      <w:lang w:eastAsia="es-SV"/>
    </w:rPr>
  </w:style>
  <w:style w:type="paragraph" w:styleId="Piedepgina">
    <w:name w:val="footer"/>
    <w:basedOn w:val="Normal"/>
    <w:link w:val="PiedepginaCar"/>
    <w:uiPriority w:val="99"/>
    <w:unhideWhenUsed/>
    <w:rsid w:val="007750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06F"/>
    <w:rPr>
      <w:rFonts w:ascii="Calibri" w:eastAsia="Calibri" w:hAnsi="Calibri" w:cs="Calibri"/>
      <w:sz w:val="20"/>
      <w:szCs w:val="20"/>
      <w:lang w:eastAsia="es-SV"/>
    </w:rPr>
  </w:style>
  <w:style w:type="character" w:styleId="nfasissutil">
    <w:name w:val="Subtle Emphasis"/>
    <w:basedOn w:val="Fuentedeprrafopredeter"/>
    <w:uiPriority w:val="19"/>
    <w:qFormat/>
    <w:rsid w:val="000D67EF"/>
    <w:rPr>
      <w:i/>
      <w:iCs/>
      <w:color w:val="808080" w:themeColor="text1" w:themeTint="7F"/>
    </w:rPr>
  </w:style>
  <w:style w:type="table" w:styleId="Sombreadoclaro">
    <w:name w:val="Light Shading"/>
    <w:basedOn w:val="Tablanormal"/>
    <w:uiPriority w:val="60"/>
    <w:rsid w:val="000D67E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0D67E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aconcuadrcula">
    <w:name w:val="Table Grid"/>
    <w:basedOn w:val="Tablanormal"/>
    <w:uiPriority w:val="59"/>
    <w:rsid w:val="000D6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2-nfasis4">
    <w:name w:val="Medium Shading 2 Accent 4"/>
    <w:basedOn w:val="Tablanormal"/>
    <w:uiPriority w:val="64"/>
    <w:rsid w:val="000D67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1">
    <w:name w:val="Medium List 1 Accent 1"/>
    <w:basedOn w:val="Tablanormal"/>
    <w:uiPriority w:val="65"/>
    <w:rsid w:val="000D67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0D67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0D67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5">
    <w:name w:val="Medium List 1 Accent 5"/>
    <w:basedOn w:val="Tablanormal"/>
    <w:uiPriority w:val="65"/>
    <w:rsid w:val="000D67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Cuadrculavistosa">
    <w:name w:val="Colorful Grid"/>
    <w:basedOn w:val="Tablanormal"/>
    <w:uiPriority w:val="73"/>
    <w:rsid w:val="000D67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FC444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2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2C4E8-630A-4E0C-AD69-890A8B4E2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1118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Jovel WebServer</dc:creator>
  <cp:lastModifiedBy>Hugo Jovel WebServer</cp:lastModifiedBy>
  <cp:revision>3</cp:revision>
  <cp:lastPrinted>2026-07-20T01:43:00Z</cp:lastPrinted>
  <dcterms:created xsi:type="dcterms:W3CDTF">2026-07-20T01:03:00Z</dcterms:created>
  <dcterms:modified xsi:type="dcterms:W3CDTF">2026-07-20T01:44:00Z</dcterms:modified>
</cp:coreProperties>
</file>