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Default="00CB691D" w:rsidR="0097031F">
      <w:pPr>
        <w:spacing w:before="2000" w:after="400"/>
        <w:jc w:val="center"/>
      </w:pPr>
      <w:r>
        <w:rPr>
          <w:b/>
          <w:bCs/>
          <w:color w:val="1F4E79"/>
          <w:sz w:val="48"/>
          <w:szCs w:val="48"/>
        </w:rPr>
        <w:t>Documento de Requisitos</w:t>
      </w:r>
    </w:p>
    <w:p w:rsidRDefault="00CB691D" w:rsidR="0097031F">
      <w:pPr>
        <w:spacing w:after="200"/>
        <w:jc w:val="center"/>
      </w:pPr>
      <w:r>
        <w:rPr>
          <w:color w:val="2E75B6"/>
          <w:sz w:val="32"/>
          <w:szCs w:val="32"/>
        </w:rPr>
        <w:t xml:space="preserve">Projeto </w:t>
      </w:r>
      <w:proofErr w:type="spellStart"/>
      <w:r>
        <w:rPr>
          <w:color w:val="2E75B6"/>
          <w:sz w:val="32"/>
          <w:szCs w:val="32"/>
        </w:rPr>
        <w:t>Baratie</w:t>
      </w:r>
      <w:proofErr w:type="spellEnd"/>
    </w:p>
    <w:p w:rsidRDefault="00CB691D" w:rsidR="0097031F">
      <w:pPr>
        <w:jc w:val="center"/>
      </w:pPr>
      <w:r>
        <w:rPr>
          <w:color w:val="555555"/>
          <w:sz w:val="24"/>
          <w:szCs w:val="24"/>
        </w:rPr>
        <w:t>Sistema de Informações Nutricionais</w:t>
      </w:r>
    </w:p>
    <w:p w:rsidRDefault="0097031F" w:rsidR="0097031F">
      <w:pPr>
        <w:spacing w:before="160" w:after="160"/>
      </w:pPr>
    </w:p>
    <w:p w:rsidRDefault="0097031F" w:rsidR="0097031F">
      <w:pPr>
        <w:spacing w:before="160" w:after="160"/>
      </w:pPr>
    </w:p>
    <w:p w:rsidRDefault="00CB691D" w:rsidR="0097031F">
      <w:pPr>
        <w:pStyle w:val="Ttulo1"/>
      </w:pPr>
      <w:r>
        <w:t>1. Requisitos Funcionais – Usuário (Cliente)</w:t>
      </w:r>
    </w:p>
    <w:p w:rsidRDefault="0097031F" w:rsidR="0097031F">
      <w:pPr>
        <w:spacing w:before="160" w:after="160"/>
      </w:pPr>
    </w:p>
    <w:tbl>
      <w:tblPr>
        <w:tblW w:w="9360" w:type="dxa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CellMar>
          <w:left w:w="10" w:type="dxa"/>
          <w:right w:w="10" w:type="dxa"/>
        </w:tblCellMar>
        <w:tblLook w:firstRow="1" w:firstColumn="1" w:noHBand="0" w:val="04A0" w:lastRow="0" w:lastColumn="0" w:noVBand="1"/>
      </w:tblPr>
      <w:tblGrid>
        <w:gridCol w:w="1600"/>
        <w:gridCol w:w="7760"/>
      </w:tblGrid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exibir uma breve descrição sobre os macronutrientes.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disponibilizar um botão "Saiba Mais", permitindo ao usuário visualizar informações detalhadas sobre macronutrientes e micronutrientes, incluindo carboidratos, proteínas e lipídios.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calcular automaticamente o total de calorias de cada refeição cadastrada.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exibir uma lista com todas as refeições cadastradas no banco de dados.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calcular automaticamente a quantidade total de carboidratos, proteínas e lipídios consumidos pelo usuário.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disponibilizar uma barra de pesquisa para localizar refeições por meio do nome do alimento.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1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5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11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19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30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42"/>
              </w:sdtPr>
              <w:sdtContent>
                <w:commentRangeStart w:id="6"/>
              </w:sdtContent>
            </w:sdt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filtrar as refeições de acordo com os critérios de calorias e quantidade de macronutrientes (alto ou baixo, crescente e decrescente).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filtrar as refeições de acordo com alguma especialidade do usuário (Intolerância a Lactose - Intolerância ao Glúten).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0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4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10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17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27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39"/>
              </w:sdtPr>
              <w:sdtContent>
                <w:commentRangeStart w:id="3"/>
              </w:sdtContent>
            </w:sdt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filtrar as refeições tendo como parâmetros de entrada a quantidade de macronutrientes (quantidade em gramas ou porcentagem).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</w:tr>
    </w:tbl>
    <w:p w:rsidRDefault="0097031F" w:rsidR="0097031F">
      <w:pPr>
        <w:spacing w:before="160" w:after="160"/>
      </w:pPr>
    </w:p>
    <w:p w:rsidRDefault="00CB691D" w:rsidR="0097031F">
      <w:pPr>
        <w:pStyle w:val="Ttulo1"/>
      </w:pPr>
      <w:r>
        <w:lastRenderedPageBreak/>
        <w:t>2. Requisitos Funcionais – Usuário (Administrador)</w:t>
      </w:r>
    </w:p>
    <w:p w:rsidRDefault="0097031F" w:rsidR="0097031F">
      <w:pPr>
        <w:spacing w:before="160" w:after="160"/>
      </w:pPr>
    </w:p>
    <w:tbl>
      <w:tblPr>
        <w:tblW w:w="9360" w:type="dxa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CellMar>
          <w:left w:w="10" w:type="dxa"/>
          <w:right w:w="10" w:type="dxa"/>
        </w:tblCellMar>
        <w:tblLook w:firstRow="1" w:firstColumn="1" w:noHBand="0" w:val="04A0" w:lastRow="0" w:lastColumn="0" w:noVBand="1"/>
      </w:tblPr>
      <w:tblGrid>
        <w:gridCol w:w="1600"/>
        <w:gridCol w:w="7760"/>
      </w:tblGrid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que o usuário realize o login informando seu e-mail ou nome de usuário e sua senha.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que o usuário solicite a recuperação de senha por meio do e-mail cadastrado.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2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7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14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24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36"/>
              </w:sdtPr>
              <w:sdtContent>
                <w:commentRangeStart w:id="0"/>
              </w:sdtContent>
            </w:sdt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o cadastro de refeições contendo as informações de carboidratos, proteínas e lipídios.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a edição das informações das refeições já cadastradas.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a remoção das refeições cadastradas no banco de dados.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</w:tr>
    </w:tbl>
    <w:p w:rsidRDefault="0097031F" w:rsidR="0097031F">
      <w:pPr>
        <w:spacing w:before="160" w:after="160"/>
      </w:pPr>
    </w:p>
    <w:p w:rsidRDefault="00CB691D" w:rsidR="0097031F">
      <w:pPr>
        <w:pStyle w:val="Ttulo1"/>
      </w:pPr>
      <w:r>
        <w:t>3. Requisitos Não Funcionais</w:t>
      </w:r>
    </w:p>
    <w:p w:rsidRDefault="0097031F" w:rsidR="0097031F">
      <w:pPr>
        <w:spacing w:before="160" w:after="160"/>
      </w:pPr>
    </w:p>
    <w:tbl>
      <w:tblPr>
        <w:tblW w:w="9360" w:type="dxa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CellMar>
          <w:left w:w="10" w:type="dxa"/>
          <w:right w:w="10" w:type="dxa"/>
        </w:tblCellMar>
        <w:tblLook w:firstRow="1" w:firstColumn="1" w:noHBand="0" w:val="04A0" w:lastRow="0" w:lastColumn="0" w:noVBand="1"/>
      </w:tblPr>
      <w:tblGrid>
        <w:gridCol w:w="1600"/>
        <w:gridCol w:w="7760"/>
      </w:tblGrid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6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13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22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33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45"/>
              </w:sdtPr>
              <w:sdtContent>
                <w:commentRangeStart w:id="9"/>
              </w:sdtContent>
            </w:sdt>
            <w:r>
              <w:rPr>
                <w:sz w:val="20"/>
                <w:szCs w:val="20"/>
              </w:rPr>
              <w:t>O sistema deve exigir autenticação por e-mail e senha para acesso às funcionalidades.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3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9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16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26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38"/>
              </w:sdtPr>
              <w:sdtContent>
                <w:commentRangeStart w:id="2"/>
              </w:sdtContent>
            </w:sdt>
            <w:r>
              <w:rPr>
                <w:sz w:val="20"/>
                <w:szCs w:val="20"/>
              </w:rPr>
              <w:t>O sistema deve diferenciar os níveis de acesso entre Cliente e Administrador, garantindo que cada usuário acesse apenas as funcionalidades permitidas.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estar disponível para utilização 24 horas por dia, exceto durante os períodos programados de manutenção.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tempo de resposta das consultas e operações do sistema não deve ultrapassar 3 segundos em condições normais de uso.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12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21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32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44"/>
              </w:sdtPr>
              <w:sdtContent>
                <w:commentRangeStart w:id="8"/>
              </w:sdtContent>
            </w:sdt>
            <w:r>
              <w:rPr>
                <w:sz w:val="20"/>
                <w:szCs w:val="20"/>
              </w:rPr>
              <w:t>A interface deve adaptar-se corretamente a computadores, tablets e smartphones.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8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15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25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37"/>
              </w:sdtPr>
              <w:sdtContent>
                <w:commentRangeStart w:id="1"/>
              </w:sdtContent>
            </w:sdt>
            <w:r>
              <w:rPr>
                <w:sz w:val="20"/>
                <w:szCs w:val="20"/>
              </w:rPr>
              <w:t>O sistema deve possuir uma interface intuitiva e de fácil utilização para usuários com conhecimentos básicos de informática.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23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35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48"/>
              </w:sdtPr>
              <w:sdtContent>
                <w:commentRangeStart w:id="12"/>
              </w:sdtContent>
            </w:sdt>
            <w:r>
              <w:rPr>
                <w:sz w:val="20"/>
                <w:szCs w:val="20"/>
              </w:rPr>
              <w:t>O sistema deve ser compatível com os principais navegadores modernos: Google Chrome, Mozilla Firefox, Microsoft Edge e Safari.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garantir a consistência e integridade das informações armazenadas no banco de dados.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RNF09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20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31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43"/>
              </w:sdtPr>
              <w:sdtContent>
                <w:commentRangeStart w:id="7"/>
              </w:sdtContent>
            </w:sdt>
            <w:r>
              <w:rPr>
                <w:sz w:val="20"/>
                <w:szCs w:val="20"/>
              </w:rPr>
              <w:t>O código-fonte deve ser organizado e documentado para facilitar correções e melhorias.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RNF10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18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29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41"/>
              </w:sdtPr>
              <w:sdtContent>
                <w:commentRangeStart w:id="5"/>
              </w:sdtContent>
            </w:sdt>
            <w:r>
              <w:rPr>
                <w:sz w:val="20"/>
                <w:szCs w:val="20"/>
              </w:rPr>
              <w:t>O sistema deve armazenar os dados em um banco de dados relacional.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RNF11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seguir princípios básicos de acessibilidade, como contraste adequado, textos legíveis e navegação clara.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lastRenderedPageBreak/>
              <w:t>RNF12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</w:r>
            <w:sdt>
              <w:sdtPr>
                <w:tag w:val="goog_rdk_34"/>
              </w:sdtPr>
              <w:sdtContent/>
            </w:sdt>
            <w:r>
              <w:rPr>
                <w:sz w:val="20"/>
                <w:szCs w:val="20"/>
              </w:rPr>
            </w:r>
            <w:sdt>
              <w:sdtPr>
                <w:tag w:val="goog_rdk_47"/>
              </w:sdtPr>
              <w:sdtContent>
                <w:commentRangeStart w:id="11"/>
              </w:sdtContent>
            </w:sdt>
            <w:r>
              <w:rPr>
                <w:sz w:val="20"/>
                <w:szCs w:val="20"/>
              </w:rPr>
              <w:t>O sistema deve registrar operações críticas realizadas pelos administradores, como cadastro, edição e exclusão de registros.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28"/>
              </w:sdtPr>
              <w:sdtContent/>
            </w:sdt>
            <w:r>
              <w:rPr>
                <w:b/>
                <w:bCs/>
                <w:sz w:val="20"/>
                <w:szCs w:val="20"/>
              </w:rPr>
            </w:r>
            <w:sdt>
              <w:sdtPr>
                <w:tag w:val="goog_rdk_40"/>
              </w:sdtPr>
              <w:sdtContent>
                <w:commentRangeStart w:id="4"/>
              </w:sdtContent>
            </w:sdt>
            <w:r>
              <w:rPr>
                <w:b/>
                <w:bCs/>
                <w:sz w:val="20"/>
                <w:szCs w:val="20"/>
              </w:rPr>
              <w:t>RNF13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ser desenvolvido como uma aplicação web acessível pela internet.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RNF14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 xml:space="preserve">O sistema deve ser desenvolvido utilizando HTML, CSS,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>, Node.js e MySQL.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</w:tbl>
    <w:p w:rsidRDefault="0097031F" w:rsidR="0097031F">
      <w:pPr>
        <w:spacing w:before="160" w:after="160"/>
      </w:pPr>
    </w:p>
    <w:p w:rsidRDefault="00CB691D" w:rsidR="0097031F">
      <w:pPr>
        <w:pStyle w:val="Ttulo1"/>
      </w:pPr>
      <w:r>
        <w:t>4. Requisitos de Negócio</w:t>
      </w:r>
    </w:p>
    <w:p w:rsidRDefault="0097031F" w:rsidR="0097031F">
      <w:pPr>
        <w:spacing w:before="160" w:after="160"/>
      </w:pPr>
    </w:p>
    <w:tbl>
      <w:tblPr>
        <w:tblW w:w="9360" w:type="dxa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CellMar>
          <w:left w:w="10" w:type="dxa"/>
          <w:right w:w="10" w:type="dxa"/>
        </w:tblCellMar>
        <w:tblLook w:firstRow="1" w:firstColumn="1" w:noHBand="0" w:val="04A0" w:lastRow="0" w:lastColumn="0" w:noVBand="1"/>
      </w:tblPr>
      <w:tblGrid>
        <w:gridCol w:w="1600"/>
        <w:gridCol w:w="7760"/>
      </w:tblGrid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</w:r>
            <w:sdt>
              <w:sdtPr>
                <w:tag w:val="goog_rdk_46"/>
              </w:sdtPr>
              <w:sdtContent>
                <w:commentRangeStart w:id="10"/>
              </w:sdtContent>
            </w:sdt>
            <w:r>
              <w:rPr>
                <w:b/>
                <w:bCs/>
                <w:color w:val="FFFFFF"/>
                <w:sz w:val="20"/>
                <w:szCs w:val="20"/>
              </w:rPr>
              <w:t>Código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RN01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Pr="00CB691D" w:rsidRDefault="00CB691D" w:rsidR="00CB69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fornecer informações nutricionais para auxiliar os usuários na compreensão da importância dos macronutrientes e micronutrientes na alimentação.</w:t>
            </w:r>
            <w:bookmarkStart w:id="0" w:name="_GoBack"/>
            <w:bookmarkEnd w:id="0"/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RN02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que os usuários acompanhem o consumo de calorias e macronutrientes de suas refeições.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RN03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oferecer mecanismos de busca e filtragem para facilitar a identificação de refeições compatíveis com os objetivos nutricionais dos usuários.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RN04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permitir a identificação e filtragem de refeições adequadas para usuários com restrições alimentares, como intolerância à lactose e intolerância ao glúten.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RN05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manter um repositório único e organizado de refeições e informações nutricionais.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RN06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Os administradores devem ser responsáveis pelo cadastro, atualização e exclusão das refeições disponíveis no sistema.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5F0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RN10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fornecer informações que auxiliem os usuários a tomar decisões mais conscientes sobre sua alimentação diária.</w:t>
            </w:r>
          </w:p>
        </w:tc>
      </w:tr>
      <w:tr w:rsidR="0097031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b/>
                <w:bCs/>
                <w:sz w:val="20"/>
                <w:szCs w:val="20"/>
              </w:rPr>
              <w:t>RN12</w:t>
            </w:r>
          </w:p>
        </w:tc>
        <w:tc>
          <w:tcPr>
            <w:tcW w:w="7760" w:type="dxa"/>
            <w:tcBorders>
              <w:top w:val="single" w:sz="1" w:color="CCCCCC" w:space="0"/>
              <w:left w:val="single" w:sz="1" w:color="CCCCCC" w:space="0"/>
              <w:bottom w:val="single" w:sz="1" w:color="CCCCCC" w:space="0"/>
              <w:right w:val="single" w:sz="1" w:color="CCCCCC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Default="00CB691D" w:rsidR="0097031F">
            <w:r>
              <w:rPr>
                <w:sz w:val="20"/>
                <w:szCs w:val="20"/>
              </w:rPr>
              <w:t>O sistema deve registrar as ações realizadas pelos administradores para garantir rastreabilidade e controle das alterações efetuadas.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</w:tr>
    </w:tbl>
    <w:p w:rsidRDefault="0097031F" w:rsidR="0097031F">
      <w:pPr>
        <w:spacing w:before="160" w:after="160"/>
      </w:pPr>
    </w:p>
    <w:sectPr w:rsidR="0097031F">
      <w:pgSz w:w="12240" w:h="15840"/>
      <w:pgMar w:gutter="0" w:bottom="1440" w:left="1440" w:footer="708" w:top="1440" w:right="1440" w:header="708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date="2026-06-08T13:57:01Z" w:author="Yuri Silva" w:id="0">
    <w:p w14:paraId="00000002" w14:textId="00000003">
      <w:pPr>
        <w:pStyle w:val="CommentText"/>
      </w:pPr>
      <w:r>
        <w:rPr>
          <w:rStyle w:val="CommentReference"/>
        </w:rPr>
        <w:annotationRef/>
      </w:r>
      <w:r>
        <w:t>esses são apenas 1 representando o CRUD</w:t>
      </w:r>
    </w:p>
  </w:comment>
  <w:comment w:date="2026-06-08T13:59:19Z" w:author="Yuri Silva" w:id="1">
    <w:p w14:paraId="00000005" w14:textId="00000006">
      <w:pPr>
        <w:pStyle w:val="CommentText"/>
      </w:pPr>
      <w:r>
        <w:rPr>
          <w:rStyle w:val="CommentReference"/>
        </w:rPr>
        <w:annotationRef/>
      </w:r>
      <w:r>
        <w:t>Reescrever atendendo as características de reforço do design</w:t>
      </w:r>
    </w:p>
  </w:comment>
  <w:comment w:date="2026-06-08T13:57:50Z" w:author="Yuri Silva" w:id="2">
    <w:p w14:paraId="00000007" w14:textId="00000009">
      <w:pPr>
        <w:pStyle w:val="CommentText"/>
      </w:pPr>
      <w:r>
        <w:rPr>
          <w:rStyle w:val="CommentReference"/>
        </w:rPr>
        <w:annotationRef/>
      </w:r>
      <w:r>
        <w:t>como que ocorrerá essa diferença ? por ID, por TBL ???</w:t>
      </w:r>
    </w:p>
  </w:comment>
  <w:comment w:date="2026-06-08T13:56:09Z" w:author="Yuri Silva" w:id="3">
    <w:p w14:paraId="0000000A" w14:textId="0000000C">
      <w:pPr>
        <w:pStyle w:val="CommentText"/>
      </w:pPr>
      <w:r>
        <w:rPr>
          <w:rStyle w:val="CommentReference"/>
        </w:rPr>
        <w:annotationRef/>
      </w:r>
      <w:r>
        <w:t>o RF07 E RF09 são similares</w:t>
      </w:r>
    </w:p>
  </w:comment>
  <w:comment w:date="2026-06-08T14:01:40Z" w:author="Yuri Silva" w:id="4">
    <w:p w14:paraId="0000000D" w14:textId="0000000F">
      <w:pPr>
        <w:pStyle w:val="CommentText"/>
      </w:pPr>
      <w:r>
        <w:rPr>
          <w:rStyle w:val="CommentReference"/>
        </w:rPr>
        <w:annotationRef/>
      </w:r>
      <w:r>
        <w:t>Estão ambíquos</w:t>
      </w:r>
    </w:p>
  </w:comment>
  <w:comment w:date="2026-06-08T14:00:32Z" w:author="Yuri Silva" w:id="5">
    <w:p w14:paraId="00000011" w14:textId="00000012">
      <w:pPr>
        <w:pStyle w:val="CommentText"/>
      </w:pPr>
      <w:r>
        <w:rPr>
          <w:rStyle w:val="CommentReference"/>
        </w:rPr>
        <w:annotationRef/>
      </w:r>
      <w:r>
        <w:t>Qual o bd?</w:t>
      </w:r>
    </w:p>
  </w:comment>
  <w:comment w:date="2026-06-08T13:55:45Z" w:author="Yuri Silva" w:id="6">
    <w:p w14:paraId="00000014" w14:textId="00000015">
      <w:pPr>
        <w:pStyle w:val="CommentText"/>
      </w:pPr>
      <w:r>
        <w:rPr>
          <w:rStyle w:val="CommentReference"/>
        </w:rPr>
        <w:annotationRef/>
      </w:r>
      <w:r>
        <w:t>não estão ambíguos ?</w:t>
      </w:r>
    </w:p>
  </w:comment>
  <w:comment w:date="2026-06-08T14:00:15Z" w:author="Yuri Silva" w:id="7">
    <w:p w14:paraId="00000016" w14:textId="00000018">
      <w:pPr>
        <w:pStyle w:val="CommentText"/>
      </w:pPr>
      <w:r>
        <w:rPr>
          <w:rStyle w:val="CommentReference"/>
        </w:rPr>
        <w:annotationRef/>
      </w:r>
      <w:r>
        <w:t>e como que pode ser documentado ? qual o local adequado?</w:t>
      </w:r>
    </w:p>
  </w:comment>
  <w:comment w:date="2026-06-08T13:58:41Z" w:author="Yuri Silva" w:id="8">
    <w:p w14:paraId="00000019" w14:textId="0000001A">
      <w:pPr>
        <w:pStyle w:val="CommentText"/>
      </w:pPr>
      <w:r>
        <w:rPr>
          <w:rStyle w:val="CommentReference"/>
        </w:rPr>
        <w:annotationRef/>
      </w:r>
      <w:r>
        <w:t>qual o termo técnico para isso ?</w:t>
      </w:r>
    </w:p>
  </w:comment>
  <w:comment w:date="2026-06-08T13:57:18Z" w:author="Yuri Silva" w:id="9">
    <w:p w14:paraId="0000001C" w14:textId="0000001E">
      <w:pPr>
        <w:pStyle w:val="CommentText"/>
      </w:pPr>
      <w:r>
        <w:rPr>
          <w:rStyle w:val="CommentReference"/>
        </w:rPr>
        <w:annotationRef/>
      </w:r>
      <w:r>
        <w:t>Falta o termo técnico</w:t>
      </w:r>
    </w:p>
  </w:comment>
  <w:comment w:date="2026-06-08T14:03:25Z" w:author="Yuri Silva" w:id="10">
    <w:p w14:paraId="00000020" w14:textId="00000022">
      <w:pPr>
        <w:pStyle w:val="CommentText"/>
      </w:pPr>
      <w:r>
        <w:rPr>
          <w:rStyle w:val="CommentReference"/>
        </w:rPr>
        <w:annotationRef/>
      </w:r>
      <w:r>
        <w:t>todos são considerados RF, para adequar para RN, podemos ver esse exemplo "RN_CALCULO (Para apoiar o RN02): O cálculo do total de calorias diárias de uma refeição deve seguir obrigatoriamente a fórmula: (Carboidratos * 4) + (Proteínas * 4) + (Gorduras * 9)."</w:t>
      </w:r>
    </w:p>
  </w:comment>
  <w:comment w:date="2026-06-08T14:01:15Z" w:author="Yuri Silva" w:id="11">
    <w:p w14:paraId="00000023" w14:textId="00000024">
      <w:pPr>
        <w:pStyle w:val="CommentText"/>
      </w:pPr>
      <w:r>
        <w:rPr>
          <w:rStyle w:val="CommentReference"/>
        </w:rPr>
        <w:annotationRef/>
      </w:r>
      <w:r>
        <w:t>Reescrever considerando o destaque do CRUD com o api e bd</w:t>
      </w:r>
    </w:p>
  </w:comment>
  <w:comment w:date="2026-06-08T13:59:46Z" w:author="Yuri Silva" w:id="12">
    <w:p w14:paraId="00000025" w14:textId="00000026">
      <w:pPr>
        <w:pStyle w:val="CommentText"/>
      </w:pPr>
      <w:r>
        <w:rPr>
          <w:rStyle w:val="CommentReference"/>
        </w:rPr>
        <w:annotationRef/>
      </w:r>
      <w:r>
        <w:t>como a gente garante essa compatibilidade?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2"/>
  <w15:commentEx w15:paraId="00000005"/>
  <w15:commentEx w15:paraId="00000007"/>
  <w15:commentEx w15:paraId="0000000A"/>
  <w15:commentEx w15:paraId="0000000D"/>
  <w15:commentEx w15:paraId="00000011"/>
  <w15:commentEx w15:paraId="00000014"/>
  <w15:commentEx w15:paraId="00000016"/>
  <w15:commentEx w15:paraId="00000019"/>
  <w15:commentEx w15:paraId="0000001C"/>
  <w15:commentEx w15:paraId="00000020"/>
  <w15:commentEx w15:paraId="00000023"/>
  <w15:commentEx w15:paraId="00000025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526F8D"/>
    <w:multiLevelType w:val="hybridMultilevel"/>
    <w:tmpl w:val="A842945C"/>
    <w:lvl w:ilvl="0" w:tplc="271014B8">
      <w:start w:val="1"/>
      <w:numFmt w:val="bullet"/>
      <w:lvlText w:val="●"/>
      <w:lvlJc w:val="left"/>
      <w:pPr>
        <w:ind w:left="720" w:hanging="360"/>
      </w:pPr>
    </w:lvl>
    <w:lvl w:ilvl="1" w:tplc="132E2AE0">
      <w:start w:val="1"/>
      <w:numFmt w:val="bullet"/>
      <w:lvlText w:val="○"/>
      <w:lvlJc w:val="left"/>
      <w:pPr>
        <w:ind w:left="1440" w:hanging="360"/>
      </w:pPr>
    </w:lvl>
    <w:lvl w:ilvl="2" w:tplc="1A58F6E8">
      <w:start w:val="1"/>
      <w:numFmt w:val="bullet"/>
      <w:lvlText w:val="■"/>
      <w:lvlJc w:val="left"/>
      <w:pPr>
        <w:ind w:left="2160" w:hanging="360"/>
      </w:pPr>
    </w:lvl>
    <w:lvl w:ilvl="3" w:tplc="AE52FCEE">
      <w:start w:val="1"/>
      <w:numFmt w:val="bullet"/>
      <w:lvlText w:val="●"/>
      <w:lvlJc w:val="left"/>
      <w:pPr>
        <w:ind w:left="2880" w:hanging="360"/>
      </w:pPr>
    </w:lvl>
    <w:lvl w:ilvl="4" w:tplc="DB20E8F6">
      <w:start w:val="1"/>
      <w:numFmt w:val="bullet"/>
      <w:lvlText w:val="○"/>
      <w:lvlJc w:val="left"/>
      <w:pPr>
        <w:ind w:left="3600" w:hanging="360"/>
      </w:pPr>
    </w:lvl>
    <w:lvl w:ilvl="5" w:tplc="CC10397E">
      <w:start w:val="1"/>
      <w:numFmt w:val="bullet"/>
      <w:lvlText w:val="■"/>
      <w:lvlJc w:val="left"/>
      <w:pPr>
        <w:ind w:left="4320" w:hanging="360"/>
      </w:pPr>
    </w:lvl>
    <w:lvl w:ilvl="6" w:tplc="25626AEA">
      <w:start w:val="1"/>
      <w:numFmt w:val="bullet"/>
      <w:lvlText w:val="●"/>
      <w:lvlJc w:val="left"/>
      <w:pPr>
        <w:ind w:left="5040" w:hanging="360"/>
      </w:pPr>
    </w:lvl>
    <w:lvl w:ilvl="7" w:tplc="147650B2">
      <w:start w:val="1"/>
      <w:numFmt w:val="bullet"/>
      <w:lvlText w:val="●"/>
      <w:lvlJc w:val="left"/>
      <w:pPr>
        <w:ind w:left="5760" w:hanging="360"/>
      </w:pPr>
    </w:lvl>
    <w:lvl w:ilvl="8" w:tplc="357420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31F"/>
    <w:rsid w:val="0097031F"/>
    <w:rsid w:val="00CB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4A6F6"/>
  <w15:docId w15:val="{8A5F9317-C1E6-442B-BF1F-4AE2333D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hAnsi="Arial" w:cs="Arial" w:eastAsia="Arial" w:ascii="Arial"/>
        <w:sz w:val="22"/>
        <w:szCs w:val="22"/>
        <w:lang w:bidi="ar-SA" w:val="pt-BR" w:eastAsia="pt-BR"/>
      </w:rPr>
    </w:rPrDefault>
    <w:pPrDefault/>
  </w:docDefaults>
  <w:latentStyles w:defUIPriority="99" w:defQFormat="0" w:defSemiHidden="0" w:count="375" w:defLockedState="0" w:defUnhideWhenUsed="0">
    <w:lsdException w:name="Normal" w:uiPriority="0" w:qFormat="1"/>
    <w:lsdException w:name="heading 1" w:uiPriority="9" w:qFormat="1"/>
    <w:lsdException w:unhideWhenUsed="1" w:semiHidden="1" w:name="heading 2" w:uiPriority="9" w:qFormat="1"/>
    <w:lsdException w:unhideWhenUsed="1" w:semiHidden="1" w:name="heading 3" w:uiPriority="9" w:qFormat="1"/>
    <w:lsdException w:unhideWhenUsed="1" w:semiHidden="1" w:name="heading 4" w:uiPriority="9" w:qFormat="1"/>
    <w:lsdException w:unhideWhenUsed="1" w:semiHidden="1" w:name="heading 5" w:uiPriority="9" w:qFormat="1"/>
    <w:lsdException w:unhideWhenUsed="1" w:semiHidden="1" w:name="heading 6" w:uiPriority="9" w:qFormat="1"/>
    <w:lsdException w:unhideWhenUsed="1" w:semiHidden="1" w:name="heading 7" w:uiPriority="9" w:qFormat="1"/>
    <w:lsdException w:unhideWhenUsed="1" w:semiHidden="1" w:name="heading 8" w:uiPriority="9" w:qFormat="1"/>
    <w:lsdException w:unhideWhenUsed="1" w:semiHidden="1" w:name="heading 9" w:uiPriority="9" w:qFormat="1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 w:uiPriority="39"/>
    <w:lsdException w:unhideWhenUsed="1" w:semiHidden="1" w:name="toc 5" w:uiPriority="39"/>
    <w:lsdException w:unhideWhenUsed="1" w:semiHidden="1" w:name="toc 6" w:uiPriority="39"/>
    <w:lsdException w:unhideWhenUsed="1" w:semiHidden="1" w:name="toc 7" w:uiPriority="39"/>
    <w:lsdException w:unhideWhenUsed="1" w:semiHidden="1" w:name="toc 8" w:uiPriority="39"/>
    <w:lsdException w:unhideWhenUsed="1" w:semiHidden="1" w:name="toc 9" w:uiPriority="3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 w:uiPriority="35" w:qFormat="1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name="Title" w:uiPriority="10" w:qFormat="1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name="Subtitle" w:uiPriority="11" w:qFormat="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name="Strong" w:uiPriority="22" w:qFormat="1"/>
    <w:lsdException w:name="Emphasis" w:uiPriority="20" w:qFormat="1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name="Table Grid" w:uiPriority="39"/>
    <w:lsdException w:unhideWhenUsed="1" w:semiHidden="1" w:name="Table Theme"/>
    <w:lsdException w:semiHidden="1"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semiHidden="1"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unhideWhenUsed="1" w:semiHidden="1" w:name="Bibliography" w:uiPriority="37"/>
    <w:lsdException w:unhideWhenUsed="1" w:semiHidden="1"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</w:latentStyles>
  <w:style w:default="1" w:styleId="Normal" w:type="paragraph">
    <w:name w:val="Normal"/>
    <w:qFormat/>
  </w:style>
  <w:style w:styleId="Ttulo1" w:type="paragraph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styleId="Ttulo2" w:type="paragraph">
    <w:name w:val="heading 2"/>
    <w:uiPriority w:val="9"/>
    <w:semiHidden/>
    <w:unhideWhenUsed/>
    <w:qFormat/>
    <w:pPr>
      <w:spacing w:before="300" w:after="160"/>
      <w:outlineLvl w:val="1"/>
    </w:pPr>
    <w:rPr>
      <w:b/>
      <w:bCs/>
      <w:color w:val="2E75B6"/>
      <w:sz w:val="26"/>
      <w:szCs w:val="26"/>
    </w:rPr>
  </w:style>
  <w:style w:styleId="Ttulo3" w:type="paragraph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styleId="Ttulo4" w:type="paragraph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styleId="Ttulo5" w:type="paragraph">
    <w:name w:val="heading 5"/>
    <w:uiPriority w:val="9"/>
    <w:semiHidden/>
    <w:unhideWhenUsed/>
    <w:qFormat/>
    <w:pPr>
      <w:outlineLvl w:val="4"/>
    </w:pPr>
    <w:rPr>
      <w:color w:val="2E74B5"/>
    </w:rPr>
  </w:style>
  <w:style w:styleId="Ttulo6" w:type="paragraph">
    <w:name w:val="heading 6"/>
    <w:uiPriority w:val="9"/>
    <w:semiHidden/>
    <w:unhideWhenUsed/>
    <w:qFormat/>
    <w:pPr>
      <w:outlineLvl w:val="5"/>
    </w:pPr>
    <w:rPr>
      <w:color w:val="1F4D78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Semlista" w:type="numbering">
    <w:name w:val="No List"/>
    <w:uiPriority w:val="99"/>
    <w:semiHidden/>
    <w:unhideWhenUsed/>
  </w:style>
  <w:style w:styleId="Ttulo" w:type="paragraph">
    <w:name w:val="Title"/>
    <w:uiPriority w:val="10"/>
    <w:qFormat/>
    <w:rPr>
      <w:sz w:val="56"/>
      <w:szCs w:val="56"/>
    </w:rPr>
  </w:style>
  <w:style w:styleId="Forte1" w:customStyle="1" w:type="paragraph">
    <w:name w:val="Forte1"/>
    <w:qFormat/>
    <w:rPr>
      <w:b/>
      <w:bCs/>
    </w:rPr>
  </w:style>
  <w:style w:styleId="PargrafodaLista" w:type="paragraph">
    <w:name w:val="List Paragraph"/>
    <w:qFormat/>
  </w:style>
  <w:style w:styleId="Hyperlink" w:type="character">
    <w:name w:val="Hyperlink"/>
    <w:uiPriority w:val="99"/>
    <w:unhideWhenUsed/>
    <w:rPr>
      <w:color w:val="0563C1"/>
      <w:u w:val="single"/>
    </w:rPr>
  </w:style>
  <w:style w:styleId="Refdenotaderodap" w:type="character">
    <w:name w:val="footnote reference"/>
    <w:uiPriority w:val="99"/>
    <w:semiHidden/>
    <w:unhideWhenUsed/>
    <w:rPr>
      <w:vertAlign w:val="superscript"/>
    </w:rPr>
  </w:style>
  <w:style w:styleId="Textodenotaderodap" w:type="paragraph">
    <w:name w:val="footnote text"/>
    <w:link w:val="TextodenotaderodapChar"/>
    <w:uiPriority w:val="99"/>
    <w:semiHidden/>
    <w:unhideWhenUsed/>
    <w:rPr>
      <w:sz w:val="20"/>
      <w:szCs w:val="20"/>
    </w:rPr>
  </w:style>
  <w:style w:styleId="TextodenotaderodapChar" w:customStyle="1" w:type="character">
    <w:name w:val="Texto de nota de rodapé Char"/>
    <w:link w:val="Textodenotaderodap"/>
    <w:uiPriority w:val="99"/>
    <w:semiHidden/>
    <w:unhideWhenUsed/>
    <w:rPr>
      <w:sz w:val="20"/>
      <w:szCs w:val="20"/>
    </w:rPr>
  </w:style>
  <w:style w:styleId="Refdenotadefim" w:type="character">
    <w:name w:val="endnote reference"/>
    <w:uiPriority w:val="99"/>
    <w:semiHidden/>
    <w:unhideWhenUsed/>
    <w:rPr>
      <w:vertAlign w:val="superscript"/>
    </w:rPr>
  </w:style>
  <w:style w:styleId="Textodenotadefim" w:type="paragraph">
    <w:name w:val="endnote text"/>
    <w:link w:val="TextodenotadefimChar"/>
    <w:uiPriority w:val="99"/>
    <w:semiHidden/>
    <w:unhideWhenUsed/>
    <w:rPr>
      <w:sz w:val="20"/>
      <w:szCs w:val="20"/>
    </w:rPr>
  </w:style>
  <w:style w:styleId="TextodenotadefimChar" w:customStyle="1" w:type="character">
    <w:name w:val="Texto de nota de fim Char"/>
    <w:link w:val="Textodenotadefim"/>
    <w:uiPriority w:val="99"/>
    <w:semiHidden/>
    <w:unhideWhenUsed/>
    <w:rPr>
      <w:sz w:val="20"/>
      <w:szCs w:val="20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
<Relationships xmlns="http://schemas.openxmlformats.org/package/2006/relationships"><Relationship Type="http://schemas.openxmlformats.org/officeDocument/2006/relationships/settings" Target="settings.xml" Id="rId3"></Relationship><Relationship Type="http://schemas.openxmlformats.org/officeDocument/2006/relationships/styles" Target="styles.xml" Id="rId2"></Relationship><Relationship Type="http://schemas.openxmlformats.org/officeDocument/2006/relationships/numbering" Target="numbering.xml" Id="rId1"></Relationship><Relationship Type="http://schemas.openxmlformats.org/officeDocument/2006/relationships/theme" Target="theme/theme1.xml" Id="rId6"></Relationship><Relationship Type="http://schemas.openxmlformats.org/officeDocument/2006/relationships/fontTable" Target="fontTable.xml" Id="rId5"></Relationship><Relationship Type="http://schemas.openxmlformats.org/officeDocument/2006/relationships/webSettings" Target="webSettings.xml" Id="rId4"></Relationship><Relationship Target="comments.xml" Type="http://schemas.openxmlformats.org/officeDocument/2006/relationships/comments" Id="rId7"></Relationship><Relationship Target="commentsExtended.xml" Type="http://schemas.microsoft.com/office/2011/relationships/commentsExtended" Id="rId8"></Relationship><Relationship Target="../customXML/item1.xml" Type="http://schemas.openxmlformats.org/officeDocument/2006/relationships/customXml" Id="rId9"></Relationship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Target="itemProps1.xml" Type="http://schemas.openxmlformats.org/officeDocument/2006/relationships/customXmlProps" Id="rId1"></Relationship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jzxDziZhByF7W0J7Gsh53QcelyIw==">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728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GEOVANE MERÇON SANTOS</cp:lastModifiedBy>
  <cp:revision>2</cp:revision>
  <dcterms:created xsi:type="dcterms:W3CDTF">2026-06-08T13:47:00Z</dcterms:created>
  <dcterms:modified xsi:type="dcterms:W3CDTF">2026-06-08T13:47:00Z</dcterms:modified>
</cp:coreProperties>
</file>