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DejaVu Sans Condensed" w:hAnsi="DejaVu Sans Condensed" w:cs="Arial"/>
          <w:b/>
          <w:sz w:val="24"/>
          <w:szCs w:val="24"/>
          <w:u w:val="single"/>
        </w:rPr>
      </w:pPr>
      <w:r>
        <w:rPr>
          <w:rFonts w:cs="Arial" w:ascii="DejaVu Sans Condensed" w:hAnsi="DejaVu Sans Condensed"/>
          <w:b/>
          <w:sz w:val="24"/>
          <w:szCs w:val="24"/>
          <w:u w:val="single"/>
        </w:rPr>
      </w:r>
    </w:p>
    <w:p>
      <w:pPr>
        <w:pStyle w:val="Normal"/>
        <w:bidi w:val="0"/>
        <w:spacing w:lineRule="auto" w:line="360"/>
        <w:jc w:val="both"/>
        <w:rPr>
          <w:rFonts w:ascii="DejaVu Sans Condensed" w:hAnsi="DejaVu Sans Condensed"/>
          <w:u w:val="none"/>
        </w:rPr>
      </w:pPr>
      <w:r>
        <w:rPr>
          <w:rFonts w:cs="Arial" w:ascii="DejaVu Sans Condensed" w:hAnsi="DejaVu Sans Condensed"/>
          <w:b/>
          <w:sz w:val="24"/>
          <w:szCs w:val="24"/>
          <w:u w:val="none"/>
        </w:rPr>
        <w:t>AO JUÍZO DA</w:t>
      </w:r>
      <w:r>
        <w:rPr>
          <w:rFonts w:cs="Arial" w:ascii="DejaVu Sans Condensed" w:hAnsi="DejaVu Sans Condensed"/>
          <w:b w:val="false"/>
          <w:bCs w:val="false"/>
          <w:sz w:val="24"/>
          <w:szCs w:val="24"/>
          <w:u w:val="none"/>
        </w:rPr>
        <w:t xml:space="preserve"> </w:t>
      </w:r>
      <w:r>
        <w:rPr>
          <w:rStyle w:val="Strong"/>
          <w:rFonts w:cs="Arial" w:ascii="DejaVu Sans Condensed" w:hAnsi="DejaVu Sans Condensed"/>
          <w:sz w:val="24"/>
          <w:szCs w:val="24"/>
          <w:u w:val="none"/>
        </w:rPr>
        <w:t>{vara}</w:t>
      </w:r>
      <w:r>
        <w:rPr>
          <w:rFonts w:cs="Arial" w:ascii="DejaVu Sans Condensed" w:hAnsi="DejaVu Sans Condensed"/>
          <w:b/>
          <w:sz w:val="24"/>
          <w:szCs w:val="24"/>
          <w:u w:val="none"/>
        </w:rPr>
        <w:t xml:space="preserve"> VARA DOS JUIZADOS ESPECIAIS FEDERAIS DA SEÇÃO JUDICIÁRIA DE BRASÍLIA – 10º REGIÃO</w:t>
      </w:r>
    </w:p>
    <w:p>
      <w:pPr>
        <w:pStyle w:val="Normal"/>
        <w:bidi w:val="0"/>
        <w:spacing w:lineRule="auto" w:line="360"/>
        <w:jc w:val="both"/>
        <w:rPr>
          <w:rFonts w:ascii="DejaVu Sans Condensed" w:hAnsi="DejaVu Sans Condensed"/>
          <w:u w:val="none"/>
        </w:rPr>
      </w:pPr>
      <w:r>
        <w:rPr/>
      </w:r>
    </w:p>
    <w:p>
      <w:pPr>
        <w:pStyle w:val="Normal"/>
        <w:bidi w:val="0"/>
        <w:spacing w:lineRule="auto" w:line="360"/>
        <w:jc w:val="both"/>
        <w:rPr>
          <w:rFonts w:ascii="DejaVu Sans Condensed" w:hAnsi="DejaVu Sans Condensed"/>
          <w:u w:val="none"/>
        </w:rPr>
      </w:pPr>
      <w:r>
        <w:rPr>
          <w:rFonts w:cs="Arial" w:ascii="DejaVu Sans Condensed" w:hAnsi="DejaVu Sans Condensed"/>
          <w:b/>
          <w:sz w:val="24"/>
          <w:szCs w:val="24"/>
          <w:u w:val="none"/>
        </w:rPr>
        <w:t xml:space="preserve">Processo n.º : </w:t>
      </w:r>
      <w:r>
        <w:rPr>
          <w:rFonts w:cs="Arial" w:ascii="DejaVu Sans Condensed" w:hAnsi="DejaVu Sans Condensed"/>
          <w:b w:val="false"/>
          <w:bCs w:val="false"/>
          <w:sz w:val="24"/>
          <w:szCs w:val="24"/>
          <w:u w:val="none"/>
        </w:rPr>
        <w:t>{numero_processo}</w:t>
      </w:r>
    </w:p>
    <w:p>
      <w:pPr>
        <w:pStyle w:val="Normal"/>
        <w:bidi w:val="0"/>
        <w:spacing w:lineRule="auto" w:line="360"/>
        <w:jc w:val="both"/>
        <w:rPr>
          <w:rFonts w:ascii="DejaVu Sans Condensed" w:hAnsi="DejaVu Sans Condensed"/>
          <w:u w:val="none"/>
        </w:rPr>
      </w:pPr>
      <w:r>
        <w:rPr>
          <w:rFonts w:cs="Arial" w:ascii="DejaVu Sans Condensed" w:hAnsi="DejaVu Sans Condensed"/>
          <w:b/>
          <w:bCs/>
          <w:sz w:val="24"/>
          <w:szCs w:val="24"/>
          <w:u w:val="none"/>
        </w:rPr>
        <w:t>Embargante:</w:t>
      </w:r>
      <w:r>
        <w:rPr>
          <w:rFonts w:cs="Arial" w:ascii="DejaVu Sans Condensed" w:hAnsi="DejaVu Sans Condensed"/>
          <w:b w:val="false"/>
          <w:bCs w:val="false"/>
          <w:sz w:val="24"/>
          <w:szCs w:val="24"/>
          <w:u w:val="none"/>
        </w:rPr>
        <w:t xml:space="preserve"> </w:t>
      </w:r>
      <w:r>
        <w:rPr>
          <w:rFonts w:cs="Arial" w:ascii="DejaVu Sans Condensed" w:hAnsi="DejaVu Sans Condensed"/>
          <w:b w:val="false"/>
          <w:bCs w:val="false"/>
          <w:caps/>
          <w:sz w:val="24"/>
          <w:szCs w:val="24"/>
          <w:u w:val="none"/>
        </w:rPr>
        <w:t>{nome}</w:t>
      </w:r>
    </w:p>
    <w:p>
      <w:pPr>
        <w:pStyle w:val="Normal"/>
        <w:bidi w:val="0"/>
        <w:spacing w:lineRule="auto" w:line="360"/>
        <w:jc w:val="both"/>
        <w:rPr>
          <w:rFonts w:ascii="DejaVu Sans Condensed" w:hAnsi="DejaVu Sans Condensed"/>
          <w:u w:val="none"/>
        </w:rPr>
      </w:pPr>
      <w:r>
        <w:rPr>
          <w:rFonts w:cs="Arial" w:ascii="DejaVu Sans Condensed" w:hAnsi="DejaVu Sans Condensed"/>
          <w:b/>
          <w:bCs/>
          <w:sz w:val="24"/>
          <w:szCs w:val="24"/>
          <w:u w:val="none"/>
        </w:rPr>
        <w:t xml:space="preserve">Embargado: </w:t>
      </w:r>
      <w:r>
        <w:rPr>
          <w:rFonts w:cs="Arial" w:ascii="DejaVu Sans Condensed" w:hAnsi="DejaVu Sans Condensed"/>
          <w:b w:val="false"/>
          <w:bCs w:val="false"/>
          <w:caps/>
          <w:sz w:val="24"/>
          <w:szCs w:val="24"/>
          <w:u w:val="none"/>
        </w:rPr>
        <w:t>{nome_reu}</w:t>
      </w:r>
    </w:p>
    <w:p>
      <w:pPr>
        <w:pStyle w:val="Normal"/>
        <w:spacing w:lineRule="auto" w:line="360" w:beforeAutospacing="1" w:afterAutospacing="1"/>
        <w:jc w:val="center"/>
        <w:rPr>
          <w:rFonts w:ascii="DejaVu Sans Condensed" w:hAnsi="DejaVu Sans Condensed" w:cs="Arial"/>
          <w:b/>
          <w:sz w:val="24"/>
          <w:szCs w:val="24"/>
          <w:u w:val="single"/>
        </w:rPr>
      </w:pPr>
      <w:r>
        <w:rPr>
          <w:rFonts w:cs="Arial" w:ascii="DejaVu Sans Condensed" w:hAnsi="DejaVu Sans Condensed"/>
          <w:b/>
          <w:sz w:val="24"/>
          <w:szCs w:val="24"/>
          <w:u w:val="single"/>
        </w:rPr>
      </w:r>
    </w:p>
    <w:p>
      <w:pPr>
        <w:pStyle w:val="Normal"/>
        <w:spacing w:lineRule="auto" w:line="360" w:beforeAutospacing="1" w:afterAutospacing="1"/>
        <w:jc w:val="both"/>
        <w:rPr>
          <w:rFonts w:ascii="DejaVu Sans Condensed" w:hAnsi="DejaVu Sans Condensed"/>
        </w:rPr>
      </w:pPr>
      <w:r>
        <w:rPr>
          <w:rFonts w:cs="Arial" w:ascii="DejaVu Sans Condensed" w:hAnsi="DejaVu Sans Condensed"/>
          <w:b/>
          <w:bCs/>
          <w:caps/>
          <w:color w:val="000000"/>
          <w:sz w:val="24"/>
          <w:szCs w:val="24"/>
          <w:u w:val="none"/>
        </w:rPr>
        <w:tab/>
        <w:tab/>
      </w:r>
      <w:r>
        <w:rPr>
          <w:rFonts w:cs="Arial" w:ascii="DejaVu Sans Condensed" w:hAnsi="DejaVu Sans Condensed"/>
          <w:b/>
          <w:bCs/>
          <w:caps/>
          <w:color w:val="000000"/>
          <w:sz w:val="24"/>
          <w:szCs w:val="24"/>
          <w:u w:val="none"/>
        </w:rPr>
        <w:t>{nome}</w:t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  <w:u w:val="single"/>
        </w:rPr>
        <w:t>,</w:t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</w:rPr>
        <w:t xml:space="preserve">   </w:t>
      </w:r>
      <w:r>
        <w:rPr>
          <w:rFonts w:cs="Arial" w:ascii="DejaVu Sans Condensed" w:hAnsi="DejaVu Sans Condensed"/>
          <w:b w:val="false"/>
          <w:bCs w:val="false"/>
          <w:color w:val="000000"/>
          <w:sz w:val="24"/>
          <w:szCs w:val="24"/>
        </w:rPr>
        <w:t xml:space="preserve">parte embargante já qualificada nos autos em epígrafe, vem mui respeitosamente a presença de Vossa Excelência, por intermédio de seus advogados que a esta subscrevem, com endereço profissional no rodapé desta, propor a presente oposição de </w:t>
      </w:r>
    </w:p>
    <w:p>
      <w:pPr>
        <w:pStyle w:val="Normal"/>
        <w:spacing w:lineRule="auto" w:line="360" w:beforeAutospacing="1" w:afterAutospacing="1"/>
        <w:jc w:val="both"/>
        <w:rPr>
          <w:rFonts w:ascii="DejaVu Sans Condensed" w:hAnsi="DejaVu Sans Condensed"/>
        </w:rPr>
      </w:pPr>
      <w:r>
        <w:rPr>
          <w:rFonts w:ascii="DejaVu Sans Condensed" w:hAnsi="DejaVu Sans Condensed"/>
        </w:rPr>
      </w:r>
    </w:p>
    <w:p>
      <w:pPr>
        <w:pStyle w:val="Normal"/>
        <w:spacing w:lineRule="auto" w:line="360" w:beforeAutospacing="1" w:afterAutospacing="1"/>
        <w:jc w:val="center"/>
        <w:rPr>
          <w:rFonts w:ascii="DejaVu Sans Condensed" w:hAnsi="DejaVu Sans Condensed"/>
          <w:b/>
          <w:bCs/>
        </w:rPr>
      </w:pPr>
      <w:r>
        <w:rPr>
          <w:rFonts w:cs="Arial" w:ascii="DejaVu Sans Condensed" w:hAnsi="DejaVu Sans Condensed"/>
          <w:b/>
          <w:bCs/>
          <w:color w:val="000000"/>
          <w:sz w:val="24"/>
          <w:szCs w:val="24"/>
        </w:rPr>
        <w:t>EMBARGOS DE DECLARAÇÃO</w:t>
      </w:r>
    </w:p>
    <w:p>
      <w:pPr>
        <w:pStyle w:val="Normal"/>
        <w:spacing w:lineRule="auto" w:line="360" w:beforeAutospacing="1" w:afterAutospacing="1"/>
        <w:jc w:val="both"/>
        <w:rPr>
          <w:rFonts w:ascii="DejaVu Sans Condensed" w:hAnsi="DejaVu Sans Condensed"/>
        </w:rPr>
      </w:pPr>
      <w:r>
        <w:rPr>
          <w:rFonts w:ascii="DejaVu Sans Condensed" w:hAnsi="DejaVu Sans Condensed"/>
        </w:rPr>
      </w:r>
    </w:p>
    <w:p>
      <w:pPr>
        <w:pStyle w:val="Normal"/>
        <w:spacing w:lineRule="auto" w:line="360" w:beforeAutospacing="1" w:afterAutospacing="1"/>
        <w:jc w:val="both"/>
        <w:rPr>
          <w:rFonts w:ascii="DejaVu Sans Condensed" w:hAnsi="DejaVu Sans Condensed"/>
        </w:rPr>
      </w:pPr>
      <w:r>
        <w:rPr>
          <w:rFonts w:cs="Arial" w:ascii="DejaVu Sans Condensed" w:hAnsi="DejaVu Sans Condensed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cs="Arial" w:ascii="DejaVu Sans Condensed" w:hAnsi="DejaVu Sans Condensed"/>
          <w:b w:val="false"/>
          <w:bCs w:val="false"/>
          <w:color w:val="000000"/>
          <w:sz w:val="24"/>
          <w:szCs w:val="24"/>
        </w:rPr>
        <w:t>com fulcro no artigo 1.022 do Código de Processo Civil (e subsidiariamente no art. 48 da Lei nº 9.099/95), com o fito de sanar evidente [omissão / contradição / obscuridade / erro material] existente na respeitável decisão, a fim de garantir a plena e exata prestação jurisdicional.</w:t>
      </w:r>
    </w:p>
    <w:p>
      <w:pPr>
        <w:pStyle w:val="Heading3"/>
        <w:spacing w:lineRule="auto" w:line="360" w:beforeAutospacing="1" w:afterAutospacing="1"/>
        <w:jc w:val="both"/>
        <w:rPr>
          <w:rFonts w:ascii="DejaVu Sans Condensed" w:hAnsi="DejaVu Sans Condensed"/>
          <w:b/>
          <w:bCs/>
        </w:rPr>
      </w:pPr>
      <w:r>
        <w:rPr>
          <w:rFonts w:cs="Arial" w:ascii="DejaVu Sans Condensed" w:hAnsi="DejaVu Sans Condensed"/>
          <w:b/>
          <w:bCs/>
          <w:i w:val="false"/>
          <w:iCs w:val="false"/>
          <w:color w:val="000000"/>
          <w:sz w:val="24"/>
          <w:szCs w:val="24"/>
        </w:rPr>
        <w:t>I – DA OMISSÃO</w:t>
      </w:r>
    </w:p>
    <w:p>
      <w:pPr>
        <w:pStyle w:val="BodyText"/>
        <w:spacing w:lineRule="auto" w:line="360" w:before="0" w:after="0"/>
        <w:ind w:hanging="0" w:start="0" w:end="0"/>
        <w:rPr>
          <w:rFonts w:ascii="DejaVu Sans Condensed" w:hAnsi="DejaVu Sans Condensed"/>
        </w:rPr>
      </w:pPr>
      <w:r>
        <w:rPr>
          <w:rFonts w:ascii="DejaVu Sans Condensed" w:hAnsi="DejaVu Sans Condensed"/>
        </w:rPr>
        <w:t>Muito embora o juízo tenha entendido que o acordo celebrado pelas partes tenha o condão de exaurir ....</w:t>
      </w:r>
    </w:p>
    <w:p>
      <w:pPr>
        <w:pStyle w:val="BodyText"/>
        <w:spacing w:lineRule="auto" w:line="360" w:before="0" w:after="0"/>
        <w:ind w:hanging="0" w:start="0" w:end="0"/>
        <w:rPr>
          <w:rFonts w:ascii="DejaVu Sans Condensed" w:hAnsi="DejaVu Sans Condensed"/>
        </w:rPr>
      </w:pPr>
      <w:r>
        <w:rPr>
          <w:rFonts w:ascii="DejaVu Sans Condensed" w:hAnsi="DejaVu Sans Condensed"/>
        </w:rPr>
      </w:r>
    </w:p>
    <w:p>
      <w:pPr>
        <w:pStyle w:val="BodyText"/>
        <w:spacing w:lineRule="auto" w:line="360" w:before="0" w:after="0"/>
        <w:ind w:hanging="0" w:start="0" w:end="0"/>
        <w:rPr>
          <w:rFonts w:ascii="DejaVu Sans Condensed" w:hAnsi="DejaVu Sans Condensed"/>
        </w:rPr>
      </w:pPr>
      <w:bookmarkStart w:id="0" w:name="p-rc_34d7741348091d17-59"/>
      <w:bookmarkEnd w:id="0"/>
      <w:r>
        <w:rPr>
          <w:rFonts w:ascii="DejaVu Sans Condensed" w:hAnsi="DejaVu Sans Condensed"/>
        </w:rPr>
        <w:tab/>
        <w:t>Conforme exposto na exordial…</w:t>
      </w:r>
    </w:p>
    <w:p>
      <w:pPr>
        <w:pStyle w:val="BodyText"/>
        <w:spacing w:lineRule="auto" w:line="360" w:before="0" w:after="0"/>
        <w:ind w:hanging="0" w:start="0" w:end="0"/>
        <w:rPr>
          <w:rFonts w:ascii="DejaVu Sans Condensed" w:hAnsi="DejaVu Sans Condensed"/>
        </w:rPr>
      </w:pPr>
      <w:r>
        <w:rPr>
          <w:rFonts w:ascii="DejaVu Sans Condensed" w:hAnsi="DejaVu Sans Condensed"/>
        </w:rPr>
      </w:r>
    </w:p>
    <w:p>
      <w:pPr>
        <w:pStyle w:val="BodyText"/>
        <w:spacing w:lineRule="auto" w:line="360" w:before="0" w:after="0"/>
        <w:ind w:hanging="0" w:start="0" w:end="0"/>
        <w:rPr>
          <w:rFonts w:ascii="DejaVu Sans Condensed" w:hAnsi="DejaVu Sans Condensed"/>
        </w:rPr>
      </w:pPr>
      <w:r>
        <w:rPr>
          <w:rFonts w:ascii="DejaVu Sans Condensed" w:hAnsi="DejaVu Sans Condensed"/>
        </w:rPr>
        <w:tab/>
        <w:tab/>
        <w:t xml:space="preserve"> Assim, faz-se necessária a manifestação específica sobre as alíneas que tratam da nulidade originária dos títulos.</w:t>
      </w:r>
    </w:p>
    <w:p>
      <w:pPr>
        <w:pStyle w:val="BodyText"/>
        <w:spacing w:lineRule="auto" w:line="360"/>
        <w:rPr>
          <w:rFonts w:ascii="DejaVu Sans Condensed" w:hAnsi="DejaVu Sans Condensed"/>
        </w:rPr>
      </w:pPr>
      <w:r>
        <w:rPr>
          <w:rFonts w:ascii="DejaVu Sans Condensed" w:hAnsi="DejaVu Sans Condensed"/>
        </w:rPr>
      </w:r>
    </w:p>
    <w:p>
      <w:pPr>
        <w:pStyle w:val="Heading3"/>
        <w:spacing w:lineRule="auto" w:line="360"/>
        <w:rPr>
          <w:rFonts w:ascii="DejaVu Sans Condensed" w:hAnsi="DejaVu Sans Condensed"/>
          <w:b/>
        </w:rPr>
      </w:pPr>
      <w:r>
        <w:rPr>
          <w:rFonts w:ascii="DejaVu Sans Condensed" w:hAnsi="DejaVu Sans Condensed"/>
          <w:b/>
        </w:rPr>
        <w:t>II – DA CONTRADIÇÃO</w:t>
      </w:r>
    </w:p>
    <w:p>
      <w:pPr>
        <w:pStyle w:val="BodyText"/>
        <w:spacing w:lineRule="auto" w:line="360" w:before="0" w:after="0"/>
        <w:ind w:hanging="0" w:start="0" w:end="0"/>
        <w:rPr>
          <w:rFonts w:ascii="DejaVu Sans Condensed" w:hAnsi="DejaVu Sans Condensed"/>
        </w:rPr>
      </w:pPr>
      <w:bookmarkStart w:id="1" w:name="p-rc_34d7741348091d17-60"/>
      <w:bookmarkEnd w:id="1"/>
      <w:r>
        <w:rPr>
          <w:rFonts w:ascii="DejaVu Sans Condensed" w:hAnsi="DejaVu Sans Condensed"/>
        </w:rPr>
        <w:tab/>
        <w:t xml:space="preserve">A respeitável sentença revela-se contraditória ao reconhecer a </w:t>
      </w:r>
      <w:r>
        <w:rPr>
          <w:rFonts w:ascii="DejaVu Sans Condensed" w:hAnsi="DejaVu Sans Condensed"/>
          <w:b/>
        </w:rPr>
        <w:t>relação de ...</w:t>
      </w:r>
      <w:r>
        <w:rPr>
          <w:rFonts w:ascii="DejaVu Sans Condensed" w:hAnsi="DejaVu Sans Condensed"/>
        </w:rPr>
        <w:t xml:space="preserve"> e a </w:t>
      </w:r>
      <w:r>
        <w:rPr>
          <w:rFonts w:ascii="DejaVu Sans Condensed" w:hAnsi="DejaVu Sans Condensed"/>
          <w:b/>
        </w:rPr>
        <w:t>...</w:t>
      </w:r>
      <w:r>
        <w:rPr>
          <w:rFonts w:ascii="DejaVu Sans Condensed" w:hAnsi="DejaVu Sans Condensed"/>
        </w:rPr>
        <w:t xml:space="preserve"> da parte autora , mas, simultaneamente, julgar improcedente a demanda que visa declarar a inexistência da dívida.</w:t>
      </w:r>
    </w:p>
    <w:p>
      <w:pPr>
        <w:pStyle w:val="BodyText"/>
        <w:spacing w:lineRule="auto" w:line="360"/>
        <w:rPr>
          <w:rFonts w:ascii="DejaVu Sans Condensed" w:hAnsi="DejaVu Sans Condensed"/>
        </w:rPr>
      </w:pPr>
      <w:r>
        <w:rPr>
          <w:rFonts w:ascii="DejaVu Sans Condensed" w:hAnsi="DejaVu Sans Condensed"/>
        </w:rPr>
      </w:r>
    </w:p>
    <w:p>
      <w:pPr>
        <w:pStyle w:val="BodyText"/>
        <w:spacing w:lineRule="auto" w:line="360" w:before="0" w:after="0"/>
        <w:ind w:hanging="0" w:start="0" w:end="0"/>
        <w:rPr>
          <w:rFonts w:ascii="DejaVu Sans Condensed" w:hAnsi="DejaVu Sans Condensed"/>
        </w:rPr>
      </w:pPr>
      <w:r>
        <w:rPr>
          <w:rFonts w:ascii="DejaVu Sans Condensed" w:hAnsi="DejaVu Sans Condensed"/>
        </w:rPr>
        <w:tab/>
        <w:t>Tal manutenção dos títulos, sem o respaldo de prestação de serviços, é incompatível com o reconhecimento da vulnerabilidade , perpetuando o risco de cobranças abusivas.</w:t>
      </w:r>
    </w:p>
    <w:p>
      <w:pPr>
        <w:pStyle w:val="BodyText"/>
        <w:spacing w:lineRule="auto" w:line="360" w:before="0" w:after="0"/>
        <w:ind w:hanging="0" w:start="0" w:end="0"/>
        <w:rPr>
          <w:rFonts w:ascii="DejaVu Sans Condensed" w:hAnsi="DejaVu Sans Condensed"/>
        </w:rPr>
      </w:pPr>
      <w:r>
        <w:rPr>
          <w:rFonts w:ascii="DejaVu Sans Condensed" w:hAnsi="DejaVu Sans Condensed"/>
        </w:rPr>
      </w:r>
    </w:p>
    <w:p>
      <w:pPr>
        <w:pStyle w:val="BodyText"/>
        <w:spacing w:lineRule="auto" w:line="360"/>
        <w:rPr>
          <w:rFonts w:ascii="DejaVu Sans Condensed" w:hAnsi="DejaVu Sans Condensed"/>
        </w:rPr>
      </w:pPr>
      <w:r>
        <w:rPr>
          <w:rFonts w:ascii="DejaVu Sans Condensed" w:hAnsi="DejaVu Sans Condensed"/>
          <w:b/>
          <w:bCs/>
        </w:rPr>
        <w:t>III – DA OBSCURIDADE</w:t>
      </w:r>
    </w:p>
    <w:p>
      <w:pPr>
        <w:pStyle w:val="BodyText"/>
        <w:spacing w:lineRule="auto" w:line="360"/>
        <w:rPr>
          <w:rFonts w:ascii="DejaVu Sans Condensed" w:hAnsi="DejaVu Sans Condensed"/>
        </w:rPr>
      </w:pPr>
      <w:r>
        <w:rPr>
          <w:rFonts w:ascii="DejaVu Sans Condensed" w:hAnsi="DejaVu Sans Condensed"/>
        </w:rPr>
        <w:tab/>
        <w:t>Verifica-se também a existência de obscuridade no que tange a ...</w:t>
      </w:r>
    </w:p>
    <w:p>
      <w:pPr>
        <w:pStyle w:val="Heading3"/>
        <w:spacing w:lineRule="auto" w:line="360"/>
        <w:rPr>
          <w:rFonts w:ascii="DejaVu Sans Condensed" w:hAnsi="DejaVu Sans Condensed"/>
          <w:b/>
        </w:rPr>
      </w:pPr>
      <w:r>
        <w:rPr>
          <w:rFonts w:ascii="DejaVu Sans Condensed" w:hAnsi="DejaVu Sans Condensed"/>
          <w:b/>
        </w:rPr>
        <w:t>I</w:t>
      </w:r>
      <w:r>
        <w:rPr>
          <w:rFonts w:ascii="DejaVu Sans Condensed" w:hAnsi="DejaVu Sans Condensed"/>
          <w:b/>
        </w:rPr>
        <w:t>V</w:t>
      </w:r>
      <w:r>
        <w:rPr>
          <w:rFonts w:ascii="DejaVu Sans Condensed" w:hAnsi="DejaVu Sans Condensed"/>
          <w:b/>
        </w:rPr>
        <w:t xml:space="preserve"> – DOS PEDIDOS</w:t>
      </w:r>
    </w:p>
    <w:p>
      <w:pPr>
        <w:pStyle w:val="BodyText"/>
        <w:spacing w:lineRule="auto" w:line="360"/>
        <w:rPr>
          <w:rFonts w:ascii="DejaVu Sans Condensed" w:hAnsi="DejaVu Sans Condensed"/>
        </w:rPr>
      </w:pPr>
      <w:r>
        <w:rPr>
          <w:rFonts w:ascii="DejaVu Sans Condensed" w:hAnsi="DejaVu Sans Condensed"/>
        </w:rPr>
        <w:t>Diante do exposto, requer-se: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0" w:leader="none"/>
        </w:tabs>
        <w:spacing w:lineRule="auto" w:line="360"/>
        <w:ind w:hanging="283" w:start="2127" w:end="0"/>
        <w:rPr>
          <w:rFonts w:ascii="DejaVu Sans Condensed" w:hAnsi="DejaVu Sans Condensed"/>
        </w:rPr>
      </w:pPr>
      <w:bookmarkStart w:id="2" w:name="p-rc_34d7741348091d17-62"/>
      <w:bookmarkEnd w:id="2"/>
      <w:r>
        <w:rPr>
          <w:rFonts w:ascii="DejaVu Sans Condensed" w:hAnsi="DejaVu Sans Condensed"/>
          <w:b/>
        </w:rPr>
        <w:t>Suprimento da Omissão:</w:t>
      </w:r>
      <w:r>
        <w:rPr>
          <w:rFonts w:ascii="DejaVu Sans Condensed" w:hAnsi="DejaVu Sans Condensed"/>
        </w:rPr>
        <w:t xml:space="preserve"> Que o julgador se manifeste especificamente sobre a declaração de nulidade das duplicatas impugnadas;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2127" w:end="0"/>
        <w:rPr>
          <w:rFonts w:ascii="DejaVu Sans Condensed" w:hAnsi="DejaVu Sans Condensed"/>
        </w:rPr>
      </w:pPr>
      <w:bookmarkStart w:id="3" w:name="p-rc_34d7741348091d17-63"/>
      <w:bookmarkEnd w:id="3"/>
      <w:r>
        <w:rPr>
          <w:rFonts w:ascii="DejaVu Sans Condensed" w:hAnsi="DejaVu Sans Condensed"/>
          <w:b/>
        </w:rPr>
        <w:t>Suprimento da Contradição:</w:t>
      </w:r>
      <w:r>
        <w:rPr>
          <w:rFonts w:ascii="DejaVu Sans Condensed" w:hAnsi="DejaVu Sans Condensed"/>
        </w:rPr>
        <w:t xml:space="preserve"> Que seja revista a decisão quanto à improcedência, adequando o dispositivo ao reconhecimento da vulnerabilidade e da ausência de lastro dos títulos.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2127" w:end="0"/>
        <w:rPr>
          <w:rFonts w:ascii="DejaVu Sans Condensed" w:hAnsi="DejaVu Sans Condensed"/>
        </w:rPr>
      </w:pPr>
      <w:r>
        <w:rPr>
          <w:rFonts w:ascii="DejaVu Sans Condensed" w:hAnsi="DejaVu Sans Condensed"/>
        </w:rPr>
        <w:t>Suprimento da Obscuridade:</w:t>
      </w:r>
    </w:p>
    <w:p>
      <w:pPr>
        <w:pStyle w:val="BodyText"/>
        <w:numPr>
          <w:ilvl w:val="0"/>
          <w:numId w:val="0"/>
        </w:numPr>
        <w:spacing w:lineRule="auto" w:line="360"/>
        <w:ind w:hanging="0" w:start="0"/>
        <w:rPr>
          <w:rFonts w:ascii="DejaVu Sans Condensed" w:hAnsi="DejaVu Sans Condensed"/>
        </w:rPr>
      </w:pPr>
      <w:r>
        <w:rPr>
          <w:rFonts w:ascii="DejaVu Sans Condensed" w:hAnsi="DejaVu Sans Condensed"/>
        </w:rPr>
      </w:r>
    </w:p>
    <w:p>
      <w:pPr>
        <w:pStyle w:val="BodyText"/>
        <w:spacing w:lineRule="auto" w:line="360"/>
        <w:rPr>
          <w:rFonts w:ascii="DejaVu Sans Condensed" w:hAnsi="DejaVu Sans Condensed"/>
        </w:rPr>
      </w:pPr>
      <w:r>
        <w:rPr>
          <w:rFonts w:ascii="DejaVu Sans Condensed" w:hAnsi="DejaVu Sans Condensed"/>
        </w:rPr>
        <w:tab/>
        <w:t xml:space="preserve">Dessa forma, requer sejam os autos remetidos ao juízo </w:t>
      </w:r>
      <w:r>
        <w:rPr>
          <w:rFonts w:ascii="DejaVu Sans Condensed" w:hAnsi="DejaVu Sans Condensed"/>
          <w:i/>
        </w:rPr>
        <w:t>ad quem</w:t>
      </w:r>
      <w:r>
        <w:rPr>
          <w:rFonts w:ascii="DejaVu Sans Condensed" w:hAnsi="DejaVu Sans Condensed"/>
        </w:rPr>
        <w:t xml:space="preserve"> a fim de que, após o </w:t>
      </w:r>
      <w:r>
        <w:rPr>
          <w:rFonts w:ascii="DejaVu Sans Condensed" w:hAnsi="DejaVu Sans Condensed"/>
          <w:b/>
        </w:rPr>
        <w:t>processamento legal, recebam seu regular trâmite.</w:t>
      </w:r>
    </w:p>
    <w:p>
      <w:pPr>
        <w:pStyle w:val="Normal"/>
        <w:spacing w:lineRule="auto" w:line="360" w:beforeAutospacing="1" w:afterAutospacing="1"/>
        <w:jc w:val="both"/>
        <w:rPr>
          <w:rFonts w:ascii="DejaVu Sans Condensed" w:hAnsi="DejaVu Sans Condensed"/>
        </w:rPr>
      </w:pPr>
      <w:r>
        <w:rPr/>
      </w:r>
    </w:p>
    <w:p>
      <w:pPr>
        <w:pStyle w:val="Title"/>
        <w:spacing w:lineRule="auto" w:line="360"/>
        <w:jc w:val="end"/>
        <w:rPr>
          <w:rFonts w:ascii="DejaVu Sans Condensed" w:hAnsi="DejaVu Sans Condensed"/>
        </w:rPr>
      </w:pPr>
      <w:r>
        <w:rPr>
          <w:rFonts w:eastAsia="Calibri" w:cs="Arial" w:ascii="DejaVu Sans Condensed" w:hAnsi="DejaVu Sans Condensed"/>
          <w:b w:val="false"/>
          <w:sz w:val="24"/>
          <w:lang w:eastAsia="en-US"/>
        </w:rPr>
        <w:t>Brasília – DF, {data_hoje}{ano_atual}.</w:t>
      </w:r>
    </w:p>
    <w:p>
      <w:pPr>
        <w:pStyle w:val="Title"/>
        <w:spacing w:lineRule="auto" w:line="360"/>
        <w:jc w:val="end"/>
        <w:rPr>
          <w:rFonts w:ascii="DejaVu Sans Condensed" w:hAnsi="DejaVu Sans Condensed"/>
        </w:rPr>
      </w:pPr>
      <w:r>
        <w:rPr>
          <w:rFonts w:eastAsia="Calibri" w:cs="Arial" w:ascii="DejaVu Sans Condensed" w:hAnsi="DejaVu Sans Condensed"/>
          <w:b w:val="false"/>
          <w:sz w:val="24"/>
          <w:lang w:eastAsia="en-US"/>
        </w:rPr>
        <w:tab/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/>
        </w:rPr>
      </w:pPr>
      <w:r>
        <w:rPr>
          <w:rFonts w:cs="Arial" w:ascii="DejaVu Sans Condensed" w:hAnsi="DejaVu Sans Condensed"/>
          <w:sz w:val="24"/>
          <w:szCs w:val="24"/>
        </w:rPr>
        <w:t>______________________________________________</w:t>
        <w:br/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  <w:u w:val="none"/>
        </w:rPr>
        <w:t>{nome}</w:t>
      </w:r>
    </w:p>
    <w:p>
      <w:pPr>
        <w:pStyle w:val="Normal"/>
        <w:spacing w:lineRule="auto" w:line="360"/>
        <w:ind w:end="-1"/>
        <w:jc w:val="center"/>
        <w:rPr>
          <w:u w:val="none"/>
        </w:rPr>
      </w:pPr>
      <w:r>
        <w:rPr>
          <w:rFonts w:cs="Arial" w:ascii="DejaVu Sans Condensed" w:hAnsi="DejaVu Sans Condensed"/>
          <w:b w:val="false"/>
          <w:bCs w:val="false"/>
          <w:color w:val="000000"/>
          <w:sz w:val="24"/>
          <w:szCs w:val="24"/>
          <w:u w:val="none"/>
        </w:rPr>
        <w:t xml:space="preserve">CPF n.º </w:t>
      </w:r>
      <w:r>
        <w:rPr>
          <w:rFonts w:cs="Arial" w:ascii="DejaVu Sans Condensed" w:hAnsi="DejaVu Sans Condensed"/>
          <w:b w:val="false"/>
          <w:bCs w:val="false"/>
          <w:color w:val="000000"/>
          <w:sz w:val="24"/>
          <w:szCs w:val="24"/>
          <w:u w:val="none"/>
        </w:rPr>
        <w:t>{cpf}</w:t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 w:cs="Arial"/>
          <w:b w:val="false"/>
          <w:bCs w:val="false"/>
          <w:sz w:val="24"/>
          <w:szCs w:val="24"/>
        </w:rPr>
      </w:pPr>
      <w:r>
        <w:rPr>
          <w:rFonts w:cs="Arial" w:ascii="DejaVu Sans Condensed" w:hAnsi="DejaVu Sans Condensed"/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>
          <w:rFonts w:cs="Arial" w:ascii="DejaVu Sans Condensed" w:hAnsi="DejaVu Sans Condensed"/>
          <w:sz w:val="24"/>
          <w:szCs w:val="24"/>
        </w:rPr>
        <w:t>______________________________________________</w:t>
        <w:br/>
      </w:r>
      <w:r>
        <w:rPr>
          <w:rStyle w:val="Strong"/>
          <w:rFonts w:cs="Arial" w:ascii="DejaVu Sans Condensed" w:hAnsi="DejaVu Sans Condensed"/>
          <w:sz w:val="24"/>
          <w:szCs w:val="24"/>
        </w:rPr>
        <w:t>OLIVEIRA &amp; OLIVEIRA LEAL ADVOCACIA</w:t>
      </w:r>
      <w:r>
        <w:rPr>
          <w:rFonts w:cs="Arial" w:ascii="DejaVu Sans Condensed" w:hAnsi="DejaVu Sans Condensed"/>
          <w:sz w:val="24"/>
          <w:szCs w:val="24"/>
        </w:rPr>
        <w:br/>
        <w:t>CNPJ n</w:t>
      </w:r>
      <w:r>
        <w:rPr>
          <w:rFonts w:cs="Arial" w:ascii="DejaVu Sans Condensed" w:hAnsi="DejaVu Sans Condensed"/>
          <w:sz w:val="24"/>
          <w:szCs w:val="24"/>
        </w:rPr>
        <w:t>º</w:t>
      </w:r>
      <w:r>
        <w:rPr>
          <w:rFonts w:cs="Arial" w:ascii="DejaVu Sans Condensed" w:hAnsi="DejaVu Sans Condensed"/>
          <w:sz w:val="24"/>
          <w:szCs w:val="24"/>
        </w:rPr>
        <w:t xml:space="preserve"> 51.919.094/0001-38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Pompeii Capitals">
    <w:charset w:val="01" w:characterSet="utf-8"/>
    <w:family w:val="roman"/>
    <w:pitch w:val="variable"/>
  </w:font>
  <w:font w:name="DejaVu Sans Condensed">
    <w:charset w:val="01" w:characterSet="utf-8"/>
    <w:family w:val="roman"/>
    <w:pitch w:val="variable"/>
  </w:font>
  <w:font w:name="DejaVu Sans Condensed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1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2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Title">
    <w:name w:val="Title"/>
    <w:basedOn w:val="Normal"/>
    <w:qFormat/>
    <w:pPr>
      <w:jc w:val="center"/>
    </w:pPr>
    <w:rPr>
      <w:rFonts w:ascii="Pompeii Capitals" w:hAnsi="Pompeii Capitals"/>
      <w:b/>
      <w:sz w:val="32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Footer">
    <w:name w:val="Footer"/>
    <w:basedOn w:val="Cabealhoerodap"/>
    <w:pPr>
      <w:suppressLineNumbers/>
    </w:pPr>
    <w:rPr/>
  </w:style>
  <w:style w:type="paragraph" w:styleId="Anotao">
    <w:name w:val="Anotação"/>
    <w:basedOn w:val="Normal"/>
    <w:qFormat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LibreOffice/24.2.7.2$Linux_X86_64 LibreOffice_project/420$Build-2</Application>
  <AppVersion>15.0000</AppVersion>
  <Pages>3</Pages>
  <Words>368</Words>
  <Characters>2282</Characters>
  <CharactersWithSpaces>2638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2026-02-05T14:37:32Z</dcterms:created>
  <dc:creator/>
  <dc:description/>
  <dc:language>pt-BR</dc:language>
  <cp:lastModifiedBy/>
  <dcterms:modified xsi:type="dcterms:W3CDTF">2026-03-11T20:36:14Z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