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65DB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AO JUÍZO DA {vara} {</w:t>
      </w:r>
      <w:proofErr w:type="spell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jurisdicao</w:t>
      </w:r>
      <w:proofErr w:type="spellEnd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} {</w:t>
      </w:r>
      <w:proofErr w:type="spell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circunscricao_judiciaria</w:t>
      </w:r>
      <w:proofErr w:type="spellEnd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}</w:t>
      </w:r>
    </w:p>
    <w:p w14:paraId="19351413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</w:p>
    <w:p w14:paraId="42873E5A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Processo nº:</w:t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numero_processo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}</w:t>
      </w:r>
    </w:p>
    <w:p w14:paraId="7D912C10" w14:textId="6195F0AA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Exequente: </w:t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{nome}</w:t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;</w:t>
      </w:r>
    </w:p>
    <w:p w14:paraId="0AF7A2FD" w14:textId="3FB8BECC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Executado: </w:t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{</w:t>
      </w:r>
      <w:proofErr w:type="spell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nome_reu</w:t>
      </w:r>
      <w:proofErr w:type="spellEnd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}</w:t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;</w:t>
      </w:r>
    </w:p>
    <w:p w14:paraId="0872CE0F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</w:p>
    <w:p w14:paraId="402B2218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</w:p>
    <w:p w14:paraId="4837C89E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</w:p>
    <w:p w14:paraId="78FF5B9E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</w:p>
    <w:p w14:paraId="596FDA96" w14:textId="54C0F278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ab/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ab/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{nome}</w:t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, {nacionalidade},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estado_civil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},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profissao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}, portador(a) do RG nº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rg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} e inscrito(a) no CPF sob o nº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cpf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}, residente e domiciliado(a) à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endereco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}, CEP {cep}, por meio de seus advogados que </w:t>
      </w:r>
      <w:proofErr w:type="gram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esta subscrevem</w:t>
      </w:r>
      <w:proofErr w:type="gram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 (procuração anexa), vem, respeitosamente, à presença de Vossa Excelência, com fundamento nos artigos 513 e seguintes do Código de Processo Civil (Lei nº 13.105/2015), apresentar:</w:t>
      </w:r>
    </w:p>
    <w:p w14:paraId="4AF9D54C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</w:p>
    <w:p w14:paraId="332188CE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REQUERIMENTO DE CUMPRIMENTO DE SENTENÇA</w:t>
      </w:r>
    </w:p>
    <w:p w14:paraId="3A9259F6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</w:p>
    <w:p w14:paraId="288A1849" w14:textId="345EF965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em face de </w:t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{</w:t>
      </w:r>
      <w:proofErr w:type="spell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nome_reu</w:t>
      </w:r>
      <w:proofErr w:type="spellEnd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}</w:t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, inscrita no CNPJ/CPF sob o nº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cnpj_reu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}, com sede à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endereco_reu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}, doravante denominada simplesmente EXECUTADA, pelos fatos e fundamentos a seguir expostos: </w:t>
      </w:r>
    </w:p>
    <w:p w14:paraId="4AADAD8E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</w:pPr>
    </w:p>
    <w:p w14:paraId="54D26D01" w14:textId="6D78B466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lastRenderedPageBreak/>
        <w:t>I – DOS FATOS E DA SENTENÇA EXEQUENDA</w:t>
      </w:r>
    </w:p>
    <w:p w14:paraId="27AC99F4" w14:textId="52EC295A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ab/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O presente cumprimento de sentença decorre da ação de conhecimento ajuizada pela parte Exequente em face da </w:t>
      </w:r>
      <w:r w:rsidR="00C40822" w:rsidRPr="00C40822">
        <w:rPr>
          <w:rFonts w:asciiTheme="majorHAnsi" w:eastAsia="Times New Roman" w:hAnsiTheme="majorHAnsi" w:cstheme="majorHAnsi"/>
          <w:kern w:val="0"/>
          <w:lang w:eastAsia="pt-BR" w:bidi="ar-SA"/>
        </w:rPr>
        <w:t>ora executada</w:t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, cujos autos tramitaram neste r. Juízo, havendo sido proferida sentença que julgou procedente o pedido autoral. </w:t>
      </w:r>
    </w:p>
    <w:p w14:paraId="239AF045" w14:textId="2245D16F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ab/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A r. sentença (ID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id_decisao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}) proferida por este d. Juízo condenou a Executada ao pagamento do valor histórico de </w:t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R$ {</w:t>
      </w:r>
      <w:proofErr w:type="spell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valor_principal</w:t>
      </w:r>
      <w:proofErr w:type="spellEnd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}</w:t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, corrigido monetariamente e acrescido de juros de mora desde a data fixada. </w:t>
      </w:r>
    </w:p>
    <w:p w14:paraId="0A005D9D" w14:textId="6B8058FA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ab/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A referida sentença transitou em julgado em </w:t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{</w:t>
      </w:r>
      <w:proofErr w:type="spell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data_</w:t>
      </w:r>
      <w:proofErr w:type="gram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transito</w:t>
      </w:r>
      <w:proofErr w:type="spellEnd"/>
      <w:proofErr w:type="gramEnd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}</w:t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, tornando-se título judicial exequível, nos termos do art. 515, inciso I, do CPC, sem que a Executada tenha promovido o pagamento voluntário do débito no prazo legal de 15 (quinze) dias úteis previsto no art. 523 do CPC, razão pela qual se faz necessária a instauração do presente cumprimento de sentença. </w:t>
      </w:r>
    </w:p>
    <w:p w14:paraId="4B13FBA5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II – DO VALOR DO DÉBITO ATUALIZADO</w:t>
      </w:r>
    </w:p>
    <w:p w14:paraId="58A9B7D7" w14:textId="48434914" w:rsidR="00C47458" w:rsidRPr="00C40822" w:rsidRDefault="00C40822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>
        <w:rPr>
          <w:rFonts w:asciiTheme="majorHAnsi" w:eastAsia="Times New Roman" w:hAnsiTheme="majorHAnsi" w:cstheme="majorHAnsi"/>
          <w:kern w:val="0"/>
          <w:lang w:eastAsia="pt-BR" w:bidi="ar-SA"/>
        </w:rPr>
        <w:tab/>
      </w:r>
      <w:r w:rsidR="00C47458"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O valor da condenação, devidamente atualizado até a data-base de </w:t>
      </w:r>
      <w:r w:rsidR="00C47458"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{</w:t>
      </w:r>
      <w:proofErr w:type="spellStart"/>
      <w:r w:rsidR="00C47458"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data_atualizacao</w:t>
      </w:r>
      <w:proofErr w:type="spellEnd"/>
      <w:r w:rsidR="00C47458"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}</w:t>
      </w:r>
      <w:r w:rsidR="00C47458"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, obedece aos seguintes parâmetros: </w:t>
      </w:r>
    </w:p>
    <w:p w14:paraId="2B183F9A" w14:textId="77777777" w:rsidR="00C40822" w:rsidRDefault="00C47458" w:rsidP="00C40822">
      <w:pPr>
        <w:suppressAutoHyphens w:val="0"/>
        <w:spacing w:after="100" w:afterAutospacing="1" w:line="360" w:lineRule="auto"/>
        <w:ind w:left="2268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a) Valor principal histórico da condenação: </w:t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R$ {</w:t>
      </w:r>
      <w:proofErr w:type="spell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valor_principal</w:t>
      </w:r>
      <w:proofErr w:type="spellEnd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}</w:t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; </w:t>
      </w:r>
    </w:p>
    <w:p w14:paraId="08999037" w14:textId="77777777" w:rsidR="00C40822" w:rsidRDefault="00C47458" w:rsidP="00C40822">
      <w:pPr>
        <w:suppressAutoHyphens w:val="0"/>
        <w:spacing w:after="100" w:afterAutospacing="1" w:line="360" w:lineRule="auto"/>
        <w:ind w:left="2268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b) Correção monetária (Índice aplicado: </w:t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{</w:t>
      </w:r>
      <w:proofErr w:type="spell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indice_correcao</w:t>
      </w:r>
      <w:proofErr w:type="spellEnd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}</w:t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); </w:t>
      </w:r>
    </w:p>
    <w:p w14:paraId="1CAFBF32" w14:textId="77777777" w:rsidR="00C40822" w:rsidRDefault="00C47458" w:rsidP="00C40822">
      <w:pPr>
        <w:suppressAutoHyphens w:val="0"/>
        <w:spacing w:after="100" w:afterAutospacing="1" w:line="360" w:lineRule="auto"/>
        <w:ind w:left="2268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c) Juros de mora legais (Taxa aplicada: </w:t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{</w:t>
      </w:r>
      <w:proofErr w:type="spell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taxa_juros</w:t>
      </w:r>
      <w:proofErr w:type="spellEnd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}</w:t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); </w:t>
      </w:r>
    </w:p>
    <w:p w14:paraId="01FE9737" w14:textId="063E3CD1" w:rsidR="00C47458" w:rsidRPr="00C40822" w:rsidRDefault="00C47458" w:rsidP="00C40822">
      <w:pPr>
        <w:suppressAutoHyphens w:val="0"/>
        <w:spacing w:after="100" w:afterAutospacing="1" w:line="360" w:lineRule="auto"/>
        <w:ind w:left="2268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d) Honorários de Sucumbência (Fase de Conhecimento): </w:t>
      </w: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{</w:t>
      </w:r>
      <w:proofErr w:type="spell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honorarios_</w:t>
      </w:r>
      <w:proofErr w:type="gramStart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conhecimento</w:t>
      </w:r>
      <w:proofErr w:type="spellEnd"/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}%</w:t>
      </w:r>
      <w:proofErr w:type="gram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; e) Multa de 10% (dez por cento) pelo inadimplemento voluntário (art. 523, § 1º, do CPC), quando aplicável à espécie. </w:t>
      </w:r>
    </w:p>
    <w:p w14:paraId="1EFBBFDF" w14:textId="77777777" w:rsidR="00C47458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lastRenderedPageBreak/>
        <w:t xml:space="preserve">Tudo perfazendo o montante total constante na memória de cálculo atualizada em anexo (Documento nº 01), elaborada estritamente na forma do art. 524 do CPC. </w:t>
      </w:r>
    </w:p>
    <w:p w14:paraId="3AFC8BE8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III – DOS FUNDAMENTOS JURÍDICOS</w:t>
      </w:r>
    </w:p>
    <w:p w14:paraId="05900F1D" w14:textId="3B2C2718" w:rsidR="00C47458" w:rsidRPr="00C40822" w:rsidRDefault="00C40822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>
        <w:rPr>
          <w:rFonts w:asciiTheme="majorHAnsi" w:eastAsia="Times New Roman" w:hAnsiTheme="majorHAnsi" w:cstheme="majorHAnsi"/>
          <w:kern w:val="0"/>
          <w:lang w:eastAsia="pt-BR" w:bidi="ar-SA"/>
        </w:rPr>
        <w:tab/>
      </w:r>
      <w:r w:rsidR="00C47458"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O cumprimento de sentença é o instrumento processual adequado para a satisfação do título judicial formado com o trânsito em julgado da decisão condenatória, consoante dispõem os artigos 513 a 538 do Código de Processo Civil. </w:t>
      </w:r>
    </w:p>
    <w:p w14:paraId="02A0781F" w14:textId="27E4A01B" w:rsidR="00C47458" w:rsidRPr="00C40822" w:rsidRDefault="00C40822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>
        <w:rPr>
          <w:rFonts w:asciiTheme="majorHAnsi" w:eastAsia="Times New Roman" w:hAnsiTheme="majorHAnsi" w:cstheme="majorHAnsi"/>
          <w:kern w:val="0"/>
          <w:lang w:eastAsia="pt-BR" w:bidi="ar-SA"/>
        </w:rPr>
        <w:tab/>
      </w:r>
      <w:r w:rsidR="00C47458" w:rsidRPr="00C40822">
        <w:rPr>
          <w:rFonts w:asciiTheme="majorHAnsi" w:eastAsia="Times New Roman" w:hAnsiTheme="majorHAnsi" w:cstheme="majorHAnsi"/>
          <w:kern w:val="0"/>
          <w:lang w:eastAsia="pt-BR" w:bidi="ar-SA"/>
        </w:rPr>
        <w:t>O art. 515, I, do CPC define as sentenças civis condenatórias como títulos executivos judiciais. Com o trânsito em julgado ({</w:t>
      </w:r>
      <w:proofErr w:type="spellStart"/>
      <w:r w:rsidR="00C47458" w:rsidRPr="00C40822">
        <w:rPr>
          <w:rFonts w:asciiTheme="majorHAnsi" w:eastAsia="Times New Roman" w:hAnsiTheme="majorHAnsi" w:cstheme="majorHAnsi"/>
          <w:kern w:val="0"/>
          <w:lang w:eastAsia="pt-BR" w:bidi="ar-SA"/>
        </w:rPr>
        <w:t>data_</w:t>
      </w:r>
      <w:proofErr w:type="gramStart"/>
      <w:r w:rsidR="00C47458" w:rsidRPr="00C40822">
        <w:rPr>
          <w:rFonts w:asciiTheme="majorHAnsi" w:eastAsia="Times New Roman" w:hAnsiTheme="majorHAnsi" w:cstheme="majorHAnsi"/>
          <w:kern w:val="0"/>
          <w:lang w:eastAsia="pt-BR" w:bidi="ar-SA"/>
        </w:rPr>
        <w:t>transito</w:t>
      </w:r>
      <w:proofErr w:type="spellEnd"/>
      <w:proofErr w:type="gramEnd"/>
      <w:r w:rsidR="00C47458"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}) da r. sentença proferida nestes autos, constituiu-se definitivamente a obrigação de pagar quantia certa em desfavor da Executada. </w:t>
      </w:r>
    </w:p>
    <w:p w14:paraId="612CF3A8" w14:textId="08DF043A" w:rsidR="00C47458" w:rsidRPr="00C40822" w:rsidRDefault="00C40822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>
        <w:rPr>
          <w:rFonts w:asciiTheme="majorHAnsi" w:eastAsia="Times New Roman" w:hAnsiTheme="majorHAnsi" w:cstheme="majorHAnsi"/>
          <w:kern w:val="0"/>
          <w:lang w:eastAsia="pt-BR" w:bidi="ar-SA"/>
        </w:rPr>
        <w:tab/>
      </w:r>
      <w:r w:rsidR="00C47458"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Nos termos do art. 523 do CPC, no cumprimento de sentença que reconheça a exigibilidade de obrigação de pagar quantia certa, o devedor será intimado para pagar o débito no prazo de 15 (quinze) dias úteis. Transcorrido tal prazo sem o pagamento voluntário, o débito será automaticamente acrescido de multa de 10% (dez por cento) e, também, de honorários de advogado de 10% (dez por cento), nos termos do § 1º do referido dispositivo (ressalvada a inaplicabilidade de honorários na primeira instância dos Juizados Especiais, conforme art. 55 da Lei nº 9.099/95, se for o caso). </w:t>
      </w:r>
    </w:p>
    <w:p w14:paraId="148C6F4B" w14:textId="77777777" w:rsidR="00C47458" w:rsidRPr="00C40822" w:rsidRDefault="00C47458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IV – DOS PEDIDOS</w:t>
      </w:r>
    </w:p>
    <w:p w14:paraId="6A965301" w14:textId="307466F5" w:rsidR="00C47458" w:rsidRPr="00C40822" w:rsidRDefault="00C40822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>
        <w:rPr>
          <w:rFonts w:asciiTheme="majorHAnsi" w:eastAsia="Times New Roman" w:hAnsiTheme="majorHAnsi" w:cstheme="majorHAnsi"/>
          <w:kern w:val="0"/>
          <w:lang w:eastAsia="pt-BR" w:bidi="ar-SA"/>
        </w:rPr>
        <w:tab/>
      </w:r>
      <w:r w:rsidR="00C47458"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Diante do exposto, requer a parte Exequente </w:t>
      </w:r>
      <w:r>
        <w:rPr>
          <w:rFonts w:asciiTheme="majorHAnsi" w:eastAsia="Times New Roman" w:hAnsiTheme="majorHAnsi" w:cstheme="majorHAnsi"/>
          <w:kern w:val="0"/>
          <w:lang w:eastAsia="pt-BR" w:bidi="ar-SA"/>
        </w:rPr>
        <w:t>requer</w:t>
      </w:r>
      <w:r w:rsidR="00C47458"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: </w:t>
      </w:r>
    </w:p>
    <w:p w14:paraId="338378F4" w14:textId="77777777" w:rsidR="00C40822" w:rsidRDefault="00C47458" w:rsidP="00C40822">
      <w:pPr>
        <w:suppressAutoHyphens w:val="0"/>
        <w:spacing w:after="100" w:afterAutospacing="1" w:line="360" w:lineRule="auto"/>
        <w:ind w:left="2268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a) Receber e processar o presente Requerimento de Cumprimento de Sentença, com fundamento no art. 513 e seguintes do CPC; </w:t>
      </w:r>
    </w:p>
    <w:p w14:paraId="39BBAE4A" w14:textId="701A1423" w:rsidR="00C40822" w:rsidRDefault="00C47458" w:rsidP="00C40822">
      <w:pPr>
        <w:suppressAutoHyphens w:val="0"/>
        <w:spacing w:after="100" w:afterAutospacing="1" w:line="360" w:lineRule="auto"/>
        <w:ind w:left="2268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b) Intimar a Executada, na pessoa de seus representantes legais ou advogados constituídos nos autos, para que, no prazo de 15 (quinze) dias úteis (art. 523, caput, CPC), efetue o pagamento </w:t>
      </w: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lastRenderedPageBreak/>
        <w:t xml:space="preserve">do valor total do débito atualizado, sob pena de incidência da multa de 10% (dez por cento) prevista no art. 523, § 1º, do CPC; </w:t>
      </w:r>
    </w:p>
    <w:p w14:paraId="598392AB" w14:textId="77777777" w:rsidR="00C40822" w:rsidRDefault="00C47458" w:rsidP="00C40822">
      <w:pPr>
        <w:suppressAutoHyphens w:val="0"/>
        <w:spacing w:after="100" w:afterAutospacing="1" w:line="360" w:lineRule="auto"/>
        <w:ind w:left="2268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c) Em caso de não pagamento voluntário no prazo legal, que seja expedido mandado de penhora e avaliação de bens da Executada suficientes à satisfação do débito, bem como quaisquer outras medidas coercitivas necessárias, incluindo bloqueio de ativos via sistema SISBAJUD, nos termos dos 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arts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. 835 e 854 do CPC; </w:t>
      </w:r>
    </w:p>
    <w:p w14:paraId="084779E3" w14:textId="77777777" w:rsidR="00C40822" w:rsidRDefault="00C47458" w:rsidP="00C40822">
      <w:pPr>
        <w:suppressAutoHyphens w:val="0"/>
        <w:spacing w:after="100" w:afterAutospacing="1" w:line="360" w:lineRule="auto"/>
        <w:ind w:left="2268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d) Que seja determinada a atualização contínua do débito até a data do efetivo pagamento, mediante a aplicação do índice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indice_correcao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} e juros de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taxa_juros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}; </w:t>
      </w:r>
    </w:p>
    <w:p w14:paraId="23FB4780" w14:textId="279E8B01" w:rsidR="00C47458" w:rsidRPr="00C40822" w:rsidRDefault="00C47458" w:rsidP="00C40822">
      <w:pPr>
        <w:suppressAutoHyphens w:val="0"/>
        <w:spacing w:after="100" w:afterAutospacing="1" w:line="360" w:lineRule="auto"/>
        <w:ind w:left="2268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e) Que, efetivado o pagamento ou realizada a penhora e posterior alienação judicial dos bens, seja expedido alvará de levantamento/RPV em favor da parte Exequente, para retirada no prazo legal. </w:t>
      </w:r>
    </w:p>
    <w:p w14:paraId="79F2AFD2" w14:textId="7C9E842A" w:rsidR="00C47458" w:rsidRPr="00C40822" w:rsidRDefault="00C40822" w:rsidP="00C40822">
      <w:pPr>
        <w:suppressAutoHyphens w:val="0"/>
        <w:spacing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lang w:eastAsia="pt-BR" w:bidi="ar-SA"/>
        </w:rPr>
      </w:pPr>
      <w:r>
        <w:rPr>
          <w:rFonts w:asciiTheme="majorHAnsi" w:eastAsia="Times New Roman" w:hAnsiTheme="majorHAnsi" w:cstheme="majorHAnsi"/>
          <w:kern w:val="0"/>
          <w:lang w:eastAsia="pt-BR" w:bidi="ar-SA"/>
        </w:rPr>
        <w:tab/>
      </w:r>
      <w:r w:rsidR="00C47458" w:rsidRPr="00C40822">
        <w:rPr>
          <w:rFonts w:asciiTheme="majorHAnsi" w:eastAsia="Times New Roman" w:hAnsiTheme="majorHAnsi" w:cstheme="majorHAnsi"/>
          <w:kern w:val="0"/>
          <w:lang w:eastAsia="pt-BR" w:bidi="ar-SA"/>
        </w:rPr>
        <w:t xml:space="preserve">Atribui-se à presente execução o valor demonstrado na planilha de cálculos anexa, com atualização até o efetivo adimplemento. </w:t>
      </w:r>
    </w:p>
    <w:p w14:paraId="6E4FFF93" w14:textId="77777777" w:rsidR="00C47458" w:rsidRPr="00C40822" w:rsidRDefault="00C47458" w:rsidP="00C40822">
      <w:pPr>
        <w:suppressAutoHyphens w:val="0"/>
        <w:spacing w:after="100" w:afterAutospacing="1" w:line="360" w:lineRule="auto"/>
        <w:jc w:val="center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Termos em que,</w:t>
      </w:r>
    </w:p>
    <w:p w14:paraId="0E0CA703" w14:textId="77777777" w:rsidR="00C47458" w:rsidRPr="00C40822" w:rsidRDefault="00C47458" w:rsidP="00C40822">
      <w:pPr>
        <w:suppressAutoHyphens w:val="0"/>
        <w:spacing w:after="100" w:afterAutospacing="1" w:line="360" w:lineRule="auto"/>
        <w:jc w:val="center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Pede deferimento.</w:t>
      </w:r>
    </w:p>
    <w:p w14:paraId="166FD444" w14:textId="77777777" w:rsidR="00C47458" w:rsidRPr="00C40822" w:rsidRDefault="00C47458" w:rsidP="00C40822">
      <w:pPr>
        <w:suppressAutoHyphens w:val="0"/>
        <w:spacing w:after="100" w:afterAutospacing="1" w:line="360" w:lineRule="auto"/>
        <w:jc w:val="right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Brasília – DF, {</w:t>
      </w:r>
      <w:proofErr w:type="spellStart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data_hoje</w:t>
      </w:r>
      <w:proofErr w:type="spellEnd"/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}.</w:t>
      </w:r>
    </w:p>
    <w:p w14:paraId="5B2EF4B1" w14:textId="77777777" w:rsidR="00C47458" w:rsidRPr="00C40822" w:rsidRDefault="00C47458" w:rsidP="00C40822">
      <w:pPr>
        <w:suppressAutoHyphens w:val="0"/>
        <w:jc w:val="center"/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HUGO DE OLIVEIRA LEAL</w:t>
      </w:r>
    </w:p>
    <w:p w14:paraId="336E08C9" w14:textId="77777777" w:rsidR="00C47458" w:rsidRDefault="00C47458" w:rsidP="00C40822">
      <w:pPr>
        <w:suppressAutoHyphens w:val="0"/>
        <w:jc w:val="center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OAB-DF 36.635</w:t>
      </w:r>
    </w:p>
    <w:p w14:paraId="592C7067" w14:textId="77777777" w:rsidR="00C40822" w:rsidRDefault="00C40822" w:rsidP="00C40822">
      <w:pPr>
        <w:suppressAutoHyphens w:val="0"/>
        <w:jc w:val="center"/>
        <w:rPr>
          <w:rFonts w:asciiTheme="majorHAnsi" w:eastAsia="Times New Roman" w:hAnsiTheme="majorHAnsi" w:cstheme="majorHAnsi"/>
          <w:kern w:val="0"/>
          <w:lang w:eastAsia="pt-BR" w:bidi="ar-SA"/>
        </w:rPr>
      </w:pPr>
    </w:p>
    <w:p w14:paraId="0D8A1F54" w14:textId="77777777" w:rsidR="00C40822" w:rsidRPr="00C40822" w:rsidRDefault="00C40822" w:rsidP="00C40822">
      <w:pPr>
        <w:suppressAutoHyphens w:val="0"/>
        <w:jc w:val="center"/>
        <w:rPr>
          <w:rFonts w:asciiTheme="majorHAnsi" w:eastAsia="Times New Roman" w:hAnsiTheme="majorHAnsi" w:cstheme="majorHAnsi"/>
          <w:kern w:val="0"/>
          <w:lang w:eastAsia="pt-BR" w:bidi="ar-SA"/>
        </w:rPr>
      </w:pPr>
    </w:p>
    <w:p w14:paraId="1F53E2BC" w14:textId="77777777" w:rsidR="00C47458" w:rsidRPr="00C40822" w:rsidRDefault="00C47458" w:rsidP="00C40822">
      <w:pPr>
        <w:suppressAutoHyphens w:val="0"/>
        <w:jc w:val="center"/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b/>
          <w:bCs/>
          <w:kern w:val="0"/>
          <w:lang w:eastAsia="pt-BR" w:bidi="ar-SA"/>
        </w:rPr>
        <w:t>LÍVIA ALVES DE OLIVEIRA</w:t>
      </w:r>
    </w:p>
    <w:p w14:paraId="702E065C" w14:textId="77777777" w:rsidR="00C47458" w:rsidRPr="00C40822" w:rsidRDefault="00C47458" w:rsidP="00C40822">
      <w:pPr>
        <w:suppressAutoHyphens w:val="0"/>
        <w:jc w:val="center"/>
        <w:rPr>
          <w:rFonts w:asciiTheme="majorHAnsi" w:eastAsia="Times New Roman" w:hAnsiTheme="majorHAnsi" w:cstheme="majorHAnsi"/>
          <w:kern w:val="0"/>
          <w:lang w:eastAsia="pt-BR" w:bidi="ar-SA"/>
        </w:rPr>
      </w:pPr>
      <w:r w:rsidRPr="00C40822">
        <w:rPr>
          <w:rFonts w:asciiTheme="majorHAnsi" w:eastAsia="Times New Roman" w:hAnsiTheme="majorHAnsi" w:cstheme="majorHAnsi"/>
          <w:kern w:val="0"/>
          <w:lang w:eastAsia="pt-BR" w:bidi="ar-SA"/>
        </w:rPr>
        <w:t>OAB-DF 46.323</w:t>
      </w:r>
    </w:p>
    <w:p w14:paraId="7FCC865D" w14:textId="42A0A33E" w:rsidR="004A0B44" w:rsidRPr="00C40822" w:rsidRDefault="004A0B44" w:rsidP="00C40822">
      <w:pPr>
        <w:spacing w:line="360" w:lineRule="auto"/>
        <w:jc w:val="both"/>
        <w:rPr>
          <w:rFonts w:asciiTheme="majorHAnsi" w:hAnsiTheme="majorHAnsi" w:cstheme="majorHAnsi"/>
        </w:rPr>
      </w:pPr>
    </w:p>
    <w:sectPr w:rsidR="004A0B44" w:rsidRPr="00C40822" w:rsidSect="00C40822"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701" w:right="1134" w:bottom="1134" w:left="1701" w:header="1083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508F8" w14:textId="77777777" w:rsidR="00D93CC6" w:rsidRDefault="00D93CC6">
      <w:r>
        <w:separator/>
      </w:r>
    </w:p>
  </w:endnote>
  <w:endnote w:type="continuationSeparator" w:id="0">
    <w:p w14:paraId="6673B7FB" w14:textId="77777777" w:rsidR="00D93CC6" w:rsidRDefault="00D93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Noto Sans Mono CJK SC">
    <w:panose1 w:val="020B0604020202020204"/>
    <w:charset w:val="00"/>
    <w:family w:val="roman"/>
    <w:notTrueType/>
    <w:pitch w:val="default"/>
  </w:font>
  <w:font w:name="Pompeii Capitals">
    <w:altName w:val="Cambria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395167143"/>
      <w:docPartObj>
        <w:docPartGallery w:val="Page Numbers (Bottom of Page)"/>
        <w:docPartUnique/>
      </w:docPartObj>
    </w:sdtPr>
    <w:sdtContent>
      <w:p w14:paraId="06873587" w14:textId="54BAE9C0" w:rsidR="00C40822" w:rsidRDefault="00C40822" w:rsidP="00B51CB2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F69CA09" w14:textId="77777777" w:rsidR="00C40822" w:rsidRDefault="00C40822" w:rsidP="00C4082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74782753"/>
      <w:docPartObj>
        <w:docPartGallery w:val="Page Numbers (Bottom of Page)"/>
        <w:docPartUnique/>
      </w:docPartObj>
    </w:sdtPr>
    <w:sdtContent>
      <w:p w14:paraId="04AAC91C" w14:textId="64398D4F" w:rsidR="00C40822" w:rsidRDefault="00C40822" w:rsidP="00B51CB2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72F94F65" w14:textId="04CEC718" w:rsidR="004A0B44" w:rsidRDefault="00000000" w:rsidP="00C40822">
    <w:pPr>
      <w:pStyle w:val="Rodap"/>
      <w:ind w:right="360"/>
    </w:pPr>
    <w:r>
      <w:tab/>
    </w:r>
    <w:r>
      <w:rPr>
        <w:color w:val="C3AF5E"/>
      </w:rPr>
      <w:t>_________________________________________________________</w:t>
    </w:r>
  </w:p>
  <w:p w14:paraId="6167DA76" w14:textId="77777777" w:rsidR="004A0B44" w:rsidRDefault="00000000">
    <w:pPr>
      <w:pStyle w:val="Rodap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 w14:paraId="6834DBF9" w14:textId="77777777" w:rsidR="004A0B4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 w14:paraId="4EE7CA01" w14:textId="77777777" w:rsidR="004A0B4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 w14:paraId="2D3D6D71" w14:textId="77777777" w:rsidR="004A0B4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9880" w14:textId="77777777" w:rsidR="004A0B44" w:rsidRDefault="00000000">
    <w:pPr>
      <w:pStyle w:val="Rodap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tab/>
    </w:r>
    <w:r>
      <w:rPr>
        <w:color w:val="C3AF5E"/>
      </w:rPr>
      <w:t>_________________________________________________________</w:t>
    </w:r>
  </w:p>
  <w:p w14:paraId="32914330" w14:textId="77777777" w:rsidR="004A0B44" w:rsidRDefault="00000000">
    <w:pPr>
      <w:pStyle w:val="Rodap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 w14:paraId="09CB565E" w14:textId="77777777" w:rsidR="004A0B4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 w14:paraId="58BD0407" w14:textId="77777777" w:rsidR="004A0B4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 w14:paraId="66505D01" w14:textId="77777777" w:rsidR="004A0B4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1151A" w14:textId="77777777" w:rsidR="00D93CC6" w:rsidRDefault="00D93CC6">
      <w:r>
        <w:separator/>
      </w:r>
    </w:p>
  </w:footnote>
  <w:footnote w:type="continuationSeparator" w:id="0">
    <w:p w14:paraId="6BE1DE41" w14:textId="77777777" w:rsidR="00D93CC6" w:rsidRDefault="00D93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5D44" w14:textId="77777777" w:rsidR="004A0B44" w:rsidRDefault="00000000">
    <w:pPr>
      <w:pStyle w:val="Cabealho"/>
    </w:pPr>
    <w:r>
      <w:rPr>
        <w:noProof/>
      </w:rPr>
      <w:drawing>
        <wp:anchor distT="0" distB="0" distL="0" distR="0" simplePos="0" relativeHeight="251657216" behindDoc="0" locked="0" layoutInCell="0" allowOverlap="1" wp14:anchorId="2690869D" wp14:editId="1188F8A0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174E" w14:textId="77777777" w:rsidR="004A0B44" w:rsidRDefault="00000000">
    <w:pPr>
      <w:pStyle w:val="Cabealho"/>
    </w:pPr>
    <w:r>
      <w:rPr>
        <w:noProof/>
      </w:rPr>
      <w:drawing>
        <wp:anchor distT="0" distB="0" distL="0" distR="0" simplePos="0" relativeHeight="251658240" behindDoc="0" locked="0" layoutInCell="0" allowOverlap="1" wp14:anchorId="4EB6BF75" wp14:editId="53DBC139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B44"/>
    <w:rsid w:val="004A0B44"/>
    <w:rsid w:val="00C40822"/>
    <w:rsid w:val="00C47458"/>
    <w:rsid w:val="00D93CC6"/>
    <w:rsid w:val="00FC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9BB6FB"/>
  <w15:docId w15:val="{FB674C56-1076-7D43-97CD-3850EDF8E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Pr>
      <w:b/>
      <w:bCs/>
    </w:rPr>
  </w:style>
  <w:style w:type="character" w:customStyle="1" w:styleId="Cdigo-fonte">
    <w:name w:val="Código-fonte"/>
    <w:qFormat/>
    <w:rPr>
      <w:rFonts w:ascii="Liberation Mono" w:eastAsia="Noto Sans Mono CJK SC" w:hAnsi="Liberation Mono" w:cs="Liberation Mono"/>
    </w:rPr>
  </w:style>
  <w:style w:type="paragraph" w:styleId="Ttulo">
    <w:name w:val="Title"/>
    <w:basedOn w:val="Normal"/>
    <w:next w:val="Corpodetexto"/>
    <w:uiPriority w:val="10"/>
    <w:qFormat/>
    <w:pPr>
      <w:jc w:val="center"/>
    </w:pPr>
    <w:rPr>
      <w:rFonts w:ascii="Pompeii Capitals" w:hAnsi="Pompeii Capitals"/>
      <w:b/>
      <w:sz w:val="3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uiPriority w:val="99"/>
    <w:qFormat/>
    <w:pPr>
      <w:spacing w:beforeAutospacing="1" w:afterAutospacing="1"/>
    </w:p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paragraph" w:customStyle="1" w:styleId="Anotao">
    <w:name w:val="Anotação"/>
    <w:basedOn w:val="Normal"/>
    <w:qFormat/>
    <w:rPr>
      <w:sz w:val="20"/>
      <w:szCs w:val="20"/>
    </w:rPr>
  </w:style>
  <w:style w:type="character" w:styleId="Nmerodepgina">
    <w:name w:val="page number"/>
    <w:basedOn w:val="Fontepargpadro"/>
    <w:uiPriority w:val="99"/>
    <w:semiHidden/>
    <w:unhideWhenUsed/>
    <w:rsid w:val="00C40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DE OLIVEIRA LEAL</cp:lastModifiedBy>
  <cp:revision>2</cp:revision>
  <dcterms:created xsi:type="dcterms:W3CDTF">2026-05-06T14:55:00Z</dcterms:created>
  <dcterms:modified xsi:type="dcterms:W3CDTF">2026-05-06T14:55:00Z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2026-02-05T22:37:42Z</dcterms:modified>
  <cp:revision>9</cp:revision>
  <dc:subject/>
  <dc:title/>
</cp:coreProperties>
</file>