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12th,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particularly drawn to Julius Baer's summer internship program as a trainee in the institutional sales team for structured products. What motivates me is the opportunity to discover the challenges and opportunities of the wealth management industry, as well as to develop new skills and gain hands-on experience alongside experienced professionals.</w:t>
      </w:r>
    </w:p>
    <w:p>
      <w:pPr>
        <w:spacing w:after="200"/>
        <w:ind w:firstLine="0"/>
        <w:jc w:val="both"/>
      </w:pPr>
      <w:r>
        <w:t>As a Cross Asset Structurer at Altitude Investment Solutions, I have developed a solid understanding of derivatives and financial markets. I have also gained valuable experience in managing RFQs from multiple issuers, cross-asset structuring, and creating customized payoffs. I am convinced that these skills will be transferable to the role of trainee in the institutional sales team for structured products at Julius Baer.</w:t>
      </w:r>
    </w:p>
    <w:p>
      <w:pPr>
        <w:spacing w:after="200"/>
        <w:ind w:firstLine="0"/>
        <w:jc w:val="both"/>
      </w:pPr>
      <w:r>
        <w:t>My academic background, particularly my MSc Financial Markets &amp; Investments at SKEMA Business School, has provided me with a solid foundation in finance and financial analysis. My experience at Credit Suisse Wealth Management has also given me an in-depth understanding of the needs of UHNW clients and personalized portfolio allocations. I am convinced that my atypical profile constitutes a differentiating advantage for this role.</w:t>
      </w:r>
    </w:p>
    <w:p>
      <w:pPr>
        <w:spacing w:after="200"/>
        <w:ind w:firstLine="0"/>
        <w:jc w:val="both"/>
      </w:pPr>
      <w:r>
        <w:t>I am enthusiastic about joining the institutional sales team for structured products at Julius Baer and contributing to creating value for clients. I am attracted to the company culture that values innovation, creativity, and entrepreneurship. I am eager to discover the opportunities and challenges of this role and contribute to the future of wealth management.</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