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Rapport d’avancement hebdomadaire</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b w:val="1"/>
          <w:sz w:val="28"/>
          <w:szCs w:val="28"/>
          <w:rtl w:val="0"/>
        </w:rPr>
        <w:t xml:space="preserve">INF3995 – Projet Intégrateur 3</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b w:val="1"/>
          <w:sz w:val="24"/>
          <w:szCs w:val="24"/>
          <w:rtl w:val="0"/>
        </w:rPr>
        <w:t xml:space="preserve">Remis à: </w:t>
      </w:r>
      <w:r w:rsidDel="00000000" w:rsidR="00000000" w:rsidRPr="00000000">
        <w:rPr>
          <w:sz w:val="24"/>
          <w:szCs w:val="24"/>
          <w:rtl w:val="0"/>
        </w:rPr>
        <w:t xml:space="preserve">Pierre-Yves Lajoie</w:t>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Équipe 0 -  GoExplore</w:t>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Pier-Luc Tanguay</w:t>
      </w:r>
    </w:p>
    <w:p w:rsidR="00000000" w:rsidDel="00000000" w:rsidP="00000000" w:rsidRDefault="00000000" w:rsidRPr="00000000" w14:paraId="00000013">
      <w:pPr>
        <w:spacing w:line="360" w:lineRule="auto"/>
        <w:ind w:left="720"/>
        <w:jc w:val="center"/>
        <w:rPr>
          <w:sz w:val="24"/>
          <w:szCs w:val="24"/>
        </w:rPr>
      </w:pPr>
      <w:r w:rsidDel="00000000" w:rsidR="00000000" w:rsidRPr="00000000">
        <w:rPr>
          <w:sz w:val="24"/>
          <w:szCs w:val="24"/>
          <w:rtl w:val="0"/>
        </w:rPr>
        <w:t xml:space="preserve">Sami Sadfa </w:t>
      </w:r>
    </w:p>
    <w:p w:rsidR="00000000" w:rsidDel="00000000" w:rsidP="00000000" w:rsidRDefault="00000000" w:rsidRPr="00000000" w14:paraId="00000014">
      <w:pPr>
        <w:spacing w:line="360" w:lineRule="auto"/>
        <w:ind w:left="720"/>
        <w:jc w:val="center"/>
        <w:rPr>
          <w:sz w:val="24"/>
          <w:szCs w:val="24"/>
        </w:rPr>
      </w:pPr>
      <w:r w:rsidDel="00000000" w:rsidR="00000000" w:rsidRPr="00000000">
        <w:rPr>
          <w:sz w:val="24"/>
          <w:szCs w:val="24"/>
          <w:rtl w:val="0"/>
        </w:rPr>
        <w:t xml:space="preserve">William Trépanier</w:t>
      </w:r>
    </w:p>
    <w:p w:rsidR="00000000" w:rsidDel="00000000" w:rsidP="00000000" w:rsidRDefault="00000000" w:rsidRPr="00000000" w14:paraId="00000015">
      <w:pPr>
        <w:spacing w:line="360" w:lineRule="auto"/>
        <w:ind w:left="720"/>
        <w:jc w:val="center"/>
        <w:rPr>
          <w:sz w:val="24"/>
          <w:szCs w:val="24"/>
        </w:rPr>
      </w:pPr>
      <w:r w:rsidDel="00000000" w:rsidR="00000000" w:rsidRPr="00000000">
        <w:rPr>
          <w:sz w:val="24"/>
          <w:szCs w:val="24"/>
          <w:rtl w:val="0"/>
        </w:rPr>
        <w:t xml:space="preserve">Wail Ayad</w:t>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Hugo Lachieze-Rey</w:t>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b w:val="1"/>
          <w:sz w:val="24"/>
          <w:szCs w:val="24"/>
          <w:rtl w:val="0"/>
        </w:rPr>
        <w:t xml:space="preserve">Date : </w:t>
      </w:r>
    </w:p>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Semaine du 27 septembre au 4 octobre 2021</w:t>
      </w:r>
    </w:p>
    <w:p w:rsidR="00000000" w:rsidDel="00000000" w:rsidP="00000000" w:rsidRDefault="00000000" w:rsidRPr="00000000" w14:paraId="000000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 xml:space="preserve">Ce qui a été fait la semaine dernière :</w:t>
      </w: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PDR </w:t>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La rédaction du livrable pour la PDR est terminée. Au cours de la semaine, lors des rencontres que nous avons pu avoir, chaque membre a présenté la ou les section(s) qu’il avait avancé afin de valider ou de discuter de l’avancée de celle-ci. Certaines sections du PDR étaient ambiguës et notre équipe a eu besoin de les analyser ensemble afin de les remplir de manière optimale. </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Drônes Crazyflies </w:t>
      </w: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Les membres de l’équipe se renseignent toujours sur les robots aériens en approfondissant la documentation. Tests des requis R.F.1 et R.F.2 en physique. </w:t>
      </w:r>
    </w:p>
    <w:p w:rsidR="00000000" w:rsidDel="00000000" w:rsidP="00000000" w:rsidRDefault="00000000" w:rsidRPr="00000000" w14:paraId="0000002B">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Implémentation communication avec le serveur ; </w:t>
      </w:r>
    </w:p>
    <w:p w:rsidR="00000000" w:rsidDel="00000000" w:rsidP="00000000" w:rsidRDefault="00000000" w:rsidRPr="00000000" w14:paraId="0000002C">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Identification unique selon le robot aérien utilisé.  </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Simulation Argos</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Faire le requis R.F.2 :</w:t>
      </w:r>
    </w:p>
    <w:p w:rsidR="00000000" w:rsidDel="00000000" w:rsidP="00000000" w:rsidRDefault="00000000" w:rsidRPr="00000000" w14:paraId="0000003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Établir la communication socket avec la station au sol ; </w:t>
      </w:r>
    </w:p>
    <w:p w:rsidR="00000000" w:rsidDel="00000000" w:rsidP="00000000" w:rsidRDefault="00000000" w:rsidRPr="00000000" w14:paraId="0000003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Répondre aux différentes commandes voulues dans les requis.  </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numPr>
          <w:ilvl w:val="0"/>
          <w:numId w:val="7"/>
        </w:numPr>
        <w:spacing w:line="360" w:lineRule="auto"/>
        <w:ind w:left="720" w:hanging="360"/>
        <w:jc w:val="both"/>
        <w:rPr>
          <w:b w:val="1"/>
          <w:sz w:val="24"/>
          <w:szCs w:val="24"/>
        </w:rPr>
      </w:pPr>
      <w:r w:rsidDel="00000000" w:rsidR="00000000" w:rsidRPr="00000000">
        <w:rPr>
          <w:b w:val="1"/>
          <w:sz w:val="24"/>
          <w:szCs w:val="24"/>
          <w:rtl w:val="0"/>
        </w:rPr>
        <w:t xml:space="preserve">Interface Web</w:t>
      </w:r>
    </w:p>
    <w:p w:rsidR="00000000" w:rsidDel="00000000" w:rsidP="00000000" w:rsidRDefault="00000000" w:rsidRPr="00000000" w14:paraId="0000003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Esquisse du rendu désiré pour l’interface utilisateur : ce schéma était aussi nécessaire dans la section 3 du livrable pour la PDR. Choix des couleurs en fonction du logo GoExplore. Ensuite, l’équipe a commencé le code pour compléter les requis R.F.1 et R.F.2</w:t>
      </w:r>
      <w:r w:rsidDel="00000000" w:rsidR="00000000" w:rsidRPr="00000000">
        <w:rPr>
          <w:sz w:val="24"/>
          <w:szCs w:val="24"/>
          <w:rtl w:val="0"/>
        </w:rPr>
        <w:t xml:space="preserve">. </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numPr>
          <w:ilvl w:val="0"/>
          <w:numId w:val="7"/>
        </w:numPr>
        <w:spacing w:line="360" w:lineRule="auto"/>
        <w:ind w:left="720" w:hanging="360"/>
        <w:jc w:val="both"/>
        <w:rPr>
          <w:b w:val="1"/>
          <w:sz w:val="24"/>
          <w:szCs w:val="24"/>
        </w:rPr>
      </w:pPr>
      <w:r w:rsidDel="00000000" w:rsidR="00000000" w:rsidRPr="00000000">
        <w:rPr>
          <w:b w:val="1"/>
          <w:sz w:val="24"/>
          <w:szCs w:val="24"/>
          <w:rtl w:val="0"/>
        </w:rPr>
        <w:t xml:space="preserve">Serveur / Station au sol</w:t>
      </w:r>
    </w:p>
    <w:p w:rsidR="00000000" w:rsidDel="00000000" w:rsidP="00000000" w:rsidRDefault="00000000" w:rsidRPr="00000000" w14:paraId="0000003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b w:val="1"/>
          <w:sz w:val="24"/>
          <w:szCs w:val="24"/>
        </w:rPr>
      </w:pPr>
      <w:r w:rsidDel="00000000" w:rsidR="00000000" w:rsidRPr="00000000">
        <w:rPr>
          <w:sz w:val="24"/>
          <w:szCs w:val="24"/>
          <w:rtl w:val="0"/>
        </w:rPr>
        <w:t xml:space="preserve">Prototype de la station au sol afin de pouvoir compléter les requis R.F.1 et R.F.2 avec les commandes nécessaires. </w:t>
      </w:r>
      <w:r w:rsidDel="00000000" w:rsidR="00000000" w:rsidRPr="00000000">
        <w:rPr>
          <w:rtl w:val="0"/>
        </w:rPr>
      </w:r>
    </w:p>
    <w:p w:rsidR="00000000" w:rsidDel="00000000" w:rsidP="00000000" w:rsidRDefault="00000000" w:rsidRPr="00000000" w14:paraId="000000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b w:val="1"/>
          <w:sz w:val="24"/>
          <w:szCs w:val="24"/>
        </w:rPr>
      </w:pPr>
      <w:r w:rsidDel="00000000" w:rsidR="00000000" w:rsidRPr="00000000">
        <w:rPr>
          <w:b w:val="1"/>
          <w:sz w:val="24"/>
          <w:szCs w:val="24"/>
          <w:rtl w:val="0"/>
        </w:rPr>
        <w:t xml:space="preserve">N.B : </w:t>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sz w:val="24"/>
          <w:szCs w:val="24"/>
          <w:rtl w:val="0"/>
        </w:rPr>
        <w:t xml:space="preserve">Nous avons également configuré l’intégration continue dans les répertoires du backend et du client. Cela permet ainsi automatiquement de build des images Docker automatiquement. Nous avons également configuré la release automatique et la génération automatique d’un client d’API en fonction d’une spécification OpenAPI. Cela permet de partager automatiquement les modèles entre le backend et le client.</w:t>
      </w:r>
    </w:p>
    <w:p w:rsidR="00000000" w:rsidDel="00000000" w:rsidP="00000000" w:rsidRDefault="00000000" w:rsidRPr="00000000" w14:paraId="000000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line="360" w:lineRule="auto"/>
        <w:jc w:val="both"/>
        <w:rPr>
          <w:b w:val="1"/>
          <w:sz w:val="24"/>
          <w:szCs w:val="24"/>
        </w:rPr>
      </w:pPr>
      <w:r w:rsidDel="00000000" w:rsidR="00000000" w:rsidRPr="00000000">
        <w:rPr>
          <w:b w:val="1"/>
          <w:sz w:val="24"/>
          <w:szCs w:val="24"/>
          <w:rtl w:val="0"/>
        </w:rPr>
        <w:t xml:space="preserve">Ce qui prévoit être fait cette semaine :</w:t>
      </w:r>
    </w:p>
    <w:p w:rsidR="00000000" w:rsidDel="00000000" w:rsidP="00000000" w:rsidRDefault="00000000" w:rsidRPr="00000000" w14:paraId="000000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1">
      <w:pPr>
        <w:numPr>
          <w:ilvl w:val="0"/>
          <w:numId w:val="3"/>
        </w:numPr>
        <w:spacing w:line="360" w:lineRule="auto"/>
        <w:ind w:left="720" w:hanging="360"/>
        <w:jc w:val="both"/>
        <w:rPr>
          <w:sz w:val="24"/>
          <w:szCs w:val="24"/>
        </w:rPr>
      </w:pPr>
      <w:r w:rsidDel="00000000" w:rsidR="00000000" w:rsidRPr="00000000">
        <w:rPr>
          <w:sz w:val="24"/>
          <w:szCs w:val="24"/>
          <w:rtl w:val="0"/>
        </w:rPr>
        <w:t xml:space="preserve">Préparer les tâches pour le prochain livrable (Gitlab et répartition des tâches) </w:t>
      </w:r>
      <w:r w:rsidDel="00000000" w:rsidR="00000000" w:rsidRPr="00000000">
        <w:rPr>
          <w:rtl w:val="0"/>
        </w:rPr>
      </w:r>
    </w:p>
    <w:p w:rsidR="00000000" w:rsidDel="00000000" w:rsidP="00000000" w:rsidRDefault="00000000" w:rsidRPr="00000000" w14:paraId="00000042">
      <w:pPr>
        <w:numPr>
          <w:ilvl w:val="0"/>
          <w:numId w:val="3"/>
        </w:numPr>
        <w:spacing w:line="360" w:lineRule="auto"/>
        <w:ind w:left="720" w:hanging="360"/>
        <w:jc w:val="both"/>
        <w:rPr>
          <w:sz w:val="24"/>
          <w:szCs w:val="24"/>
        </w:rPr>
      </w:pPr>
      <w:r w:rsidDel="00000000" w:rsidR="00000000" w:rsidRPr="00000000">
        <w:rPr>
          <w:sz w:val="24"/>
          <w:szCs w:val="24"/>
          <w:rtl w:val="0"/>
        </w:rPr>
        <w:t xml:space="preserve">Rencontre le 6 Octobre pour le division des tâches de cette semaine</w:t>
      </w:r>
    </w:p>
    <w:p w:rsidR="00000000" w:rsidDel="00000000" w:rsidP="00000000" w:rsidRDefault="00000000" w:rsidRPr="00000000" w14:paraId="00000043">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Rétroaction du PDR au niveau de la gestion d’équipe, ce qui a bien fonctionné, ce qui est à améliorer.</w:t>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Ce qui fonctionne bien :</w:t>
      </w:r>
    </w:p>
    <w:p w:rsidR="00000000" w:rsidDel="00000000" w:rsidP="00000000" w:rsidRDefault="00000000" w:rsidRPr="00000000" w14:paraId="0000004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Bonne communication dans ce fin de sprint pour remettre le livrable et les montages vidéo pour la PDR. L’autonomie et l’esprit d’équipe combinés font que l’équipe est efficace. </w:t>
      </w:r>
      <w:r w:rsidDel="00000000" w:rsidR="00000000" w:rsidRPr="00000000">
        <w:rPr>
          <w:sz w:val="24"/>
          <w:szCs w:val="24"/>
          <w:rtl w:val="0"/>
        </w:rPr>
        <w:t xml:space="preserve"> </w:t>
      </w:r>
    </w:p>
    <w:p w:rsidR="00000000" w:rsidDel="00000000" w:rsidP="00000000" w:rsidRDefault="00000000" w:rsidRPr="00000000" w14:paraId="0000004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rPr>
          <w:b w:val="1"/>
          <w:sz w:val="24"/>
          <w:szCs w:val="24"/>
          <w:rtl w:val="0"/>
        </w:rPr>
        <w:t xml:space="preserve">Points à améliorer :</w:t>
      </w:r>
    </w:p>
    <w:p w:rsidR="00000000" w:rsidDel="00000000" w:rsidP="00000000" w:rsidRDefault="00000000" w:rsidRPr="00000000" w14:paraId="0000004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sz w:val="24"/>
          <w:szCs w:val="24"/>
          <w:rtl w:val="0"/>
        </w:rPr>
        <w:t xml:space="preserve">La remise pour la PDR a été un peu prise à la légère en milieu de sprint ce qui nous a valu un rush lors de la dernière semaine. Nous nous sommes rendu compte qu’il était primordial d’être plus organisé pour la suite du projet. </w:t>
      </w: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38101</wp:posOffset>
          </wp:positionV>
          <wp:extent cx="1033463" cy="24054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33463" cy="24054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-133349</wp:posOffset>
          </wp:positionV>
          <wp:extent cx="1119188" cy="45915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9188" cy="45915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