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drawing>
          <wp:inline distT="0" distB="0" distL="0" distR="0">
            <wp:extent cx="4572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428750"/>
                    </a:xfrm>
                    <a:prstGeom prst="rect">
                      <a:avLst/>
                    </a:prstGeom>
                  </pic:spPr>
                </pic:pic>
              </a:graphicData>
            </a:graphic>
          </wp:inline>
        </w:drawing>
      </w:r>
    </w:p>
    <w:p>
      <w:pPr>
        <w:spacing w:after="400"/>
        <w:jc w:val="center"/>
      </w:pPr>
      <w:r>
        <w:rPr>
          <w:i/>
          <w:iCs/>
          <w:color w:val="C1502E"/>
          <w:sz w:val="26"/>
          <w:szCs w:val="26"/>
        </w:rPr>
        <w:t xml:space="preserve">Técnica italiana · Alma mexicana</w:t>
      </w:r>
    </w:p>
    <w:p>
      <w:pPr>
        <w:spacing w:after="100"/>
        <w:jc w:val="center"/>
      </w:pPr>
      <w:r>
        <w:rPr>
          <w:b/>
          <w:bCs/>
          <w:color w:val="1A1A1A"/>
          <w:sz w:val="36"/>
          <w:szCs w:val="36"/>
        </w:rPr>
        <w:t xml:space="preserve">PLAN DE NEGOCIOS</w:t>
      </w:r>
    </w:p>
    <w:p>
      <w:pPr>
        <w:spacing w:after="600"/>
        <w:jc w:val="center"/>
      </w:pPr>
      <w:r>
        <w:rPr>
          <w:color w:val="666666"/>
          <w:sz w:val="22"/>
          <w:szCs w:val="22"/>
        </w:rPr>
        <w:t xml:space="preserve">Versión Final — 23 de julio de 2026</w:t>
      </w:r>
    </w:p>
    <w:p>
      <w:pPr>
        <w:spacing w:after="40"/>
        <w:jc w:val="center"/>
      </w:pPr>
      <w:r>
        <w:rPr>
          <w:color w:val="666666"/>
          <w:sz w:val="20"/>
          <w:szCs w:val="20"/>
        </w:rPr>
        <w:t xml:space="preserve">Pizzería Dark Kitchen · Col. Lomas Lindas, Atizapán de Zaragoza, Edo. Méx. (CP 52947)</w:t>
      </w:r>
    </w:p>
    <w:p>
      <w:pPr>
        <w:spacing w:after="40"/>
        <w:jc w:val="center"/>
      </w:pPr>
      <w:r>
        <w:rPr>
          <w:color w:val="666666"/>
          <w:sz w:val="20"/>
          <w:szCs w:val="20"/>
        </w:rPr>
        <w:t xml:space="preserve">Fundadores: Hugo Martínez · Ricardo Rodríguez</w:t>
      </w:r>
    </w:p>
    <w:p>
      <w:r>
        <w:br w:type="page"/>
      </w:r>
    </w:p>
    <w:p>
      <w:pPr>
        <w:pStyle w:val="Heading1"/>
        <w:spacing w:after="150" w:before="300"/>
      </w:pPr>
      <w:r>
        <w:rPr>
          <w:b/>
          <w:bCs/>
          <w:color w:val="1A1A1A"/>
          <w:sz w:val="28"/>
          <w:szCs w:val="28"/>
        </w:rPr>
        <w:t xml:space="preserve">1. Resumen Ejecutivo</w:t>
      </w:r>
    </w:p>
    <w:p>
      <w:pPr>
        <w:spacing w:after="120"/>
      </w:pPr>
      <w:r>
        <w:rPr>
          <w:sz w:val="21"/>
          <w:szCs w:val="21"/>
        </w:rPr>
        <w:t xml:space="preserve">Mextizza es una pizzería dark-kitchen que fusiona la técnica italiana (masa estilo Nueva York, fermentación fría de 48 horas) con identidad e ingredientes mexicanos, operando desde Col. Lomas Lindas, Atizapán de Zaragoza, Estado de México.</w:t>
      </w:r>
    </w:p>
    <w:p>
      <w:pPr>
        <w:spacing w:after="120"/>
      </w:pPr>
      <w:r>
        <w:rPr>
          <w:sz w:val="21"/>
          <w:szCs w:val="21"/>
        </w:rPr>
        <w:t xml:space="preserve">Equipo Fundador: Hugo Martínez (Logística y Estrategia Comercial) y Ricardo Rodríguez (Chef Ejecutivo y Desarrollo de Producto).</w:t>
      </w:r>
    </w:p>
    <w:p>
      <w:pPr>
        <w:spacing w:after="120"/>
      </w:pPr>
      <w:r>
        <w:rPr>
          <w:sz w:val="21"/>
          <w:szCs w:val="21"/>
        </w:rPr>
        <w:t xml:space="preserve">El negocio inicia con canal directo (WhatsApp Business, sitio web propio, app propia) y un servicio adicional de Catering los fines de semana, usando un horno móvil Gozney XL. Las apps de terceros (UberEats, Rappi, DiDi Food) se contemplan como Fase 2 condicionada, no como parte del lanzamiento.</w:t>
      </w:r>
    </w:p>
    <w:p>
      <w:pPr>
        <w:spacing w:after="120"/>
      </w:pPr>
      <w:r>
        <w:rPr>
          <w:sz w:val="21"/>
          <w:szCs w:val="21"/>
        </w:rPr>
        <w:t xml:space="preserve">Lanzamiento oficial previsto: 1 de septiembre de 2026, tras una fase de pruebas técnicas de masa y horno que inicia la semana del 27 de julio.</w:t>
      </w:r>
    </w:p>
    <w:p>
      <w:r>
        <w:br w:type="page"/>
      </w:r>
    </w:p>
    <w:p>
      <w:pPr>
        <w:pStyle w:val="Heading1"/>
        <w:spacing w:after="150" w:before="300"/>
      </w:pPr>
      <w:r>
        <w:rPr>
          <w:b/>
          <w:bCs/>
          <w:color w:val="1A1A1A"/>
          <w:sz w:val="28"/>
          <w:szCs w:val="28"/>
        </w:rPr>
        <w:t xml:space="preserve">2. Identidad de Marca</w:t>
      </w:r>
    </w:p>
    <w:p>
      <w:pPr>
        <w:spacing w:after="120"/>
      </w:pPr>
      <w:r>
        <w:rPr>
          <w:sz w:val="21"/>
          <w:szCs w:val="21"/>
        </w:rPr>
        <w:t xml:space="preserve">Nombre: Mextizza (formato título — solo la M en mayúscula). Wordmark en tipografía Colo Pro, con "Mexti" en dorado masa (#D9A65C) y "zza" en rosa mexicano (#E4007C), sobre fondo negro carbón (#1A1A1A).</w:t>
      </w:r>
    </w:p>
    <w:p>
      <w:pPr>
        <w:spacing w:after="120"/>
      </w:pPr>
      <w:r>
        <w:rPr>
          <w:sz w:val="21"/>
          <w:szCs w:val="21"/>
        </w:rPr>
        <w:t xml:space="preserve">Subtítulo "Pizzería" en blanco hueso, y tagline "Horneada como allá, gozada como acá" en terracota (#C1502E).</w:t>
      </w:r>
    </w:p>
    <w:p>
      <w:pPr>
        <w:spacing w:after="120"/>
      </w:pPr>
      <w:r>
        <w:rPr>
          <w:sz w:val="21"/>
          <w:szCs w:val="21"/>
        </w:rPr>
        <w:t xml:space="preserve">Paleta completa: dorado masa, rosa mexicano, terracota/ladrillo, negro carbón, blanco hueso (#F5F0E8).</w:t>
      </w:r>
    </w:p>
    <w:p>
      <w:pPr>
        <w:spacing w:after="120"/>
      </w:pPr>
      <w:r>
        <w:rPr>
          <w:sz w:val="21"/>
          <w:szCs w:val="21"/>
        </w:rPr>
        <w:t xml:space="preserve">El lockup incluye 5 íconos de ingredientes (tomate, queso, cebolla morada, champiñón, pizza) como firma visual reconocible.</w:t>
      </w:r>
    </w:p>
    <w:p>
      <w:pPr>
        <w:spacing w:after="120"/>
      </w:pPr>
      <w:r>
        <w:rPr>
          <w:sz w:val="21"/>
          <w:szCs w:val="21"/>
        </w:rPr>
        <w:t xml:space="preserve">Estética general: estilo "taller/street art" urbano, materiales honestos (ladrillo, acero, madera) como lenguaje visual para una futura expansión a local físico.</w:t>
      </w:r>
    </w:p>
    <w:p>
      <w:pPr>
        <w:spacing w:after="120"/>
      </w:pPr>
      <w:r>
        <w:rPr>
          <w:i/>
          <w:iCs/>
          <w:color w:val="666666"/>
          <w:sz w:val="18"/>
          <w:szCs w:val="18"/>
        </w:rPr>
        <w:t xml:space="preserve">Ver archivos de marca: logo en SVG/PNG, mockup completo de identidad visual, y guía de aplicación.</w:t>
      </w:r>
    </w:p>
    <w:p>
      <w:r>
        <w:br w:type="page"/>
      </w:r>
    </w:p>
    <w:p>
      <w:pPr>
        <w:pStyle w:val="Heading1"/>
        <w:spacing w:after="150" w:before="300"/>
      </w:pPr>
      <w:r>
        <w:rPr>
          <w:b/>
          <w:bCs/>
          <w:color w:val="1A1A1A"/>
          <w:sz w:val="28"/>
          <w:szCs w:val="28"/>
        </w:rPr>
        <w:t xml:space="preserve">3. Propuesta de Valor y Menú</w:t>
      </w:r>
    </w:p>
    <w:p>
      <w:pPr>
        <w:pStyle w:val="Heading2"/>
        <w:spacing w:after="100" w:before="200"/>
      </w:pPr>
      <w:r>
        <w:rPr>
          <w:b/>
          <w:bCs/>
          <w:color w:val="C1502E"/>
          <w:sz w:val="24"/>
          <w:szCs w:val="24"/>
        </w:rPr>
        <w:t xml:space="preserve">3.1 Estilo de Producto</w:t>
      </w:r>
    </w:p>
    <w:p>
      <w:pPr>
        <w:spacing w:after="120"/>
      </w:pPr>
      <w:r>
        <w:rPr>
          <w:sz w:val="21"/>
          <w:szCs w:val="21"/>
        </w:rPr>
        <w:t xml:space="preserve">Estilo Nueva York: masa delgada, crujiente en la orilla, flexible al centro. Diferenciador técnico: fermentación fría de 48 horas con temperatura controlada en refrigeración (reemplaza la técnica de biga del concepto original).</w:t>
      </w:r>
    </w:p>
    <w:p>
      <w:pPr>
        <w:spacing w:after="120"/>
      </w:pPr>
      <w:r>
        <w:rPr>
          <w:sz w:val="21"/>
          <w:szCs w:val="21"/>
        </w:rPr>
        <w:t xml:space="preserve">Beneficio al cliente: pizzas ligeras y altamente digeribles — la fermentación larga en frío rompe azúcares y gluten.</w:t>
      </w:r>
    </w:p>
    <w:p>
      <w:pPr>
        <w:pStyle w:val="Heading2"/>
        <w:spacing w:after="100" w:before="200"/>
      </w:pPr>
      <w:r>
        <w:rPr>
          <w:b/>
          <w:bCs/>
          <w:color w:val="C1502E"/>
          <w:sz w:val="24"/>
          <w:szCs w:val="24"/>
        </w:rPr>
        <w:t xml:space="preserve">3.2 Menú Final (cerrado)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shd w:fill="1A1A1A" w:val="clear"/>
            <w:tcMar>
              <w:top w:type="dxa" w:w="60"/>
              <w:left w:type="dxa" w:w="100"/>
              <w:bottom w:type="dxa" w:w="60"/>
              <w:right w:type="dxa" w:w="100"/>
            </w:tcMar>
          </w:tcPr>
          <w:p>
            <w:pPr>
              <w:jc w:val="center"/>
            </w:pPr>
            <w:r>
              <w:rPr>
                <w:b/>
                <w:bCs/>
                <w:color w:val="FFFFFF"/>
                <w:sz w:val="19"/>
                <w:szCs w:val="19"/>
              </w:rPr>
              <w:t xml:space="preserve">Categoría</w:t>
            </w:r>
          </w:p>
        </w:tc>
        <w:tc>
          <w:tcPr>
            <w:tcW w:type="dxa" w:w="6300"/>
            <w:shd w:fill="1A1A1A" w:val="clear"/>
            <w:tcMar>
              <w:top w:type="dxa" w:w="60"/>
              <w:left w:type="dxa" w:w="100"/>
              <w:bottom w:type="dxa" w:w="60"/>
              <w:right w:type="dxa" w:w="100"/>
            </w:tcMar>
          </w:tcPr>
          <w:p>
            <w:pPr>
              <w:jc w:val="center"/>
            </w:pPr>
            <w:r>
              <w:rPr>
                <w:b/>
                <w:bCs/>
                <w:color w:val="FFFFFF"/>
                <w:sz w:val="19"/>
                <w:szCs w:val="19"/>
              </w:rPr>
              <w:t xml:space="preserve">Producto(s)</w:t>
            </w:r>
          </w:p>
        </w:tc>
      </w:tr>
      <w:tr>
        <w:tc>
          <w:tcPr>
            <w:tcW w:type="dxa" w:w="2500"/>
            <w:tcMar>
              <w:top w:type="dxa" w:w="60"/>
              <w:left w:type="dxa" w:w="100"/>
              <w:bottom w:type="dxa" w:w="60"/>
              <w:right w:type="dxa" w:w="100"/>
            </w:tcMar>
          </w:tcPr>
          <w:p>
            <w:pPr>
              <w:jc w:val="left"/>
            </w:pPr>
            <w:r>
              <w:rPr>
                <w:b w:val="false"/>
                <w:bCs w:val="false"/>
                <w:color w:val="000000"/>
                <w:sz w:val="19"/>
                <w:szCs w:val="19"/>
              </w:rPr>
              <w:t xml:space="preserve">Starters</w:t>
            </w:r>
          </w:p>
        </w:tc>
        <w:tc>
          <w:tcPr>
            <w:tcW w:type="dxa" w:w="6300"/>
            <w:tcMar>
              <w:top w:type="dxa" w:w="60"/>
              <w:left w:type="dxa" w:w="100"/>
              <w:bottom w:type="dxa" w:w="60"/>
              <w:right w:type="dxa" w:w="100"/>
            </w:tcMar>
          </w:tcPr>
          <w:p>
            <w:pPr>
              <w:jc w:val="center"/>
            </w:pPr>
            <w:r>
              <w:rPr>
                <w:b w:val="false"/>
                <w:bCs w:val="false"/>
                <w:color w:val="000000"/>
                <w:sz w:val="19"/>
                <w:szCs w:val="19"/>
              </w:rPr>
              <w:t xml:space="preserve">Empanada de Carne Deshebrada · Pizza Rolls</w:t>
            </w:r>
          </w:p>
        </w:tc>
      </w:tr>
      <w:tr>
        <w:tc>
          <w:tcPr>
            <w:tcW w:type="dxa" w:w="2500"/>
            <w:shd w:fill="F5F0E8" w:val="clear"/>
            <w:tcMar>
              <w:top w:type="dxa" w:w="60"/>
              <w:left w:type="dxa" w:w="100"/>
              <w:bottom w:type="dxa" w:w="60"/>
              <w:right w:type="dxa" w:w="100"/>
            </w:tcMar>
          </w:tcPr>
          <w:p>
            <w:pPr>
              <w:jc w:val="left"/>
            </w:pPr>
            <w:r>
              <w:rPr>
                <w:b w:val="false"/>
                <w:bCs w:val="false"/>
                <w:color w:val="000000"/>
                <w:sz w:val="19"/>
                <w:szCs w:val="19"/>
              </w:rPr>
              <w:t xml:space="preserve">Mains</w:t>
            </w:r>
          </w:p>
        </w:tc>
        <w:tc>
          <w:tcPr>
            <w:tcW w:type="dxa" w:w="6300"/>
            <w:shd w:fill="F5F0E8" w:val="clear"/>
            <w:tcMar>
              <w:top w:type="dxa" w:w="60"/>
              <w:left w:type="dxa" w:w="100"/>
              <w:bottom w:type="dxa" w:w="60"/>
              <w:right w:type="dxa" w:w="100"/>
            </w:tcMar>
          </w:tcPr>
          <w:p>
            <w:pPr>
              <w:jc w:val="center"/>
            </w:pPr>
            <w:r>
              <w:rPr>
                <w:b w:val="false"/>
                <w:bCs w:val="false"/>
                <w:color w:val="000000"/>
                <w:sz w:val="19"/>
                <w:szCs w:val="19"/>
              </w:rPr>
              <w:t xml:space="preserve">Dos Quesos · Salsa de Vodka · Hawaiana · Pepperoni con Salsa Hot Honey · Jamón Serrano con Arúgula · Cochinita Pibil (rotativa)</w:t>
            </w:r>
          </w:p>
        </w:tc>
      </w:tr>
      <w:tr>
        <w:tc>
          <w:tcPr>
            <w:tcW w:type="dxa" w:w="2500"/>
            <w:tcMar>
              <w:top w:type="dxa" w:w="60"/>
              <w:left w:type="dxa" w:w="100"/>
              <w:bottom w:type="dxa" w:w="60"/>
              <w:right w:type="dxa" w:w="100"/>
            </w:tcMar>
          </w:tcPr>
          <w:p>
            <w:pPr>
              <w:jc w:val="left"/>
            </w:pPr>
            <w:r>
              <w:rPr>
                <w:b w:val="false"/>
                <w:bCs w:val="false"/>
                <w:color w:val="000000"/>
                <w:sz w:val="19"/>
                <w:szCs w:val="19"/>
              </w:rPr>
              <w:t xml:space="preserve">Postre</w:t>
            </w:r>
          </w:p>
        </w:tc>
        <w:tc>
          <w:tcPr>
            <w:tcW w:type="dxa" w:w="6300"/>
            <w:tcMar>
              <w:top w:type="dxa" w:w="60"/>
              <w:left w:type="dxa" w:w="100"/>
              <w:bottom w:type="dxa" w:w="60"/>
              <w:right w:type="dxa" w:w="100"/>
            </w:tcMar>
          </w:tcPr>
          <w:p>
            <w:pPr>
              <w:jc w:val="center"/>
            </w:pPr>
            <w:r>
              <w:rPr>
                <w:b w:val="false"/>
                <w:bCs w:val="false"/>
                <w:color w:val="000000"/>
                <w:sz w:val="19"/>
                <w:szCs w:val="19"/>
              </w:rPr>
              <w:t xml:space="preserve">Brownie de Chocolate (única opción)</w:t>
            </w:r>
          </w:p>
        </w:tc>
      </w:tr>
    </w:tbl>
    <w:p>
      <w:pPr>
        <w:spacing w:after="120"/>
      </w:pPr>
      <w:r>
        <w:rPr>
          <w:i/>
          <w:iCs/>
          <w:color w:val="666666"/>
          <w:sz w:val="18"/>
          <w:szCs w:val="18"/>
        </w:rPr>
        <w:t xml:space="preserve">Precios de venta fijados con base en el rango de mercado local ($190-245 MXN por pizza), verificados contra el costo real de insumos (BOM) para asegurar un food cost saludable (~29%). Ver modelo financiero para el detalle completo por producto.</w:t>
      </w:r>
    </w:p>
    <w:p>
      <w:r>
        <w:br w:type="page"/>
      </w:r>
    </w:p>
    <w:p>
      <w:pPr>
        <w:pStyle w:val="Heading1"/>
        <w:spacing w:after="150" w:before="300"/>
      </w:pPr>
      <w:r>
        <w:rPr>
          <w:b/>
          <w:bCs/>
          <w:color w:val="1A1A1A"/>
          <w:sz w:val="28"/>
          <w:szCs w:val="28"/>
        </w:rPr>
        <w:t xml:space="preserve">4. Análisis de Mercado y Competencia</w:t>
      </w:r>
    </w:p>
    <w:p>
      <w:pPr>
        <w:pStyle w:val="Heading2"/>
        <w:spacing w:after="100" w:before="200"/>
      </w:pPr>
      <w:r>
        <w:rPr>
          <w:b/>
          <w:bCs/>
          <w:color w:val="C1502E"/>
          <w:sz w:val="24"/>
          <w:szCs w:val="24"/>
        </w:rPr>
        <w:t xml:space="preserve">4.1 TL;DR</w:t>
      </w:r>
    </w:p>
    <w:p>
      <w:pPr>
        <w:pStyle w:val="ListParagraph"/>
        <w:numPr>
          <w:ilvl w:val="0"/>
          <w:numId w:val="1"/>
        </w:numPr>
        <w:spacing w:after="60"/>
      </w:pPr>
      <w:r>
        <w:rPr>
          <w:sz w:val="21"/>
          <w:szCs w:val="21"/>
        </w:rPr>
        <w:t xml:space="preserve">El mercado de pizza en un radio de ~5 km de Lomas Lindas está copado por dos extremos: restaurantes sit-down de horno de leña/estilo italiano artesanal (Italimo, Artigiano, Caciato, ZONA, Italianni's) y cadenas de bajo costo (Little Caesars, Domino's). Ninguno opera como dark kitchen puro 100% delivery, y ninguno ofrece masa delgada estilo Nueva York con fermentación en frío de 48h — ese es el hueco competitivo exacto que Mextizza puede ocupar.</w:t>
      </w:r>
    </w:p>
    <w:p>
      <w:pPr>
        <w:pStyle w:val="ListParagraph"/>
        <w:numPr>
          <w:ilvl w:val="0"/>
          <w:numId w:val="1"/>
        </w:numPr>
        <w:spacing w:after="60"/>
      </w:pPr>
      <w:r>
        <w:rPr>
          <w:sz w:val="21"/>
          <w:szCs w:val="21"/>
        </w:rPr>
        <w:t xml:space="preserve">Radio de reparto recomendado: núcleo de 3 km (meta ≤30 min puerta a puerta) con un tope duro de 5 km, alineado con el estándar histórico de Domino's y la recomendación de Deliverect para dark kitchens.</w:t>
      </w:r>
    </w:p>
    <w:p>
      <w:pPr>
        <w:pStyle w:val="ListParagraph"/>
        <w:numPr>
          <w:ilvl w:val="0"/>
          <w:numId w:val="1"/>
        </w:numPr>
        <w:spacing w:after="60"/>
      </w:pPr>
      <w:r>
        <w:rPr>
          <w:sz w:val="21"/>
          <w:szCs w:val="21"/>
        </w:rPr>
        <w:t xml:space="preserve">Los rivales más fuertes en reputación son Italimo (4.6/5 Tripadvisor, #1 de 77 restaurantes) y Caciato (~4.6 Google), pero ambos son restaurantes de mesa donde el delivery es secundario. La ventaja de Mextizza no está en competir por el comensal de terraza, sino en dominar el canal de entrega con un producto que hoy nadie hace en la zona.</w:t>
      </w:r>
    </w:p>
    <w:p>
      <w:pPr>
        <w:pStyle w:val="Heading2"/>
        <w:spacing w:after="100" w:before="200"/>
      </w:pPr>
      <w:r>
        <w:rPr>
          <w:b/>
          <w:bCs/>
          <w:color w:val="C1502E"/>
          <w:sz w:val="24"/>
          <w:szCs w:val="24"/>
        </w:rPr>
        <w:t xml:space="preserve">4.2 Hallazgos Clave</w:t>
      </w:r>
    </w:p>
    <w:p>
      <w:pPr>
        <w:pStyle w:val="ListParagraph"/>
        <w:numPr>
          <w:ilvl w:val="0"/>
          <w:numId w:val="1"/>
        </w:numPr>
        <w:spacing w:after="60"/>
      </w:pPr>
      <w:r>
        <w:rPr>
          <w:sz w:val="21"/>
          <w:szCs w:val="21"/>
        </w:rPr>
        <w:t xml:space="preserve">Diferenciación de producto disponible y defendible: prácticamente todos los competidores artesanales se anuncian como horneados a la leña / estilo italiano. La masa delgada NY con fermentación en frío 48h no tiene equivalente local documentado.</w:t>
      </w:r>
    </w:p>
    <w:p>
      <w:pPr>
        <w:pStyle w:val="ListParagraph"/>
        <w:numPr>
          <w:ilvl w:val="0"/>
          <w:numId w:val="1"/>
        </w:numPr>
        <w:spacing w:after="60"/>
      </w:pPr>
      <w:r>
        <w:rPr>
          <w:sz w:val="21"/>
          <w:szCs w:val="21"/>
        </w:rPr>
        <w:t xml:space="preserve">Nadie es dark-kitchen puro: los negocios con mejor pizza dependen de mesa/terraza; las opciones delivery-first reales son cadenas de precio bajo. Mextizza puede posicionarse en el cuadrante vacío: calidad artesanal + optimizado 100% para entrega.</w:t>
      </w:r>
    </w:p>
    <w:p>
      <w:pPr>
        <w:pStyle w:val="ListParagraph"/>
        <w:numPr>
          <w:ilvl w:val="0"/>
          <w:numId w:val="1"/>
        </w:numPr>
        <w:spacing w:after="60"/>
      </w:pPr>
      <w:r>
        <w:rPr>
          <w:sz w:val="21"/>
          <w:szCs w:val="21"/>
        </w:rPr>
        <w:t xml:space="preserve">La competencia digital independiente es sorprendentemente débil: Italimo (líder de reputación) tiene ~8,000 seguidores en Instagram; Artigiano ~1,215. Una estrategia de contenido consistente puede superar rápidamente a la mayoría.</w:t>
      </w:r>
    </w:p>
    <w:p>
      <w:pPr>
        <w:pStyle w:val="ListParagraph"/>
        <w:numPr>
          <w:ilvl w:val="0"/>
          <w:numId w:val="1"/>
        </w:numPr>
        <w:spacing w:after="60"/>
      </w:pPr>
      <w:r>
        <w:rPr>
          <w:sz w:val="21"/>
          <w:szCs w:val="21"/>
        </w:rPr>
        <w:t xml:space="preserve">Cuidado con homónimos: los perfiles "El Shaddai/Shadday" en redes son de Brasil/Veracruz, y "La Trattoria" de España/Nápoles/Guanajuato — ninguno es el negocio de Atizapán.</w:t>
      </w:r>
    </w:p>
    <w:p>
      <w:pPr>
        <w:pStyle w:val="Heading2"/>
        <w:spacing w:after="100" w:before="200"/>
      </w:pPr>
      <w:r>
        <w:rPr>
          <w:b/>
          <w:bCs/>
          <w:color w:val="C1502E"/>
          <w:sz w:val="24"/>
          <w:szCs w:val="24"/>
        </w:rPr>
        <w:t xml:space="preserve">4.3 Competidores Relevantes</w:t>
      </w:r>
    </w:p>
    <w:p>
      <w:pPr>
        <w:spacing w:after="60"/>
      </w:pPr>
      <w:r>
        <w:rPr>
          <w:b/>
          <w:bCs/>
          <w:sz w:val="21"/>
          <w:szCs w:val="21"/>
        </w:rPr>
        <w:t xml:space="preserve">Italimo — El rival de reputación #1</w:t>
      </w:r>
    </w:p>
    <w:p>
      <w:pPr>
        <w:pStyle w:val="ListParagraph"/>
        <w:numPr>
          <w:ilvl w:val="0"/>
          <w:numId w:val="1"/>
        </w:numPr>
        <w:spacing w:after="60"/>
      </w:pPr>
      <w:r>
        <w:rPr>
          <w:sz w:val="21"/>
          <w:szCs w:val="21"/>
        </w:rPr>
        <w:t xml:space="preserve">Dirección: Av. Adolfo Ruiz Cortines 255, Galerías Atizapán, CP 52977.</w:t>
      </w:r>
    </w:p>
    <w:p>
      <w:pPr>
        <w:pStyle w:val="ListParagraph"/>
        <w:numPr>
          <w:ilvl w:val="0"/>
          <w:numId w:val="1"/>
        </w:numPr>
        <w:spacing w:after="60"/>
      </w:pPr>
      <w:r>
        <w:rPr>
          <w:sz w:val="21"/>
          <w:szCs w:val="21"/>
        </w:rPr>
        <w:t xml:space="preserve">Web: italimorestaurante.mx · Instagram: @italimomx (~8,068 seguidores, 64 posts).</w:t>
      </w:r>
    </w:p>
    <w:p>
      <w:pPr>
        <w:pStyle w:val="ListParagraph"/>
        <w:numPr>
          <w:ilvl w:val="0"/>
          <w:numId w:val="1"/>
        </w:numPr>
        <w:spacing w:after="60"/>
      </w:pPr>
      <w:r>
        <w:rPr>
          <w:sz w:val="21"/>
          <w:szCs w:val="21"/>
        </w:rPr>
        <w:t xml:space="preserve">Rating: Tripadvisor 4.6/5, #1 de 77 restaurantes, 272 reseñas; Google ~4.4/5. Precio $$-$$$.</w:t>
      </w:r>
    </w:p>
    <w:p>
      <w:pPr>
        <w:pStyle w:val="ListParagraph"/>
        <w:numPr>
          <w:ilvl w:val="0"/>
          <w:numId w:val="1"/>
        </w:numPr>
        <w:spacing w:after="60"/>
      </w:pPr>
      <w:r>
        <w:rPr>
          <w:sz w:val="21"/>
          <w:szCs w:val="21"/>
        </w:rPr>
        <w:t xml:space="preserve">Tipo: pizza italiana, pasta, buffet, música en vivo. Sit-down con terraza; delivery secundario vía Uber Eats/Rappi.</w:t>
      </w:r>
    </w:p>
    <w:p>
      <w:pPr>
        <w:spacing w:after="60"/>
      </w:pPr>
      <w:r>
        <w:rPr>
          <w:b/>
          <w:bCs/>
          <w:sz w:val="21"/>
          <w:szCs w:val="21"/>
        </w:rPr>
        <w:t xml:space="preserve">Artigiano Pizza Rústica — La mejor pizza artesanal según reseñas</w:t>
      </w:r>
    </w:p>
    <w:p>
      <w:pPr>
        <w:pStyle w:val="ListParagraph"/>
        <w:numPr>
          <w:ilvl w:val="0"/>
          <w:numId w:val="1"/>
        </w:numPr>
        <w:spacing w:after="60"/>
      </w:pPr>
      <w:r>
        <w:rPr>
          <w:sz w:val="21"/>
          <w:szCs w:val="21"/>
        </w:rPr>
        <w:t xml:space="preserve">Dirección: Calzada de los Jinetes 203, local 5, Col. Las Arboledas, CP 52950.</w:t>
      </w:r>
    </w:p>
    <w:p>
      <w:pPr>
        <w:pStyle w:val="ListParagraph"/>
        <w:numPr>
          <w:ilvl w:val="0"/>
          <w:numId w:val="1"/>
        </w:numPr>
        <w:spacing w:after="60"/>
      </w:pPr>
      <w:r>
        <w:rPr>
          <w:sz w:val="21"/>
          <w:szCs w:val="21"/>
        </w:rPr>
        <w:t xml:space="preserve">Web: artigiano.com.mx · Instagram: @artigiano_pr (~1,215 seguidores).</w:t>
      </w:r>
    </w:p>
    <w:p>
      <w:pPr>
        <w:pStyle w:val="ListParagraph"/>
        <w:numPr>
          <w:ilvl w:val="0"/>
          <w:numId w:val="1"/>
        </w:numPr>
        <w:spacing w:after="60"/>
      </w:pPr>
      <w:r>
        <w:rPr>
          <w:sz w:val="21"/>
          <w:szCs w:val="21"/>
        </w:rPr>
        <w:t xml:space="preserve">Rating: Tripadvisor 4.3/5 (40 reseñas), otras fichas 4.5 con ~2,000 reseñas agregadas. Precio $$-$$$.</w:t>
      </w:r>
    </w:p>
    <w:p>
      <w:pPr>
        <w:pStyle w:val="ListParagraph"/>
        <w:numPr>
          <w:ilvl w:val="0"/>
          <w:numId w:val="1"/>
        </w:numPr>
        <w:spacing w:after="60"/>
      </w:pPr>
      <w:r>
        <w:rPr>
          <w:sz w:val="21"/>
          <w:szCs w:val="21"/>
        </w:rPr>
        <w:t xml:space="preserve">Tipo: horno de piedra/leña, masa hecha a mano, delgada y crocante. Ya vende una pizza de jamón serrano con arúgula — conflicto directo con nuestra oferta (ver Análisis de Riesgos).</w:t>
      </w:r>
    </w:p>
    <w:p>
      <w:pPr>
        <w:spacing w:after="60"/>
      </w:pPr>
      <w:r>
        <w:rPr>
          <w:b/>
          <w:bCs/>
          <w:sz w:val="21"/>
          <w:szCs w:val="21"/>
        </w:rPr>
        <w:t xml:space="preserve">Ristorante Caciato</w:t>
      </w:r>
    </w:p>
    <w:p>
      <w:pPr>
        <w:pStyle w:val="ListParagraph"/>
        <w:numPr>
          <w:ilvl w:val="0"/>
          <w:numId w:val="1"/>
        </w:numPr>
        <w:spacing w:after="60"/>
      </w:pPr>
      <w:r>
        <w:rPr>
          <w:sz w:val="21"/>
          <w:szCs w:val="21"/>
        </w:rPr>
        <w:t xml:space="preserve">Dirección: Plaza Centro, Av. Presidente Adolfo López Mateos 45.</w:t>
      </w:r>
    </w:p>
    <w:p>
      <w:pPr>
        <w:pStyle w:val="ListParagraph"/>
        <w:numPr>
          <w:ilvl w:val="0"/>
          <w:numId w:val="1"/>
        </w:numPr>
        <w:spacing w:after="60"/>
      </w:pPr>
      <w:r>
        <w:rPr>
          <w:sz w:val="21"/>
          <w:szCs w:val="21"/>
        </w:rPr>
        <w:t xml:space="preserve">Instagram: @caciatoristoranti. Rating: Google ~4.6/5 (~440 reseñas). Precio $-$$.</w:t>
      </w:r>
    </w:p>
    <w:p>
      <w:pPr>
        <w:pStyle w:val="ListParagraph"/>
        <w:numPr>
          <w:ilvl w:val="0"/>
          <w:numId w:val="1"/>
        </w:numPr>
        <w:spacing w:after="60"/>
      </w:pPr>
      <w:r>
        <w:rPr>
          <w:sz w:val="21"/>
          <w:szCs w:val="21"/>
        </w:rPr>
        <w:t xml:space="preserve">Sit-down familiar, atendido por el chef/dueño. Menú de pizzas $190-$235.</w:t>
      </w:r>
    </w:p>
    <w:p>
      <w:pPr>
        <w:spacing w:after="60"/>
      </w:pPr>
      <w:r>
        <w:rPr>
          <w:b/>
          <w:bCs/>
          <w:sz w:val="21"/>
          <w:szCs w:val="21"/>
        </w:rPr>
        <w:t xml:space="preserve">ZONA Cocina Italiana</w:t>
      </w:r>
    </w:p>
    <w:p>
      <w:pPr>
        <w:pStyle w:val="ListParagraph"/>
        <w:numPr>
          <w:ilvl w:val="0"/>
          <w:numId w:val="1"/>
        </w:numPr>
        <w:spacing w:after="60"/>
      </w:pPr>
      <w:r>
        <w:rPr>
          <w:sz w:val="21"/>
          <w:szCs w:val="21"/>
        </w:rPr>
        <w:t xml:space="preserve">Dirección: Av. Adolfo Ruiz Cortines 245-247, frente a Costco.</w:t>
      </w:r>
    </w:p>
    <w:p>
      <w:pPr>
        <w:pStyle w:val="ListParagraph"/>
        <w:numPr>
          <w:ilvl w:val="0"/>
          <w:numId w:val="1"/>
        </w:numPr>
        <w:spacing w:after="60"/>
      </w:pPr>
      <w:r>
        <w:rPr>
          <w:sz w:val="21"/>
          <w:szCs w:val="21"/>
        </w:rPr>
        <w:t xml:space="preserve">Instagram: @zona.cocinaitaliana · Facebook: ~3,200 seguidores.</w:t>
      </w:r>
    </w:p>
    <w:p>
      <w:pPr>
        <w:pStyle w:val="ListParagraph"/>
        <w:numPr>
          <w:ilvl w:val="0"/>
          <w:numId w:val="1"/>
        </w:numPr>
        <w:spacing w:after="60"/>
      </w:pPr>
      <w:r>
        <w:rPr>
          <w:sz w:val="21"/>
          <w:szCs w:val="21"/>
        </w:rPr>
        <w:t xml:space="preserve">Rating: Tripadvisor 4.5/5. Precio $$-$$$$. Sit-down con bar, música en vivo, terraza.</w:t>
      </w:r>
    </w:p>
    <w:p>
      <w:pPr>
        <w:spacing w:after="60"/>
      </w:pPr>
      <w:r>
        <w:rPr>
          <w:b/>
          <w:bCs/>
          <w:sz w:val="21"/>
          <w:szCs w:val="21"/>
        </w:rPr>
        <w:t xml:space="preserve">Pizzas General Jack</w:t>
      </w:r>
    </w:p>
    <w:p>
      <w:pPr>
        <w:pStyle w:val="ListParagraph"/>
        <w:numPr>
          <w:ilvl w:val="0"/>
          <w:numId w:val="1"/>
        </w:numPr>
        <w:spacing w:after="60"/>
      </w:pPr>
      <w:r>
        <w:rPr>
          <w:sz w:val="21"/>
          <w:szCs w:val="21"/>
        </w:rPr>
        <w:t xml:space="preserve">Dirección: Paseo de las Villas 59, Villas de la Hacienda.</w:t>
      </w:r>
    </w:p>
    <w:p>
      <w:pPr>
        <w:pStyle w:val="ListParagraph"/>
        <w:numPr>
          <w:ilvl w:val="0"/>
          <w:numId w:val="1"/>
        </w:numPr>
        <w:spacing w:after="60"/>
      </w:pPr>
      <w:r>
        <w:rPr>
          <w:sz w:val="21"/>
          <w:szCs w:val="21"/>
        </w:rPr>
        <w:t xml:space="preserve">Rating: Google 4.3/5, 452 reseñas. Precio $-$$. Pizzería-bar sit-down, delivery activo por Uber Eats.</w:t>
      </w:r>
    </w:p>
    <w:p>
      <w:pPr>
        <w:spacing w:after="60"/>
      </w:pPr>
      <w:r>
        <w:rPr>
          <w:b/>
          <w:bCs/>
          <w:sz w:val="21"/>
          <w:szCs w:val="21"/>
        </w:rPr>
        <w:t xml:space="preserve">Shadday's Pizza (El Shadday Pizza)</w:t>
      </w:r>
    </w:p>
    <w:p>
      <w:pPr>
        <w:pStyle w:val="ListParagraph"/>
        <w:numPr>
          <w:ilvl w:val="0"/>
          <w:numId w:val="1"/>
        </w:numPr>
        <w:spacing w:after="60"/>
      </w:pPr>
      <w:r>
        <w:rPr>
          <w:sz w:val="21"/>
          <w:szCs w:val="21"/>
        </w:rPr>
        <w:t xml:space="preserve">Dirección: C. Lázaro Cárdenas 8, Ciudad López Mateos.</w:t>
      </w:r>
    </w:p>
    <w:p>
      <w:pPr>
        <w:pStyle w:val="ListParagraph"/>
        <w:numPr>
          <w:ilvl w:val="0"/>
          <w:numId w:val="1"/>
        </w:numPr>
        <w:spacing w:after="60"/>
      </w:pPr>
      <w:r>
        <w:rPr>
          <w:sz w:val="21"/>
          <w:szCs w:val="21"/>
        </w:rPr>
        <w:t xml:space="preserve">Sin perfil de Instagram verificable de México (los homónimos hallados son de Brasil/Veracruz).</w:t>
      </w:r>
    </w:p>
    <w:p>
      <w:pPr>
        <w:pStyle w:val="ListParagraph"/>
        <w:numPr>
          <w:ilvl w:val="0"/>
          <w:numId w:val="1"/>
        </w:numPr>
        <w:spacing w:after="60"/>
      </w:pPr>
      <w:r>
        <w:rPr>
          <w:sz w:val="21"/>
          <w:szCs w:val="21"/>
        </w:rPr>
        <w:t xml:space="preserve">Rating: Google ~3.9-4.1/5. Precio $. Fuerte componente de delivery/comida rápida.</w:t>
      </w:r>
    </w:p>
    <w:p>
      <w:pPr>
        <w:spacing w:after="60"/>
      </w:pPr>
      <w:r>
        <w:rPr>
          <w:b/>
          <w:bCs/>
          <w:sz w:val="21"/>
          <w:szCs w:val="21"/>
        </w:rPr>
        <w:t xml:space="preserve">Italianni's — Galerías Atizapán (cadena)</w:t>
      </w:r>
    </w:p>
    <w:p>
      <w:pPr>
        <w:pStyle w:val="ListParagraph"/>
        <w:numPr>
          <w:ilvl w:val="0"/>
          <w:numId w:val="1"/>
        </w:numPr>
        <w:spacing w:after="60"/>
      </w:pPr>
      <w:r>
        <w:rPr>
          <w:sz w:val="21"/>
          <w:szCs w:val="21"/>
        </w:rPr>
        <w:t xml:space="preserve">Rating: Google ~3.6/5. Precio $$-$$$. Reputación mixta — no es amenaza de producto.</w:t>
      </w:r>
    </w:p>
    <w:p>
      <w:pPr>
        <w:spacing w:after="60"/>
      </w:pPr>
      <w:r>
        <w:rPr>
          <w:b/>
          <w:bCs/>
          <w:sz w:val="21"/>
          <w:szCs w:val="21"/>
        </w:rPr>
        <w:t xml:space="preserve">Little Caesars / Domino's (cadenas de precio bajo)</w:t>
      </w:r>
    </w:p>
    <w:p>
      <w:pPr>
        <w:pStyle w:val="ListParagraph"/>
        <w:numPr>
          <w:ilvl w:val="0"/>
          <w:numId w:val="1"/>
        </w:numPr>
        <w:spacing w:after="60"/>
      </w:pPr>
      <w:r>
        <w:rPr>
          <w:sz w:val="21"/>
          <w:szCs w:val="21"/>
        </w:rPr>
        <w:t xml:space="preserve">Tres sucursales de Little Caesars cercanas (Plaza Hacienda, Las Alamedas, Lago de Guadalupe) + Domino's Lago de Guadalupe.</w:t>
      </w:r>
    </w:p>
    <w:p>
      <w:pPr>
        <w:pStyle w:val="ListParagraph"/>
        <w:numPr>
          <w:ilvl w:val="0"/>
          <w:numId w:val="1"/>
        </w:numPr>
        <w:spacing w:after="60"/>
      </w:pPr>
      <w:r>
        <w:rPr>
          <w:sz w:val="21"/>
          <w:szCs w:val="21"/>
        </w:rPr>
        <w:t xml:space="preserve">Compiten solo por precio y velocidad, no por calidad artesanal — distinto segmento a Mextizza.</w:t>
      </w:r>
    </w:p>
    <w:p>
      <w:pPr>
        <w:spacing w:after="120"/>
      </w:pPr>
      <w:r>
        <w:rPr>
          <w:i/>
          <w:iCs/>
          <w:color w:val="666666"/>
          <w:sz w:val="18"/>
          <w:szCs w:val="18"/>
        </w:rPr>
        <w:t xml:space="preserve">Otros competidores menores en el radio: Pizzas a la Leña, Pizza Mia, Delipizza, Big Pizza, Charly Pizzas, GoPizza México, entre ~72 pizzerías pequeñas de barrio adicionales — analizadas de forma agregada, ninguna representa amenaza directa (ver Panorama Competitivo).</w:t>
      </w:r>
    </w:p>
    <w:p>
      <w:pPr>
        <w:pStyle w:val="Heading2"/>
        <w:spacing w:after="100" w:before="200"/>
      </w:pPr>
      <w:r>
        <w:rPr>
          <w:b/>
          <w:bCs/>
          <w:color w:val="C1502E"/>
          <w:sz w:val="24"/>
          <w:szCs w:val="24"/>
        </w:rPr>
        <w:t xml:space="preserve">4.4 Panorama Competitivo — Lectura Estratégica</w:t>
      </w:r>
    </w:p>
    <w:p>
      <w:pPr>
        <w:spacing w:after="120"/>
      </w:pPr>
      <w:r>
        <w:rPr>
          <w:sz w:val="21"/>
          <w:szCs w:val="21"/>
        </w:rPr>
        <w:t xml:space="preserve">El mapa se divide en tres grupos: (a) artesanales premium sit-down (Italimo, Artigiano, Caciato, ZONA) que ganan en producto y ambiente pero tratan el delivery como accesorio; (b) cadenas de precio (Little Caesars, Domino's) que dominan delivery con producto commodity; y (c) cadena casual (Italianni's) de reputación floja. No hay ningún operador que combine producto artesanal diferenciado con una operación diseñada íntegramente para delivery — que es precisamente el posicionamiento de Mextizza. El estilo NY thin-crust además viaja mejor que la napolitana húmeda de horno de leña, dando a Mextizza una ventaja física real en el canal de entrega.</w:t>
      </w:r>
    </w:p>
    <w:p>
      <w:pPr>
        <w:pStyle w:val="Heading2"/>
        <w:spacing w:after="100" w:before="200"/>
      </w:pPr>
      <w:r>
        <w:rPr>
          <w:b/>
          <w:bCs/>
          <w:color w:val="C1502E"/>
          <w:sz w:val="24"/>
          <w:szCs w:val="24"/>
        </w:rPr>
        <w:t xml:space="preserve">4.5 Radio Óptimo de Reparto</w:t>
      </w:r>
    </w:p>
    <w:p>
      <w:pPr>
        <w:pStyle w:val="ListParagraph"/>
        <w:numPr>
          <w:ilvl w:val="0"/>
          <w:numId w:val="1"/>
        </w:numPr>
        <w:spacing w:after="60"/>
      </w:pPr>
      <w:r>
        <w:rPr>
          <w:sz w:val="21"/>
          <w:szCs w:val="21"/>
        </w:rPr>
        <w:t xml:space="preserve">Estándar histórico: Domino's popularizó "30 minutos o menos" como benchmark mental del consumidor.</w:t>
      </w:r>
    </w:p>
    <w:p>
      <w:pPr>
        <w:pStyle w:val="ListParagraph"/>
        <w:numPr>
          <w:ilvl w:val="0"/>
          <w:numId w:val="1"/>
        </w:numPr>
        <w:spacing w:after="60"/>
      </w:pPr>
      <w:r>
        <w:rPr>
          <w:sz w:val="21"/>
          <w:szCs w:val="21"/>
        </w:rPr>
        <w:t xml:space="preserve">Promedio real actual: ~36 minutos en EE.UU. (2023); rango confiable en horas no pico de 30-45 minutos.</w:t>
      </w:r>
    </w:p>
    <w:p>
      <w:pPr>
        <w:pStyle w:val="ListParagraph"/>
        <w:numPr>
          <w:ilvl w:val="0"/>
          <w:numId w:val="1"/>
        </w:numPr>
        <w:spacing w:after="60"/>
      </w:pPr>
      <w:r>
        <w:rPr>
          <w:sz w:val="21"/>
          <w:szCs w:val="21"/>
        </w:rPr>
        <w:t xml:space="preserve">Recomendación para dark kitchens: Deliverect indica un radio ideal de ~3 millas (4.8 km).</w:t>
      </w:r>
    </w:p>
    <w:p>
      <w:pPr>
        <w:pStyle w:val="ListParagraph"/>
        <w:numPr>
          <w:ilvl w:val="0"/>
          <w:numId w:val="1"/>
        </w:numPr>
        <w:spacing w:after="60"/>
      </w:pPr>
      <w:r>
        <w:rPr>
          <w:sz w:val="21"/>
          <w:szCs w:val="21"/>
        </w:rPr>
        <w:t xml:space="preserve">Calidad vs. velocidad: la calidad/temperatura pesa más que la velocidad pura, pero eso presupone un tiempo de tránsito acotado — cada minuto extra degrada la textura de una masa NY.</w:t>
      </w:r>
    </w:p>
    <w:p>
      <w:pPr>
        <w:spacing w:after="120"/>
      </w:pPr>
      <w:r>
        <w:rPr>
          <w:sz w:val="21"/>
          <w:szCs w:val="21"/>
        </w:rPr>
        <w:t xml:space="preserve">Conclusión: núcleo de reparto de 3 km (cubre Lomas de Atizapán, Las Alamedas, Calacoaya y colonias contiguas con ≤30 min) y tope máximo de 5 km solo para pedidos programados o de bajo tráfico.</w:t>
      </w:r>
    </w:p>
    <w:p>
      <w:pPr>
        <w:pStyle w:val="Heading2"/>
        <w:spacing w:after="100" w:before="200"/>
      </w:pPr>
      <w:r>
        <w:rPr>
          <w:b/>
          <w:bCs/>
          <w:color w:val="C1502E"/>
          <w:sz w:val="24"/>
          <w:szCs w:val="24"/>
        </w:rPr>
        <w:t xml:space="preserve">4.6 Recomendaciones</w:t>
      </w:r>
    </w:p>
    <w:p>
      <w:pPr>
        <w:spacing w:after="60"/>
      </w:pPr>
      <w:r>
        <w:rPr>
          <w:b/>
          <w:bCs/>
          <w:sz w:val="21"/>
          <w:szCs w:val="21"/>
        </w:rPr>
        <w:t xml:space="preserve">Fase 1 — Lanzamiento: radio de 3 km</w:t>
      </w:r>
    </w:p>
    <w:p>
      <w:pPr>
        <w:pStyle w:val="ListParagraph"/>
        <w:numPr>
          <w:ilvl w:val="0"/>
          <w:numId w:val="1"/>
        </w:numPr>
        <w:spacing w:after="60"/>
      </w:pPr>
      <w:r>
        <w:rPr>
          <w:sz w:val="21"/>
          <w:szCs w:val="21"/>
        </w:rPr>
        <w:t xml:space="preserve">Umbral de éxito: ≥80% de entregas en ≤30 min y ≥90% en ≤35 min (ya integrado en los Criterios de Éxito del Soft Opening).</w:t>
      </w:r>
    </w:p>
    <w:p>
      <w:pPr>
        <w:pStyle w:val="ListParagraph"/>
        <w:numPr>
          <w:ilvl w:val="0"/>
          <w:numId w:val="1"/>
        </w:numPr>
        <w:spacing w:after="60"/>
      </w:pPr>
      <w:r>
        <w:rPr>
          <w:sz w:val="21"/>
          <w:szCs w:val="21"/>
        </w:rPr>
        <w:t xml:space="preserve">Empaque anti-humedad obligatorio — ataca la queja documentada contra Artigiano (orillas quemadas/pizza reblandecida a domicilio).</w:t>
      </w:r>
    </w:p>
    <w:p>
      <w:pPr>
        <w:pStyle w:val="ListParagraph"/>
        <w:numPr>
          <w:ilvl w:val="0"/>
          <w:numId w:val="1"/>
        </w:numPr>
        <w:spacing w:after="60"/>
      </w:pPr>
      <w:r>
        <w:rPr>
          <w:sz w:val="21"/>
          <w:szCs w:val="21"/>
        </w:rPr>
        <w:t xml:space="preserve">Construir marca en Instagram/TikTok con el ángulo diferenciador claro: masa NY con fermentación fría 48h.</w:t>
      </w:r>
    </w:p>
    <w:p>
      <w:pPr>
        <w:spacing w:after="60"/>
      </w:pPr>
      <w:r>
        <w:rPr>
          <w:b/>
          <w:bCs/>
          <w:sz w:val="21"/>
          <w:szCs w:val="21"/>
        </w:rPr>
        <w:t xml:space="preserve">Fase 2 — Expansión condicionada</w:t>
      </w:r>
    </w:p>
    <w:p>
      <w:pPr>
        <w:pStyle w:val="ListParagraph"/>
        <w:numPr>
          <w:ilvl w:val="0"/>
          <w:numId w:val="1"/>
        </w:numPr>
        <w:spacing w:after="60"/>
      </w:pPr>
      <w:r>
        <w:rPr>
          <w:sz w:val="21"/>
          <w:szCs w:val="21"/>
        </w:rPr>
        <w:t xml:space="preserve">Ampliar a 5 km solo si el tiempo mediano de entrega en el núcleo se mantiene ≤30 min.</w:t>
      </w:r>
    </w:p>
    <w:p>
      <w:pPr>
        <w:pStyle w:val="ListParagraph"/>
        <w:numPr>
          <w:ilvl w:val="0"/>
          <w:numId w:val="1"/>
        </w:numPr>
        <w:spacing w:after="60"/>
      </w:pPr>
      <w:r>
        <w:rPr>
          <w:sz w:val="21"/>
          <w:szCs w:val="21"/>
        </w:rPr>
        <w:t xml:space="preserve">Si &gt;20% de entregas superan los 35 min → reducir radio o reforzar logística antes de crecer.</w:t>
      </w:r>
    </w:p>
    <w:p>
      <w:pPr>
        <w:pStyle w:val="ListParagraph"/>
        <w:numPr>
          <w:ilvl w:val="0"/>
          <w:numId w:val="1"/>
        </w:numPr>
        <w:spacing w:after="60"/>
      </w:pPr>
      <w:r>
        <w:rPr>
          <w:sz w:val="21"/>
          <w:szCs w:val="21"/>
        </w:rPr>
        <w:t xml:space="preserve">Si un competidor artesanal lanza un sub-brand delivery-first de masa delgada → acelerar diferenciación con menú NY exclusivo.</w:t>
      </w:r>
    </w:p>
    <w:p>
      <w:pPr>
        <w:pStyle w:val="Heading2"/>
        <w:spacing w:after="100" w:before="200"/>
      </w:pPr>
      <w:r>
        <w:rPr>
          <w:b/>
          <w:bCs/>
          <w:color w:val="C1502E"/>
          <w:sz w:val="24"/>
          <w:szCs w:val="24"/>
        </w:rPr>
        <w:t xml:space="preserve">4.7 Caveats del Análisis</w:t>
      </w:r>
    </w:p>
    <w:p>
      <w:pPr>
        <w:pStyle w:val="ListParagraph"/>
        <w:numPr>
          <w:ilvl w:val="0"/>
          <w:numId w:val="1"/>
        </w:numPr>
        <w:spacing w:after="60"/>
      </w:pPr>
      <w:r>
        <w:rPr>
          <w:sz w:val="21"/>
          <w:szCs w:val="21"/>
        </w:rPr>
        <w:t xml:space="preserve">Ratings de Google obtenidos de portales que replican la nota (Restaurant Guru, Gastroranking, Tripadvisor) — pueden variar ±0.1-0.3.</w:t>
      </w:r>
    </w:p>
    <w:p>
      <w:pPr>
        <w:pStyle w:val="ListParagraph"/>
        <w:numPr>
          <w:ilvl w:val="0"/>
          <w:numId w:val="1"/>
        </w:numPr>
        <w:spacing w:after="60"/>
      </w:pPr>
      <w:r>
        <w:rPr>
          <w:sz w:val="21"/>
          <w:szCs w:val="21"/>
        </w:rPr>
        <w:t xml:space="preserve">Seguidores de Instagram: varios conteos exactos no pudieron confirmarse por bloqueo de acceso automatizado de la plataforma.</w:t>
      </w:r>
    </w:p>
    <w:p>
      <w:pPr>
        <w:pStyle w:val="ListParagraph"/>
        <w:numPr>
          <w:ilvl w:val="0"/>
          <w:numId w:val="1"/>
        </w:numPr>
        <w:spacing w:after="60"/>
      </w:pPr>
      <w:r>
        <w:rPr>
          <w:sz w:val="21"/>
          <w:szCs w:val="21"/>
        </w:rPr>
        <w:t xml:space="preserve">Homónimos descartados explícitamente: "El Shaddai/Shadday" de Brasil/Veracruz, "La Trattoria" de España/Nápoles/Guanajuato.</w:t>
      </w:r>
    </w:p>
    <w:p>
      <w:pPr>
        <w:pStyle w:val="ListParagraph"/>
        <w:numPr>
          <w:ilvl w:val="0"/>
          <w:numId w:val="1"/>
        </w:numPr>
        <w:spacing w:after="60"/>
      </w:pPr>
      <w:r>
        <w:rPr>
          <w:sz w:val="21"/>
          <w:szCs w:val="21"/>
        </w:rPr>
        <w:t xml:space="preserve">Benchmarks de tiempo de entrega provienen de datos de EE.UU. y guías globales — el tráfico y topografía de Atizapán pueden requerir más prudencia con el tope de 5 km.</w:t>
      </w:r>
    </w:p>
    <w:p>
      <w:r>
        <w:br w:type="page"/>
      </w:r>
    </w:p>
    <w:p>
      <w:pPr>
        <w:pStyle w:val="Heading1"/>
        <w:spacing w:after="150" w:before="300"/>
      </w:pPr>
      <w:r>
        <w:rPr>
          <w:b/>
          <w:bCs/>
          <w:color w:val="1A1A1A"/>
          <w:sz w:val="28"/>
          <w:szCs w:val="28"/>
        </w:rPr>
        <w:t xml:space="preserve">5. Estrategia de Marketing y Modelo de Ventas</w:t>
      </w:r>
    </w:p>
    <w:p>
      <w:pPr>
        <w:spacing w:after="120"/>
      </w:pPr>
      <w:r>
        <w:rPr>
          <w:i/>
          <w:iCs/>
          <w:color w:val="666666"/>
          <w:sz w:val="18"/>
          <w:szCs w:val="18"/>
        </w:rPr>
        <w:t xml:space="preserve">Reemplaza la estrategia original ("Caballo de Troya" con apps desde el día 1).</w:t>
      </w:r>
    </w:p>
    <w:p>
      <w:pPr>
        <w:pStyle w:val="Heading2"/>
        <w:spacing w:after="100" w:before="200"/>
      </w:pPr>
      <w:r>
        <w:rPr>
          <w:b/>
          <w:bCs/>
          <w:color w:val="C1502E"/>
          <w:sz w:val="24"/>
          <w:szCs w:val="24"/>
        </w:rPr>
        <w:t xml:space="preserve">5.1 Canales de Venta (Fase 1 — Lanzamiento)</w:t>
      </w:r>
    </w:p>
    <w:p>
      <w:pPr>
        <w:pStyle w:val="ListParagraph"/>
        <w:numPr>
          <w:ilvl w:val="0"/>
          <w:numId w:val="1"/>
        </w:numPr>
        <w:spacing w:after="60"/>
      </w:pPr>
      <w:r>
        <w:rPr>
          <w:sz w:val="21"/>
          <w:szCs w:val="21"/>
        </w:rPr>
        <w:t xml:space="preserve">Canal Directo — WhatsApp Business con menú digital automatizado (OlaClick/Ateb), sin comisión de plataforma.</w:t>
      </w:r>
    </w:p>
    <w:p>
      <w:pPr>
        <w:pStyle w:val="ListParagraph"/>
        <w:numPr>
          <w:ilvl w:val="0"/>
          <w:numId w:val="1"/>
        </w:numPr>
        <w:spacing w:after="60"/>
      </w:pPr>
      <w:r>
        <w:rPr>
          <w:sz w:val="21"/>
          <w:szCs w:val="21"/>
        </w:rPr>
        <w:t xml:space="preserve">Sitio Web Propio — vitrina y pedidos en línea.</w:t>
      </w:r>
    </w:p>
    <w:p>
      <w:pPr>
        <w:pStyle w:val="ListParagraph"/>
        <w:numPr>
          <w:ilvl w:val="0"/>
          <w:numId w:val="1"/>
        </w:numPr>
        <w:spacing w:after="60"/>
      </w:pPr>
      <w:r>
        <w:rPr>
          <w:sz w:val="21"/>
          <w:szCs w:val="21"/>
        </w:rPr>
        <w:t xml:space="preserve">App Propia — pedidos recurrentes para clientes frecuentes de la zona.</w:t>
      </w:r>
    </w:p>
    <w:p>
      <w:pPr>
        <w:pStyle w:val="ListParagraph"/>
        <w:numPr>
          <w:ilvl w:val="0"/>
          <w:numId w:val="1"/>
        </w:numPr>
        <w:spacing w:after="60"/>
      </w:pPr>
      <w:r>
        <w:rPr>
          <w:sz w:val="21"/>
          <w:szCs w:val="21"/>
        </w:rPr>
        <w:t xml:space="preserve">Catering — nuevo canal de fin de semana, horno móvil Gozney XL, cobro por persona.</w:t>
      </w:r>
    </w:p>
    <w:p>
      <w:pPr>
        <w:pStyle w:val="Heading2"/>
        <w:spacing w:after="100" w:before="200"/>
      </w:pPr>
      <w:r>
        <w:rPr>
          <w:b/>
          <w:bCs/>
          <w:color w:val="C1502E"/>
          <w:sz w:val="24"/>
          <w:szCs w:val="24"/>
        </w:rPr>
        <w:t xml:space="preserve">5.2 Logística de Entrega</w:t>
      </w:r>
    </w:p>
    <w:p>
      <w:pPr>
        <w:spacing w:after="120"/>
      </w:pPr>
      <w:r>
        <w:rPr>
          <w:sz w:val="21"/>
          <w:szCs w:val="21"/>
        </w:rPr>
        <w:t xml:space="preserve">Flotillas locales ("mandaditos") pagadas por viaje ($35-45 MXN), dentro del radio de reparto de 3-5 km.</w:t>
      </w:r>
    </w:p>
    <w:p>
      <w:pPr>
        <w:pStyle w:val="Heading2"/>
        <w:spacing w:after="100" w:before="200"/>
      </w:pPr>
      <w:r>
        <w:rPr>
          <w:b/>
          <w:bCs/>
          <w:color w:val="C1502E"/>
          <w:sz w:val="24"/>
          <w:szCs w:val="24"/>
        </w:rPr>
        <w:t xml:space="preserve">5.3 Marketing de Lanzamiento</w:t>
      </w:r>
    </w:p>
    <w:p>
      <w:pPr>
        <w:pStyle w:val="ListParagraph"/>
        <w:numPr>
          <w:ilvl w:val="0"/>
          <w:numId w:val="1"/>
        </w:numPr>
        <w:spacing w:after="60"/>
      </w:pPr>
      <w:r>
        <w:rPr>
          <w:sz w:val="21"/>
          <w:szCs w:val="21"/>
        </w:rPr>
        <w:t xml:space="preserve">Campañas de marketing local geolocalizadas en la zona de reparto.</w:t>
      </w:r>
    </w:p>
    <w:p>
      <w:pPr>
        <w:pStyle w:val="ListParagraph"/>
        <w:numPr>
          <w:ilvl w:val="0"/>
          <w:numId w:val="1"/>
        </w:numPr>
        <w:spacing w:after="60"/>
      </w:pPr>
      <w:r>
        <w:rPr>
          <w:sz w:val="21"/>
          <w:szCs w:val="21"/>
        </w:rPr>
        <w:t xml:space="preserve">Fotografía profesional de producto para todos los canales.</w:t>
      </w:r>
    </w:p>
    <w:p>
      <w:pPr>
        <w:pStyle w:val="ListParagraph"/>
        <w:numPr>
          <w:ilvl w:val="0"/>
          <w:numId w:val="1"/>
        </w:numPr>
        <w:spacing w:after="60"/>
      </w:pPr>
      <w:r>
        <w:rPr>
          <w:sz w:val="21"/>
          <w:szCs w:val="21"/>
        </w:rPr>
        <w:t xml:space="preserve">Ángulo diferenciador: masa NY con fermentación fría 48h — argumento que ningún competidor local usa.</w:t>
      </w:r>
    </w:p>
    <w:p>
      <w:pPr>
        <w:pStyle w:val="ListParagraph"/>
        <w:numPr>
          <w:ilvl w:val="0"/>
          <w:numId w:val="1"/>
        </w:numPr>
        <w:spacing w:after="60"/>
      </w:pPr>
      <w:r>
        <w:rPr>
          <w:sz w:val="21"/>
          <w:szCs w:val="21"/>
        </w:rPr>
        <w:t xml:space="preserve">El Catering funciona también como canal de adquisición indirecta de alto impacto.</w:t>
      </w:r>
    </w:p>
    <w:p>
      <w:pPr>
        <w:pStyle w:val="Heading2"/>
        <w:spacing w:after="100" w:before="200"/>
      </w:pPr>
      <w:r>
        <w:rPr>
          <w:b/>
          <w:bCs/>
          <w:color w:val="C1502E"/>
          <w:sz w:val="24"/>
          <w:szCs w:val="24"/>
        </w:rPr>
        <w:t xml:space="preserve">5.4 Fase 2 — Apps de Terceros (Condicionada)</w:t>
      </w:r>
    </w:p>
    <w:p>
      <w:pPr>
        <w:spacing w:after="120"/>
      </w:pPr>
      <w:r>
        <w:rPr>
          <w:sz w:val="21"/>
          <w:szCs w:val="21"/>
        </w:rPr>
        <w:t xml:space="preserve">Activar UberEats, Rappi o DiDi Food deja de ser automático. Se evalúa solo tras alcanzar de forma sostenida el volumen objetivo de 14 pedidos/día por canal directo, y validar que el margen de contribución (50.3%) justifique absorber la comisión de hasta 30%.</w:t>
      </w:r>
    </w:p>
    <w:p>
      <w:r>
        <w:br w:type="page"/>
      </w:r>
    </w:p>
    <w:p>
      <w:pPr>
        <w:pStyle w:val="Heading1"/>
        <w:spacing w:after="150" w:before="300"/>
      </w:pPr>
      <w:r>
        <w:rPr>
          <w:b/>
          <w:bCs/>
          <w:color w:val="1A1A1A"/>
          <w:sz w:val="28"/>
          <w:szCs w:val="28"/>
        </w:rPr>
        <w:t xml:space="preserve">6. Plan de Operaciones y Cadena de Suministro</w:t>
      </w:r>
    </w:p>
    <w:p>
      <w:pPr>
        <w:pStyle w:val="Heading2"/>
        <w:spacing w:after="100" w:before="200"/>
      </w:pPr>
      <w:r>
        <w:rPr>
          <w:b/>
          <w:bCs/>
          <w:color w:val="C1502E"/>
          <w:sz w:val="24"/>
          <w:szCs w:val="24"/>
        </w:rPr>
        <w:t xml:space="preserve">6.1 El Reto Operativo Central</w:t>
      </w:r>
    </w:p>
    <w:p>
      <w:pPr>
        <w:spacing w:after="120"/>
      </w:pPr>
      <w:r>
        <w:rPr>
          <w:sz w:val="21"/>
          <w:szCs w:val="21"/>
        </w:rPr>
        <w:t xml:space="preserve">La masa tiene un lead time de 48 horas en fermentación fría. La planeación de producción debe anticiparse dos días completos. El Catering exige 4 días mínimos de anticipación.</w:t>
      </w:r>
    </w:p>
    <w:p>
      <w:pPr>
        <w:pStyle w:val="Heading2"/>
        <w:spacing w:after="100" w:before="200"/>
      </w:pPr>
      <w:r>
        <w:rPr>
          <w:b/>
          <w:bCs/>
          <w:color w:val="C1502E"/>
          <w:sz w:val="24"/>
          <w:szCs w:val="24"/>
        </w:rPr>
        <w:t xml:space="preserve">6.2 Un Solo Horno, Dos Canales</w:t>
      </w:r>
    </w:p>
    <w:p>
      <w:pPr>
        <w:spacing w:after="120"/>
      </w:pPr>
      <w:r>
        <w:rPr>
          <w:sz w:val="21"/>
          <w:szCs w:val="21"/>
        </w:rPr>
        <w:t xml:space="preserve">El horno Gozney XL sirve tanto a delivery como a Catering. Reglas operativas: el día de un evento de catering se cierra la dark kitchen por completo; máximo 1 evento de catering por día (límite físico); el horno es un punto único de falla que requiere seguro y plan de respaldo.</w:t>
      </w:r>
    </w:p>
    <w:p>
      <w:pPr>
        <w:pStyle w:val="Heading2"/>
        <w:spacing w:after="100" w:before="200"/>
      </w:pPr>
      <w:r>
        <w:rPr>
          <w:b/>
          <w:bCs/>
          <w:color w:val="C1502E"/>
          <w:sz w:val="24"/>
          <w:szCs w:val="24"/>
        </w:rPr>
        <w:t xml:space="preserve">6.3 Modelo de Capacidad y Producción de Masa</w:t>
      </w:r>
    </w:p>
    <w:p>
      <w:pPr>
        <w:pStyle w:val="ListParagraph"/>
        <w:numPr>
          <w:ilvl w:val="0"/>
          <w:numId w:val="1"/>
        </w:numPr>
        <w:spacing w:after="60"/>
      </w:pPr>
      <w:r>
        <w:rPr>
          <w:sz w:val="21"/>
          <w:szCs w:val="21"/>
        </w:rPr>
        <w:t xml:space="preserve">Refrigeración: se necesita el doble de capacidad para masa "en proceso" comparado con un ciclo de 24h (partida a cotizar en CAPEX).</w:t>
      </w:r>
    </w:p>
    <w:p>
      <w:pPr>
        <w:pStyle w:val="ListParagraph"/>
        <w:numPr>
          <w:ilvl w:val="0"/>
          <w:numId w:val="1"/>
        </w:numPr>
        <w:spacing w:after="60"/>
      </w:pPr>
      <w:r>
        <w:rPr>
          <w:sz w:val="21"/>
          <w:szCs w:val="21"/>
        </w:rPr>
        <w:t xml:space="preserve">Masa Base y Salsa de Tomate son recetas fijas compartidas — costeadas en el BOM del modelo financiero.</w:t>
      </w:r>
    </w:p>
    <w:p>
      <w:pPr>
        <w:pStyle w:val="ListParagraph"/>
        <w:numPr>
          <w:ilvl w:val="0"/>
          <w:numId w:val="1"/>
        </w:numPr>
        <w:spacing w:after="60"/>
      </w:pPr>
      <w:r>
        <w:rPr>
          <w:sz w:val="21"/>
          <w:szCs w:val="21"/>
        </w:rPr>
        <w:t xml:space="preserve">Jitomate: insumo de mayor riesgo de variación de costo — monitorear precio SNIIM/CNE antes de cada ciclo de producción.</w:t>
      </w:r>
    </w:p>
    <w:p>
      <w:pPr>
        <w:pStyle w:val="Heading2"/>
        <w:spacing w:after="100" w:before="200"/>
      </w:pPr>
      <w:r>
        <w:rPr>
          <w:b/>
          <w:bCs/>
          <w:color w:val="C1502E"/>
          <w:sz w:val="24"/>
          <w:szCs w:val="24"/>
        </w:rPr>
        <w:t xml:space="preserve">6.4 Empaque</w:t>
      </w:r>
    </w:p>
    <w:p>
      <w:pPr>
        <w:spacing w:after="120"/>
      </w:pPr>
      <w:r>
        <w:rPr>
          <w:sz w:val="21"/>
          <w:szCs w:val="21"/>
        </w:rPr>
        <w:t xml:space="preserve">Caja de cartón corrugado Kraft con orificios de ventilación e inserts, branding Mextizza aplicado (costo real incluido en el BOM, ~$8-9.5 MXN por pizza).</w:t>
      </w:r>
    </w:p>
    <w:p>
      <w:pPr>
        <w:pStyle w:val="Heading2"/>
        <w:spacing w:after="100" w:before="200"/>
      </w:pPr>
      <w:r>
        <w:rPr>
          <w:b/>
          <w:bCs/>
          <w:color w:val="C1502E"/>
          <w:sz w:val="24"/>
          <w:szCs w:val="24"/>
        </w:rPr>
        <w:t xml:space="preserve">6.5 Infraestructura Tecnológica</w:t>
      </w:r>
    </w:p>
    <w:p>
      <w:pPr>
        <w:pStyle w:val="ListParagraph"/>
        <w:numPr>
          <w:ilvl w:val="0"/>
          <w:numId w:val="1"/>
        </w:numPr>
        <w:spacing w:after="60"/>
      </w:pPr>
      <w:r>
        <w:rPr>
          <w:sz w:val="21"/>
          <w:szCs w:val="21"/>
        </w:rPr>
        <w:t xml:space="preserve">POS/KDS integrando los canales directos en una sola pantalla.</w:t>
      </w:r>
    </w:p>
    <w:p>
      <w:pPr>
        <w:pStyle w:val="ListParagraph"/>
        <w:numPr>
          <w:ilvl w:val="0"/>
          <w:numId w:val="1"/>
        </w:numPr>
        <w:spacing w:after="60"/>
      </w:pPr>
      <w:r>
        <w:rPr>
          <w:sz w:val="21"/>
          <w:szCs w:val="21"/>
        </w:rPr>
        <w:t xml:space="preserve">Monitor KDS para medir tiempos de horneado/ensamblaje (objetivo ≤10 min/pizza).</w:t>
      </w:r>
    </w:p>
    <w:p>
      <w:pPr>
        <w:pStyle w:val="ListParagraph"/>
        <w:numPr>
          <w:ilvl w:val="0"/>
          <w:numId w:val="1"/>
        </w:numPr>
        <w:spacing w:after="60"/>
      </w:pPr>
      <w:r>
        <w:rPr>
          <w:sz w:val="21"/>
          <w:szCs w:val="21"/>
        </w:rPr>
        <w:t xml:space="preserve">Gestión de inventario EOD, cruzando ventas reales contra el BOM para detectar mermas.</w:t>
      </w:r>
    </w:p>
    <w:p>
      <w:pPr>
        <w:pStyle w:val="Heading2"/>
        <w:spacing w:after="100" w:before="200"/>
      </w:pPr>
      <w:r>
        <w:rPr>
          <w:b/>
          <w:bCs/>
          <w:color w:val="C1502E"/>
          <w:sz w:val="24"/>
          <w:szCs w:val="24"/>
        </w:rPr>
        <w:t xml:space="preserve">6.6 Protocolo Operativo del Catering</w:t>
      </w:r>
    </w:p>
    <w:p>
      <w:pPr>
        <w:pStyle w:val="ListParagraph"/>
        <w:numPr>
          <w:ilvl w:val="0"/>
          <w:numId w:val="1"/>
        </w:numPr>
        <w:spacing w:after="60"/>
      </w:pPr>
      <w:r>
        <w:rPr>
          <w:sz w:val="21"/>
          <w:szCs w:val="21"/>
        </w:rPr>
        <w:t xml:space="preserve">Checklist de transporte y montaje del Gozney XL (objetivo ≤30-40 min).</w:t>
      </w:r>
    </w:p>
    <w:p>
      <w:pPr>
        <w:pStyle w:val="ListParagraph"/>
        <w:numPr>
          <w:ilvl w:val="0"/>
          <w:numId w:val="1"/>
        </w:numPr>
        <w:spacing w:after="60"/>
      </w:pPr>
      <w:r>
        <w:rPr>
          <w:sz w:val="21"/>
          <w:szCs w:val="21"/>
        </w:rPr>
        <w:t xml:space="preserve">Ricardo cocina personalmente cada evento — punto único de falla sin respaldo capacitado todavía (ver Sección 10, Riesgos).</w:t>
      </w:r>
    </w:p>
    <w:p>
      <w:pPr>
        <w:pStyle w:val="ListParagraph"/>
        <w:numPr>
          <w:ilvl w:val="0"/>
          <w:numId w:val="1"/>
        </w:numPr>
        <w:spacing w:after="60"/>
      </w:pPr>
      <w:r>
        <w:rPr>
          <w:sz w:val="21"/>
          <w:szCs w:val="21"/>
        </w:rPr>
        <w:t xml:space="preserve">Menú de catering: cliente elige de todo el menú + ensalada César o Spring Mix.</w:t>
      </w:r>
    </w:p>
    <w:p>
      <w:r>
        <w:br w:type="page"/>
      </w:r>
    </w:p>
    <w:p>
      <w:pPr>
        <w:pStyle w:val="Heading1"/>
        <w:spacing w:after="150" w:before="300"/>
      </w:pPr>
      <w:r>
        <w:rPr>
          <w:b/>
          <w:bCs/>
          <w:color w:val="1A1A1A"/>
          <w:sz w:val="28"/>
          <w:szCs w:val="28"/>
        </w:rPr>
        <w:t xml:space="preserve">7. Servicio de Catering</w:t>
      </w:r>
    </w:p>
    <w:p>
      <w:pPr>
        <w:spacing w:after="120"/>
      </w:pPr>
      <w:r>
        <w:rPr>
          <w:sz w:val="21"/>
          <w:szCs w:val="21"/>
        </w:rPr>
        <w:t xml:space="preserve">Canal nuevo, activo los fines de semana. Formato de horno en vivo (Gozney XL), no entrega — justifica un precio superior al de delivery estándar.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500"/>
        <w:gridCol w:w="4300"/>
      </w:tblGrid>
      <w:tr>
        <w:trPr>
          <w:tblHeader/>
        </w:trPr>
        <w:tc>
          <w:tcPr>
            <w:tcW w:type="dxa" w:w="4500"/>
            <w:shd w:fill="1A1A1A" w:val="clear"/>
            <w:tcMar>
              <w:top w:type="dxa" w:w="60"/>
              <w:left w:type="dxa" w:w="100"/>
              <w:bottom w:type="dxa" w:w="60"/>
              <w:right w:type="dxa" w:w="100"/>
            </w:tcMar>
          </w:tcPr>
          <w:p>
            <w:pPr>
              <w:jc w:val="center"/>
            </w:pPr>
            <w:r>
              <w:rPr>
                <w:b/>
                <w:bCs/>
                <w:color w:val="FFFFFF"/>
                <w:sz w:val="19"/>
                <w:szCs w:val="19"/>
              </w:rPr>
              <w:t xml:space="preserve">Parámetro</w:t>
            </w:r>
          </w:p>
        </w:tc>
        <w:tc>
          <w:tcPr>
            <w:tcW w:type="dxa" w:w="4300"/>
            <w:shd w:fill="1A1A1A" w:val="clear"/>
            <w:tcMar>
              <w:top w:type="dxa" w:w="60"/>
              <w:left w:type="dxa" w:w="100"/>
              <w:bottom w:type="dxa" w:w="60"/>
              <w:right w:type="dxa" w:w="100"/>
            </w:tcMar>
          </w:tcPr>
          <w:p>
            <w:pPr>
              <w:jc w:val="center"/>
            </w:pPr>
            <w:r>
              <w:rPr>
                <w:b/>
                <w:bCs/>
                <w:color w:val="FFFFFF"/>
                <w:sz w:val="19"/>
                <w:szCs w:val="19"/>
              </w:rPr>
              <w:t xml:space="preserve">Valor</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Precio por persona</w:t>
            </w:r>
          </w:p>
        </w:tc>
        <w:tc>
          <w:tcPr>
            <w:tcW w:type="dxa" w:w="4300"/>
            <w:tcMar>
              <w:top w:type="dxa" w:w="60"/>
              <w:left w:type="dxa" w:w="100"/>
              <w:bottom w:type="dxa" w:w="60"/>
              <w:right w:type="dxa" w:w="100"/>
            </w:tcMar>
          </w:tcPr>
          <w:p>
            <w:pPr>
              <w:jc w:val="center"/>
            </w:pPr>
            <w:r>
              <w:rPr>
                <w:b w:val="false"/>
                <w:bCs w:val="false"/>
                <w:color w:val="000000"/>
                <w:sz w:val="19"/>
                <w:szCs w:val="19"/>
              </w:rPr>
              <w:t xml:space="preserve">$235 MXN</w:t>
            </w:r>
          </w:p>
        </w:tc>
      </w:tr>
      <w:tr>
        <w:tc>
          <w:tcPr>
            <w:tcW w:type="dxa" w:w="4500"/>
            <w:shd w:fill="F5F0E8" w:val="clear"/>
            <w:tcMar>
              <w:top w:type="dxa" w:w="60"/>
              <w:left w:type="dxa" w:w="100"/>
              <w:bottom w:type="dxa" w:w="60"/>
              <w:right w:type="dxa" w:w="100"/>
            </w:tcMar>
          </w:tcPr>
          <w:p>
            <w:pPr>
              <w:jc w:val="left"/>
            </w:pPr>
            <w:r>
              <w:rPr>
                <w:b w:val="false"/>
                <w:bCs w:val="false"/>
                <w:color w:val="000000"/>
                <w:sz w:val="19"/>
                <w:szCs w:val="19"/>
              </w:rPr>
              <w:t xml:space="preserve">Mínimo de personas</w:t>
            </w:r>
          </w:p>
        </w:tc>
        <w:tc>
          <w:tcPr>
            <w:tcW w:type="dxa" w:w="4300"/>
            <w:shd w:fill="F5F0E8" w:val="clear"/>
            <w:tcMar>
              <w:top w:type="dxa" w:w="60"/>
              <w:left w:type="dxa" w:w="100"/>
              <w:bottom w:type="dxa" w:w="60"/>
              <w:right w:type="dxa" w:w="100"/>
            </w:tcMar>
          </w:tcPr>
          <w:p>
            <w:pPr>
              <w:jc w:val="center"/>
            </w:pPr>
            <w:r>
              <w:rPr>
                <w:b w:val="false"/>
                <w:bCs w:val="false"/>
                <w:color w:val="000000"/>
                <w:sz w:val="19"/>
                <w:szCs w:val="19"/>
              </w:rPr>
              <w:t xml:space="preserve">20</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Máximo de personas (1 horno)</w:t>
            </w:r>
          </w:p>
        </w:tc>
        <w:tc>
          <w:tcPr>
            <w:tcW w:type="dxa" w:w="4300"/>
            <w:tcMar>
              <w:top w:type="dxa" w:w="60"/>
              <w:left w:type="dxa" w:w="100"/>
              <w:bottom w:type="dxa" w:w="60"/>
              <w:right w:type="dxa" w:w="100"/>
            </w:tcMar>
          </w:tcPr>
          <w:p>
            <w:pPr>
              <w:jc w:val="center"/>
            </w:pPr>
            <w:r>
              <w:rPr>
                <w:b w:val="false"/>
                <w:bCs w:val="false"/>
                <w:color w:val="000000"/>
                <w:sz w:val="19"/>
                <w:szCs w:val="19"/>
              </w:rPr>
              <w:t xml:space="preserve">30</w:t>
            </w:r>
          </w:p>
        </w:tc>
      </w:tr>
      <w:tr>
        <w:tc>
          <w:tcPr>
            <w:tcW w:type="dxa" w:w="4500"/>
            <w:shd w:fill="F5F0E8" w:val="clear"/>
            <w:tcMar>
              <w:top w:type="dxa" w:w="60"/>
              <w:left w:type="dxa" w:w="100"/>
              <w:bottom w:type="dxa" w:w="60"/>
              <w:right w:type="dxa" w:w="100"/>
            </w:tcMar>
          </w:tcPr>
          <w:p>
            <w:pPr>
              <w:jc w:val="left"/>
            </w:pPr>
            <w:r>
              <w:rPr>
                <w:b w:val="false"/>
                <w:bCs w:val="false"/>
                <w:color w:val="000000"/>
                <w:sz w:val="19"/>
                <w:szCs w:val="19"/>
              </w:rPr>
              <w:t xml:space="preserve">Anticipo requerido</w:t>
            </w:r>
          </w:p>
        </w:tc>
        <w:tc>
          <w:tcPr>
            <w:tcW w:type="dxa" w:w="4300"/>
            <w:shd w:fill="F5F0E8" w:val="clear"/>
            <w:tcMar>
              <w:top w:type="dxa" w:w="60"/>
              <w:left w:type="dxa" w:w="100"/>
              <w:bottom w:type="dxa" w:w="60"/>
              <w:right w:type="dxa" w:w="100"/>
            </w:tcMar>
          </w:tcPr>
          <w:p>
            <w:pPr>
              <w:jc w:val="center"/>
            </w:pPr>
            <w:r>
              <w:rPr>
                <w:b w:val="false"/>
                <w:bCs w:val="false"/>
                <w:color w:val="000000"/>
                <w:sz w:val="19"/>
                <w:szCs w:val="19"/>
              </w:rPr>
              <w:t xml:space="preserve">30%</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Anticipación mínima</w:t>
            </w:r>
          </w:p>
        </w:tc>
        <w:tc>
          <w:tcPr>
            <w:tcW w:type="dxa" w:w="4300"/>
            <w:tcMar>
              <w:top w:type="dxa" w:w="60"/>
              <w:left w:type="dxa" w:w="100"/>
              <w:bottom w:type="dxa" w:w="60"/>
              <w:right w:type="dxa" w:w="100"/>
            </w:tcMar>
          </w:tcPr>
          <w:p>
            <w:pPr>
              <w:jc w:val="center"/>
            </w:pPr>
            <w:r>
              <w:rPr>
                <w:b w:val="false"/>
                <w:bCs w:val="false"/>
                <w:color w:val="000000"/>
                <w:sz w:val="19"/>
                <w:szCs w:val="19"/>
              </w:rPr>
              <w:t xml:space="preserve">4 días</w:t>
            </w:r>
          </w:p>
        </w:tc>
      </w:tr>
      <w:tr>
        <w:tc>
          <w:tcPr>
            <w:tcW w:type="dxa" w:w="4500"/>
            <w:shd w:fill="F5F0E8" w:val="clear"/>
            <w:tcMar>
              <w:top w:type="dxa" w:w="60"/>
              <w:left w:type="dxa" w:w="100"/>
              <w:bottom w:type="dxa" w:w="60"/>
              <w:right w:type="dxa" w:w="100"/>
            </w:tcMar>
          </w:tcPr>
          <w:p>
            <w:pPr>
              <w:jc w:val="left"/>
            </w:pPr>
            <w:r>
              <w:rPr>
                <w:b w:val="false"/>
                <w:bCs w:val="false"/>
                <w:color w:val="000000"/>
                <w:sz w:val="19"/>
                <w:szCs w:val="19"/>
              </w:rPr>
              <w:t xml:space="preserve">Food cost del catering</w:t>
            </w:r>
          </w:p>
        </w:tc>
        <w:tc>
          <w:tcPr>
            <w:tcW w:type="dxa" w:w="4300"/>
            <w:shd w:fill="F5F0E8" w:val="clear"/>
            <w:tcMar>
              <w:top w:type="dxa" w:w="60"/>
              <w:left w:type="dxa" w:w="100"/>
              <w:bottom w:type="dxa" w:w="60"/>
              <w:right w:type="dxa" w:w="100"/>
            </w:tcMar>
          </w:tcPr>
          <w:p>
            <w:pPr>
              <w:jc w:val="center"/>
            </w:pPr>
            <w:r>
              <w:rPr>
                <w:b w:val="false"/>
                <w:bCs w:val="false"/>
                <w:color w:val="000000"/>
                <w:sz w:val="19"/>
                <w:szCs w:val="19"/>
              </w:rPr>
              <w:t xml:space="preserve">23.8%</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Margen mensual estimado (4 eventos, 22 personas prom.)</w:t>
            </w:r>
          </w:p>
        </w:tc>
        <w:tc>
          <w:tcPr>
            <w:tcW w:type="dxa" w:w="4300"/>
            <w:tcMar>
              <w:top w:type="dxa" w:w="60"/>
              <w:left w:type="dxa" w:w="100"/>
              <w:bottom w:type="dxa" w:w="60"/>
              <w:right w:type="dxa" w:w="100"/>
            </w:tcMar>
          </w:tcPr>
          <w:p>
            <w:pPr>
              <w:jc w:val="center"/>
            </w:pPr>
            <w:r>
              <w:rPr>
                <w:b w:val="false"/>
                <w:bCs w:val="false"/>
                <w:color w:val="000000"/>
                <w:sz w:val="19"/>
                <w:szCs w:val="19"/>
              </w:rPr>
              <w:t xml:space="preserve">+$14,166 MXN</w:t>
            </w:r>
          </w:p>
        </w:tc>
      </w:tr>
    </w:tbl>
    <w:p>
      <w:pPr>
        <w:spacing w:after="120"/>
      </w:pPr>
      <w:r>
        <w:rPr>
          <w:i/>
          <w:iCs/>
          <w:color w:val="666666"/>
          <w:sz w:val="18"/>
          <w:szCs w:val="18"/>
        </w:rPr>
        <w:t xml:space="preserve">El precio y el mínimo de personas se calibraron para que el margen del evento supere siempre el margen de un día normal de delivery (el día se cierra por completo para el evento). Detalle completo de fórmulas en el modelo financiero (hoja Catering).</w:t>
      </w:r>
    </w:p>
    <w:p>
      <w:r>
        <w:br w:type="page"/>
      </w:r>
    </w:p>
    <w:p>
      <w:pPr>
        <w:pStyle w:val="Heading1"/>
        <w:spacing w:after="150" w:before="300"/>
      </w:pPr>
      <w:r>
        <w:rPr>
          <w:b/>
          <w:bCs/>
          <w:color w:val="1A1A1A"/>
          <w:sz w:val="28"/>
          <w:szCs w:val="28"/>
        </w:rPr>
        <w:t xml:space="preserve">8. Plan Financiero (Resumen)</w:t>
      </w:r>
    </w:p>
    <w:p>
      <w:pPr>
        <w:pStyle w:val="Heading2"/>
        <w:spacing w:after="100" w:before="200"/>
      </w:pPr>
      <w:r>
        <w:rPr>
          <w:b/>
          <w:bCs/>
          <w:color w:val="C1502E"/>
          <w:sz w:val="24"/>
          <w:szCs w:val="24"/>
        </w:rPr>
        <w:t xml:space="preserve">8.1 Metodología de Precio</w:t>
      </w:r>
    </w:p>
    <w:p>
      <w:pPr>
        <w:spacing w:after="120"/>
      </w:pPr>
      <w:r>
        <w:rPr>
          <w:sz w:val="21"/>
          <w:szCs w:val="21"/>
        </w:rPr>
        <w:t xml:space="preserve">Los precios se fijan con base en el mercado local, no como margen sobre costo. El costo de insumos (BOM) se usa como verificador de que el food cost resultante sea saludable.</w:t>
      </w:r>
    </w:p>
    <w:p>
      <w:pPr>
        <w:pStyle w:val="Heading2"/>
        <w:spacing w:after="100" w:before="200"/>
      </w:pPr>
      <w:r>
        <w:rPr>
          <w:b/>
          <w:bCs/>
          <w:color w:val="C1502E"/>
          <w:sz w:val="24"/>
          <w:szCs w:val="24"/>
        </w:rPr>
        <w:t xml:space="preserve">8.2 Cifras Clave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500"/>
        <w:gridCol w:w="4300"/>
      </w:tblGrid>
      <w:tr>
        <w:trPr>
          <w:tblHeader/>
        </w:trPr>
        <w:tc>
          <w:tcPr>
            <w:tcW w:type="dxa" w:w="4500"/>
            <w:shd w:fill="1A1A1A" w:val="clear"/>
            <w:tcMar>
              <w:top w:type="dxa" w:w="60"/>
              <w:left w:type="dxa" w:w="100"/>
              <w:bottom w:type="dxa" w:w="60"/>
              <w:right w:type="dxa" w:w="100"/>
            </w:tcMar>
          </w:tcPr>
          <w:p>
            <w:pPr>
              <w:jc w:val="center"/>
            </w:pPr>
            <w:r>
              <w:rPr>
                <w:b/>
                <w:bCs/>
                <w:color w:val="FFFFFF"/>
                <w:sz w:val="19"/>
                <w:szCs w:val="19"/>
              </w:rPr>
              <w:t xml:space="preserve">Métrica</w:t>
            </w:r>
          </w:p>
        </w:tc>
        <w:tc>
          <w:tcPr>
            <w:tcW w:type="dxa" w:w="4300"/>
            <w:shd w:fill="1A1A1A" w:val="clear"/>
            <w:tcMar>
              <w:top w:type="dxa" w:w="60"/>
              <w:left w:type="dxa" w:w="100"/>
              <w:bottom w:type="dxa" w:w="60"/>
              <w:right w:type="dxa" w:w="100"/>
            </w:tcMar>
          </w:tcPr>
          <w:p>
            <w:pPr>
              <w:jc w:val="center"/>
            </w:pPr>
            <w:r>
              <w:rPr>
                <w:b/>
                <w:bCs/>
                <w:color w:val="FFFFFF"/>
                <w:sz w:val="19"/>
                <w:szCs w:val="19"/>
              </w:rPr>
              <w:t xml:space="preserve">Valor</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Ticket promedio por orden</w:t>
            </w:r>
          </w:p>
        </w:tc>
        <w:tc>
          <w:tcPr>
            <w:tcW w:type="dxa" w:w="4300"/>
            <w:tcMar>
              <w:top w:type="dxa" w:w="60"/>
              <w:left w:type="dxa" w:w="100"/>
              <w:bottom w:type="dxa" w:w="60"/>
              <w:right w:type="dxa" w:w="100"/>
            </w:tcMar>
          </w:tcPr>
          <w:p>
            <w:pPr>
              <w:jc w:val="center"/>
            </w:pPr>
            <w:r>
              <w:rPr>
                <w:b w:val="false"/>
                <w:bCs w:val="false"/>
                <w:color w:val="000000"/>
                <w:sz w:val="19"/>
                <w:szCs w:val="19"/>
              </w:rPr>
              <w:t xml:space="preserve">$335 MXN</w:t>
            </w:r>
          </w:p>
        </w:tc>
      </w:tr>
      <w:tr>
        <w:tc>
          <w:tcPr>
            <w:tcW w:type="dxa" w:w="4500"/>
            <w:shd w:fill="F5F0E8" w:val="clear"/>
            <w:tcMar>
              <w:top w:type="dxa" w:w="60"/>
              <w:left w:type="dxa" w:w="100"/>
              <w:bottom w:type="dxa" w:w="60"/>
              <w:right w:type="dxa" w:w="100"/>
            </w:tcMar>
          </w:tcPr>
          <w:p>
            <w:pPr>
              <w:jc w:val="left"/>
            </w:pPr>
            <w:r>
              <w:rPr>
                <w:b w:val="false"/>
                <w:bCs w:val="false"/>
                <w:color w:val="000000"/>
                <w:sz w:val="19"/>
                <w:szCs w:val="19"/>
              </w:rPr>
              <w:t xml:space="preserve">Food cost (delivery)</w:t>
            </w:r>
          </w:p>
        </w:tc>
        <w:tc>
          <w:tcPr>
            <w:tcW w:type="dxa" w:w="4300"/>
            <w:shd w:fill="F5F0E8" w:val="clear"/>
            <w:tcMar>
              <w:top w:type="dxa" w:w="60"/>
              <w:left w:type="dxa" w:w="100"/>
              <w:bottom w:type="dxa" w:w="60"/>
              <w:right w:type="dxa" w:w="100"/>
            </w:tcMar>
          </w:tcPr>
          <w:p>
            <w:pPr>
              <w:jc w:val="center"/>
            </w:pPr>
            <w:r>
              <w:rPr>
                <w:b w:val="false"/>
                <w:bCs w:val="false"/>
                <w:color w:val="000000"/>
                <w:sz w:val="19"/>
                <w:szCs w:val="19"/>
              </w:rPr>
              <w:t xml:space="preserve">28.9%</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Margen de contribución por orden</w:t>
            </w:r>
          </w:p>
        </w:tc>
        <w:tc>
          <w:tcPr>
            <w:tcW w:type="dxa" w:w="4300"/>
            <w:tcMar>
              <w:top w:type="dxa" w:w="60"/>
              <w:left w:type="dxa" w:w="100"/>
              <w:bottom w:type="dxa" w:w="60"/>
              <w:right w:type="dxa" w:w="100"/>
            </w:tcMar>
          </w:tcPr>
          <w:p>
            <w:pPr>
              <w:jc w:val="center"/>
            </w:pPr>
            <w:r>
              <w:rPr>
                <w:b w:val="false"/>
                <w:bCs w:val="false"/>
                <w:color w:val="000000"/>
                <w:sz w:val="19"/>
                <w:szCs w:val="19"/>
              </w:rPr>
              <w:t xml:space="preserve">50.3%</w:t>
            </w:r>
          </w:p>
        </w:tc>
      </w:tr>
      <w:tr>
        <w:tc>
          <w:tcPr>
            <w:tcW w:type="dxa" w:w="4500"/>
            <w:shd w:fill="F5F0E8" w:val="clear"/>
            <w:tcMar>
              <w:top w:type="dxa" w:w="60"/>
              <w:left w:type="dxa" w:w="100"/>
              <w:bottom w:type="dxa" w:w="60"/>
              <w:right w:type="dxa" w:w="100"/>
            </w:tcMar>
          </w:tcPr>
          <w:p>
            <w:pPr>
              <w:jc w:val="left"/>
            </w:pPr>
            <w:r>
              <w:rPr>
                <w:b w:val="false"/>
                <w:bCs w:val="false"/>
                <w:color w:val="000000"/>
                <w:sz w:val="19"/>
                <w:szCs w:val="19"/>
              </w:rPr>
              <w:t xml:space="preserve">Inversión inicial total (CAPEX)</w:t>
            </w:r>
          </w:p>
        </w:tc>
        <w:tc>
          <w:tcPr>
            <w:tcW w:type="dxa" w:w="4300"/>
            <w:shd w:fill="F5F0E8" w:val="clear"/>
            <w:tcMar>
              <w:top w:type="dxa" w:w="60"/>
              <w:left w:type="dxa" w:w="100"/>
              <w:bottom w:type="dxa" w:w="60"/>
              <w:right w:type="dxa" w:w="100"/>
            </w:tcMar>
          </w:tcPr>
          <w:p>
            <w:pPr>
              <w:jc w:val="center"/>
            </w:pPr>
            <w:r>
              <w:rPr>
                <w:b w:val="false"/>
                <w:bCs w:val="false"/>
                <w:color w:val="000000"/>
                <w:sz w:val="19"/>
                <w:szCs w:val="19"/>
              </w:rPr>
              <w:t xml:space="preserve">$49,832 MXN</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Punto de equilibrio</w:t>
            </w:r>
          </w:p>
        </w:tc>
        <w:tc>
          <w:tcPr>
            <w:tcW w:type="dxa" w:w="4300"/>
            <w:tcMar>
              <w:top w:type="dxa" w:w="60"/>
              <w:left w:type="dxa" w:w="100"/>
              <w:bottom w:type="dxa" w:w="60"/>
              <w:right w:type="dxa" w:w="100"/>
            </w:tcMar>
          </w:tcPr>
          <w:p>
            <w:pPr>
              <w:jc w:val="center"/>
            </w:pPr>
            <w:r>
              <w:rPr>
                <w:b w:val="false"/>
                <w:bCs w:val="false"/>
                <w:color w:val="000000"/>
                <w:sz w:val="19"/>
                <w:szCs w:val="19"/>
              </w:rPr>
              <w:t xml:space="preserve">~0.55 pedidos/día</w:t>
            </w:r>
          </w:p>
        </w:tc>
      </w:tr>
      <w:tr>
        <w:tc>
          <w:tcPr>
            <w:tcW w:type="dxa" w:w="4500"/>
            <w:shd w:fill="F5F0E8" w:val="clear"/>
            <w:tcMar>
              <w:top w:type="dxa" w:w="60"/>
              <w:left w:type="dxa" w:w="100"/>
              <w:bottom w:type="dxa" w:w="60"/>
              <w:right w:type="dxa" w:w="100"/>
            </w:tcMar>
          </w:tcPr>
          <w:p>
            <w:pPr>
              <w:jc w:val="left"/>
            </w:pPr>
            <w:r>
              <w:rPr>
                <w:b w:val="false"/>
                <w:bCs w:val="false"/>
                <w:color w:val="000000"/>
                <w:sz w:val="19"/>
                <w:szCs w:val="19"/>
              </w:rPr>
              <w:t xml:space="preserve">Recuperación de inversión (payback)</w:t>
            </w:r>
          </w:p>
        </w:tc>
        <w:tc>
          <w:tcPr>
            <w:tcW w:type="dxa" w:w="4300"/>
            <w:shd w:fill="F5F0E8" w:val="clear"/>
            <w:tcMar>
              <w:top w:type="dxa" w:w="60"/>
              <w:left w:type="dxa" w:w="100"/>
              <w:bottom w:type="dxa" w:w="60"/>
              <w:right w:type="dxa" w:w="100"/>
            </w:tcMar>
          </w:tcPr>
          <w:p>
            <w:pPr>
              <w:jc w:val="center"/>
            </w:pPr>
            <w:r>
              <w:rPr>
                <w:b w:val="false"/>
                <w:bCs w:val="false"/>
                <w:color w:val="000000"/>
                <w:sz w:val="19"/>
                <w:szCs w:val="19"/>
              </w:rPr>
              <w:t xml:space="preserve">~0.85 meses</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Flujo acumulado proyectado a 12 meses</w:t>
            </w:r>
          </w:p>
        </w:tc>
        <w:tc>
          <w:tcPr>
            <w:tcW w:type="dxa" w:w="4300"/>
            <w:tcMar>
              <w:top w:type="dxa" w:w="60"/>
              <w:left w:type="dxa" w:w="100"/>
              <w:bottom w:type="dxa" w:w="60"/>
              <w:right w:type="dxa" w:w="100"/>
            </w:tcMar>
          </w:tcPr>
          <w:p>
            <w:pPr>
              <w:jc w:val="center"/>
            </w:pPr>
            <w:r>
              <w:rPr>
                <w:b w:val="false"/>
                <w:bCs w:val="false"/>
                <w:color w:val="000000"/>
                <w:sz w:val="19"/>
                <w:szCs w:val="19"/>
              </w:rPr>
              <w:t xml:space="preserve">+$564,125 MXN</w:t>
            </w:r>
          </w:p>
        </w:tc>
      </w:tr>
    </w:tbl>
    <w:p>
      <w:pPr>
        <w:spacing w:after="120"/>
      </w:pPr>
      <w:r>
        <w:rPr>
          <w:i/>
          <w:iCs/>
          <w:color w:val="666666"/>
          <w:sz w:val="18"/>
          <w:szCs w:val="18"/>
        </w:rPr>
        <w:t xml:space="preserve">Modelo financiero completo (BOM ingrediente por ingrediente, CAPEX, OPEX, precios de menú, punto de equilibrio, flujo de caja a 12 meses, y catering) disponible como archivo Excel interactivo separado.</w:t>
      </w:r>
    </w:p>
    <w:p>
      <w:r>
        <w:br w:type="page"/>
      </w:r>
    </w:p>
    <w:p>
      <w:pPr>
        <w:pStyle w:val="Heading1"/>
        <w:spacing w:after="150" w:before="300"/>
      </w:pPr>
      <w:r>
        <w:rPr>
          <w:b/>
          <w:bCs/>
          <w:color w:val="1A1A1A"/>
          <w:sz w:val="28"/>
          <w:szCs w:val="28"/>
        </w:rPr>
        <w:t xml:space="preserve">9. Análisis de Riesgos</w:t>
      </w:r>
    </w:p>
    <w:p>
      <w:pPr>
        <w:pStyle w:val="Heading2"/>
        <w:spacing w:after="100" w:before="200"/>
      </w:pPr>
      <w:r>
        <w:rPr>
          <w:b/>
          <w:bCs/>
          <w:color w:val="C1502E"/>
          <w:sz w:val="24"/>
          <w:szCs w:val="24"/>
        </w:rPr>
        <w:t xml:space="preserve">9.1 Riesgos Operativos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200"/>
      </w:tblGrid>
      <w:tr>
        <w:trPr>
          <w:tblHeader/>
        </w:trPr>
        <w:tc>
          <w:tcPr>
            <w:tcW w:type="dxa" w:w="3000"/>
            <w:shd w:fill="1A1A1A" w:val="clear"/>
            <w:tcMar>
              <w:top w:type="dxa" w:w="60"/>
              <w:left w:type="dxa" w:w="100"/>
              <w:bottom w:type="dxa" w:w="60"/>
              <w:right w:type="dxa" w:w="100"/>
            </w:tcMar>
          </w:tcPr>
          <w:p>
            <w:pPr>
              <w:jc w:val="center"/>
            </w:pPr>
            <w:r>
              <w:rPr>
                <w:b/>
                <w:bCs/>
                <w:color w:val="FFFFFF"/>
                <w:sz w:val="19"/>
                <w:szCs w:val="19"/>
              </w:rPr>
              <w:t xml:space="preserve">Riesgo</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Prob.</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Impacto</w:t>
            </w:r>
          </w:p>
        </w:tc>
        <w:tc>
          <w:tcPr>
            <w:tcW w:type="dxa" w:w="3200"/>
            <w:shd w:fill="1A1A1A" w:val="clear"/>
            <w:tcMar>
              <w:top w:type="dxa" w:w="60"/>
              <w:left w:type="dxa" w:w="100"/>
              <w:bottom w:type="dxa" w:w="60"/>
              <w:right w:type="dxa" w:w="100"/>
            </w:tcMar>
          </w:tcPr>
          <w:p>
            <w:pPr>
              <w:jc w:val="center"/>
            </w:pPr>
            <w:r>
              <w:rPr>
                <w:b/>
                <w:bCs/>
                <w:color w:val="FFFFFF"/>
                <w:sz w:val="19"/>
                <w:szCs w:val="19"/>
              </w:rPr>
              <w:t xml:space="preserve">Mitigación</w:t>
            </w:r>
          </w:p>
        </w:tc>
      </w:tr>
      <w:tr>
        <w:tc>
          <w:tcPr>
            <w:tcW w:type="dxa" w:w="3000"/>
            <w:tcMar>
              <w:top w:type="dxa" w:w="60"/>
              <w:left w:type="dxa" w:w="100"/>
              <w:bottom w:type="dxa" w:w="60"/>
              <w:right w:type="dxa" w:w="100"/>
            </w:tcMar>
          </w:tcPr>
          <w:p>
            <w:pPr>
              <w:jc w:val="left"/>
            </w:pPr>
            <w:r>
              <w:rPr>
                <w:b w:val="false"/>
                <w:bCs w:val="false"/>
                <w:color w:val="000000"/>
                <w:sz w:val="19"/>
                <w:szCs w:val="19"/>
              </w:rPr>
              <w:t xml:space="preserve">Ricardo como punto único de falla (cocina cada evento de catering)</w:t>
            </w:r>
          </w:p>
        </w:tc>
        <w:tc>
          <w:tcPr>
            <w:tcW w:type="dxa" w:w="1300"/>
            <w:tcMar>
              <w:top w:type="dxa" w:w="60"/>
              <w:left w:type="dxa" w:w="100"/>
              <w:bottom w:type="dxa" w:w="60"/>
              <w:right w:type="dxa" w:w="100"/>
            </w:tcMar>
          </w:tcPr>
          <w:p>
            <w:pPr>
              <w:jc w:val="center"/>
            </w:pPr>
            <w:r>
              <w:rPr>
                <w:b w:val="false"/>
                <w:bCs w:val="false"/>
                <w:color w:val="000000"/>
                <w:sz w:val="19"/>
                <w:szCs w:val="19"/>
              </w:rPr>
              <w:t xml:space="preserve">Media-Alta</w:t>
            </w:r>
          </w:p>
        </w:tc>
        <w:tc>
          <w:tcPr>
            <w:tcW w:type="dxa" w:w="1300"/>
            <w:tcMar>
              <w:top w:type="dxa" w:w="60"/>
              <w:left w:type="dxa" w:w="100"/>
              <w:bottom w:type="dxa" w:w="60"/>
              <w:right w:type="dxa" w:w="100"/>
            </w:tcMar>
          </w:tcPr>
          <w:p>
            <w:pPr>
              <w:jc w:val="center"/>
            </w:pPr>
            <w:r>
              <w:rPr>
                <w:b w:val="false"/>
                <w:bCs w:val="false"/>
                <w:color w:val="000000"/>
                <w:sz w:val="19"/>
                <w:szCs w:val="19"/>
              </w:rPr>
              <w:t xml:space="preserve">Alto</w:t>
            </w:r>
          </w:p>
        </w:tc>
        <w:tc>
          <w:tcPr>
            <w:tcW w:type="dxa" w:w="3200"/>
            <w:tcMar>
              <w:top w:type="dxa" w:w="60"/>
              <w:left w:type="dxa" w:w="100"/>
              <w:bottom w:type="dxa" w:w="60"/>
              <w:right w:type="dxa" w:w="100"/>
            </w:tcMar>
          </w:tcPr>
          <w:p>
            <w:pPr>
              <w:jc w:val="center"/>
            </w:pPr>
            <w:r>
              <w:rPr>
                <w:b w:val="false"/>
                <w:bCs w:val="false"/>
                <w:color w:val="000000"/>
                <w:sz w:val="19"/>
                <w:szCs w:val="19"/>
              </w:rPr>
              <w:t xml:space="preserve">Capacitar un segundo cocinero de respaldo antes de escalar catering</w:t>
            </w:r>
          </w:p>
        </w:tc>
      </w:tr>
      <w:tr>
        <w:tc>
          <w:tcPr>
            <w:tcW w:type="dxa" w:w="3000"/>
            <w:shd w:fill="F5F0E8" w:val="clear"/>
            <w:tcMar>
              <w:top w:type="dxa" w:w="60"/>
              <w:left w:type="dxa" w:w="100"/>
              <w:bottom w:type="dxa" w:w="60"/>
              <w:right w:type="dxa" w:w="100"/>
            </w:tcMar>
          </w:tcPr>
          <w:p>
            <w:pPr>
              <w:jc w:val="left"/>
            </w:pPr>
            <w:r>
              <w:rPr>
                <w:b w:val="false"/>
                <w:bCs w:val="false"/>
                <w:color w:val="000000"/>
                <w:sz w:val="19"/>
                <w:szCs w:val="19"/>
              </w:rPr>
              <w:t xml:space="preserve">Horno Gozney XL como activo único (delivery + catering)</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Baja-Media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Muy Alto</w:t>
            </w:r>
          </w:p>
        </w:tc>
        <w:tc>
          <w:tcPr>
            <w:tcW w:type="dxa" w:w="3200"/>
            <w:shd w:fill="F5F0E8" w:val="clear"/>
            <w:tcMar>
              <w:top w:type="dxa" w:w="60"/>
              <w:left w:type="dxa" w:w="100"/>
              <w:bottom w:type="dxa" w:w="60"/>
              <w:right w:type="dxa" w:w="100"/>
            </w:tcMar>
          </w:tcPr>
          <w:p>
            <w:pPr>
              <w:jc w:val="center"/>
            </w:pPr>
            <w:r>
              <w:rPr>
                <w:b w:val="false"/>
                <w:bCs w:val="false"/>
                <w:color w:val="000000"/>
                <w:sz w:val="19"/>
                <w:szCs w:val="19"/>
              </w:rPr>
              <w:t xml:space="preserve">Seguro de equipo, mantenimiento preventivo, identificar horno de respaldo en renta</w:t>
            </w:r>
          </w:p>
        </w:tc>
      </w:tr>
      <w:tr>
        <w:tc>
          <w:tcPr>
            <w:tcW w:type="dxa" w:w="3000"/>
            <w:tcMar>
              <w:top w:type="dxa" w:w="60"/>
              <w:left w:type="dxa" w:w="100"/>
              <w:bottom w:type="dxa" w:w="60"/>
              <w:right w:type="dxa" w:w="100"/>
            </w:tcMar>
          </w:tcPr>
          <w:p>
            <w:pPr>
              <w:jc w:val="left"/>
            </w:pPr>
            <w:r>
              <w:rPr>
                <w:b w:val="false"/>
                <w:bCs w:val="false"/>
                <w:color w:val="000000"/>
                <w:sz w:val="19"/>
                <w:szCs w:val="19"/>
              </w:rPr>
              <w:t xml:space="preserve">Masa reblandecida en trayectos largos</w:t>
            </w:r>
          </w:p>
        </w:tc>
        <w:tc>
          <w:tcPr>
            <w:tcW w:type="dxa" w:w="1300"/>
            <w:tcMar>
              <w:top w:type="dxa" w:w="60"/>
              <w:left w:type="dxa" w:w="100"/>
              <w:bottom w:type="dxa" w:w="60"/>
              <w:right w:type="dxa" w:w="100"/>
            </w:tcMar>
          </w:tcPr>
          <w:p>
            <w:pPr>
              <w:jc w:val="center"/>
            </w:pPr>
            <w:r>
              <w:rPr>
                <w:b w:val="false"/>
                <w:bCs w:val="false"/>
                <w:color w:val="000000"/>
                <w:sz w:val="19"/>
                <w:szCs w:val="19"/>
              </w:rPr>
              <w:t xml:space="preserve">Media</w:t>
            </w:r>
          </w:p>
        </w:tc>
        <w:tc>
          <w:tcPr>
            <w:tcW w:type="dxa" w:w="1300"/>
            <w:tcMar>
              <w:top w:type="dxa" w:w="60"/>
              <w:left w:type="dxa" w:w="100"/>
              <w:bottom w:type="dxa" w:w="60"/>
              <w:right w:type="dxa" w:w="100"/>
            </w:tcMar>
          </w:tcPr>
          <w:p>
            <w:pPr>
              <w:jc w:val="center"/>
            </w:pPr>
            <w:r>
              <w:rPr>
                <w:b w:val="false"/>
                <w:bCs w:val="false"/>
                <w:color w:val="000000"/>
                <w:sz w:val="19"/>
                <w:szCs w:val="19"/>
              </w:rPr>
              <w:t xml:space="preserve">Medio</w:t>
            </w:r>
          </w:p>
        </w:tc>
        <w:tc>
          <w:tcPr>
            <w:tcW w:type="dxa" w:w="3200"/>
            <w:tcMar>
              <w:top w:type="dxa" w:w="60"/>
              <w:left w:type="dxa" w:w="100"/>
              <w:bottom w:type="dxa" w:w="60"/>
              <w:right w:type="dxa" w:w="100"/>
            </w:tcMar>
          </w:tcPr>
          <w:p>
            <w:pPr>
              <w:jc w:val="center"/>
            </w:pPr>
            <w:r>
              <w:rPr>
                <w:b w:val="false"/>
                <w:bCs w:val="false"/>
                <w:color w:val="000000"/>
                <w:sz w:val="19"/>
                <w:szCs w:val="19"/>
              </w:rPr>
              <w:t xml:space="preserve">Validar con stress test antes del lanzamiento (Fase 3)</w:t>
            </w:r>
          </w:p>
        </w:tc>
      </w:tr>
    </w:tbl>
    <w:p>
      <w:pPr>
        <w:pStyle w:val="Heading2"/>
        <w:spacing w:after="100" w:before="200"/>
      </w:pPr>
      <w:r>
        <w:rPr>
          <w:b/>
          <w:bCs/>
          <w:color w:val="C1502E"/>
          <w:sz w:val="24"/>
          <w:szCs w:val="24"/>
        </w:rPr>
        <w:t xml:space="preserve">9.2 Riesgos de Cadena de Suministro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200"/>
      </w:tblGrid>
      <w:tr>
        <w:trPr>
          <w:tblHeader/>
        </w:trPr>
        <w:tc>
          <w:tcPr>
            <w:tcW w:type="dxa" w:w="3000"/>
            <w:shd w:fill="1A1A1A" w:val="clear"/>
            <w:tcMar>
              <w:top w:type="dxa" w:w="60"/>
              <w:left w:type="dxa" w:w="100"/>
              <w:bottom w:type="dxa" w:w="60"/>
              <w:right w:type="dxa" w:w="100"/>
            </w:tcMar>
          </w:tcPr>
          <w:p>
            <w:pPr>
              <w:jc w:val="center"/>
            </w:pPr>
            <w:r>
              <w:rPr>
                <w:b/>
                <w:bCs/>
                <w:color w:val="FFFFFF"/>
                <w:sz w:val="19"/>
                <w:szCs w:val="19"/>
              </w:rPr>
              <w:t xml:space="preserve">Riesgo</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Prob.</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Impacto</w:t>
            </w:r>
          </w:p>
        </w:tc>
        <w:tc>
          <w:tcPr>
            <w:tcW w:type="dxa" w:w="3200"/>
            <w:shd w:fill="1A1A1A" w:val="clear"/>
            <w:tcMar>
              <w:top w:type="dxa" w:w="60"/>
              <w:left w:type="dxa" w:w="100"/>
              <w:bottom w:type="dxa" w:w="60"/>
              <w:right w:type="dxa" w:w="100"/>
            </w:tcMar>
          </w:tcPr>
          <w:p>
            <w:pPr>
              <w:jc w:val="center"/>
            </w:pPr>
            <w:r>
              <w:rPr>
                <w:b/>
                <w:bCs/>
                <w:color w:val="FFFFFF"/>
                <w:sz w:val="19"/>
                <w:szCs w:val="19"/>
              </w:rPr>
              <w:t xml:space="preserve">Mitigación</w:t>
            </w:r>
          </w:p>
        </w:tc>
      </w:tr>
      <w:tr>
        <w:tc>
          <w:tcPr>
            <w:tcW w:type="dxa" w:w="3000"/>
            <w:tcMar>
              <w:top w:type="dxa" w:w="60"/>
              <w:left w:type="dxa" w:w="100"/>
              <w:bottom w:type="dxa" w:w="60"/>
              <w:right w:type="dxa" w:w="100"/>
            </w:tcMar>
          </w:tcPr>
          <w:p>
            <w:pPr>
              <w:jc w:val="left"/>
            </w:pPr>
            <w:r>
              <w:rPr>
                <w:b w:val="false"/>
                <w:bCs w:val="false"/>
                <w:color w:val="000000"/>
                <w:sz w:val="19"/>
                <w:szCs w:val="19"/>
              </w:rPr>
              <w:t xml:space="preserve">Volatilidad del precio del jitomate ($11-80/kg en 2026)</w:t>
            </w:r>
          </w:p>
        </w:tc>
        <w:tc>
          <w:tcPr>
            <w:tcW w:type="dxa" w:w="1300"/>
            <w:tcMar>
              <w:top w:type="dxa" w:w="60"/>
              <w:left w:type="dxa" w:w="100"/>
              <w:bottom w:type="dxa" w:w="60"/>
              <w:right w:type="dxa" w:w="100"/>
            </w:tcMar>
          </w:tcPr>
          <w:p>
            <w:pPr>
              <w:jc w:val="center"/>
            </w:pPr>
            <w:r>
              <w:rPr>
                <w:b w:val="false"/>
                <w:bCs w:val="false"/>
                <w:color w:val="000000"/>
                <w:sz w:val="19"/>
                <w:szCs w:val="19"/>
              </w:rPr>
              <w:t xml:space="preserve">Alta</w:t>
            </w:r>
          </w:p>
        </w:tc>
        <w:tc>
          <w:tcPr>
            <w:tcW w:type="dxa" w:w="1300"/>
            <w:tcMar>
              <w:top w:type="dxa" w:w="60"/>
              <w:left w:type="dxa" w:w="100"/>
              <w:bottom w:type="dxa" w:w="60"/>
              <w:right w:type="dxa" w:w="100"/>
            </w:tcMar>
          </w:tcPr>
          <w:p>
            <w:pPr>
              <w:jc w:val="center"/>
            </w:pPr>
            <w:r>
              <w:rPr>
                <w:b w:val="false"/>
                <w:bCs w:val="false"/>
                <w:color w:val="000000"/>
                <w:sz w:val="19"/>
                <w:szCs w:val="19"/>
              </w:rPr>
              <w:t xml:space="preserve">Medio-Alto</w:t>
            </w:r>
          </w:p>
        </w:tc>
        <w:tc>
          <w:tcPr>
            <w:tcW w:type="dxa" w:w="3200"/>
            <w:tcMar>
              <w:top w:type="dxa" w:w="60"/>
              <w:left w:type="dxa" w:w="100"/>
              <w:bottom w:type="dxa" w:w="60"/>
              <w:right w:type="dxa" w:w="100"/>
            </w:tcMar>
          </w:tcPr>
          <w:p>
            <w:pPr>
              <w:jc w:val="center"/>
            </w:pPr>
            <w:r>
              <w:rPr>
                <w:b w:val="false"/>
                <w:bCs w:val="false"/>
                <w:color w:val="000000"/>
                <w:sz w:val="19"/>
                <w:szCs w:val="19"/>
              </w:rPr>
              <w:t xml:space="preserve">Contrato de precio con proveedor, monitoreo semanal SNIIM/CNE</w:t>
            </w:r>
          </w:p>
        </w:tc>
      </w:tr>
      <w:tr>
        <w:tc>
          <w:tcPr>
            <w:tcW w:type="dxa" w:w="3000"/>
            <w:shd w:fill="F5F0E8" w:val="clear"/>
            <w:tcMar>
              <w:top w:type="dxa" w:w="60"/>
              <w:left w:type="dxa" w:w="100"/>
              <w:bottom w:type="dxa" w:w="60"/>
              <w:right w:type="dxa" w:w="100"/>
            </w:tcMar>
          </w:tcPr>
          <w:p>
            <w:pPr>
              <w:jc w:val="left"/>
            </w:pPr>
            <w:r>
              <w:rPr>
                <w:b w:val="false"/>
                <w:bCs w:val="false"/>
                <w:color w:val="000000"/>
                <w:sz w:val="19"/>
                <w:szCs w:val="19"/>
              </w:rPr>
              <w:t xml:space="preserve">Sin proveedores reales cotizados todavía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Alta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Medio</w:t>
            </w:r>
          </w:p>
        </w:tc>
        <w:tc>
          <w:tcPr>
            <w:tcW w:type="dxa" w:w="3200"/>
            <w:shd w:fill="F5F0E8" w:val="clear"/>
            <w:tcMar>
              <w:top w:type="dxa" w:w="60"/>
              <w:left w:type="dxa" w:w="100"/>
              <w:bottom w:type="dxa" w:w="60"/>
              <w:right w:type="dxa" w:w="100"/>
            </w:tcMar>
          </w:tcPr>
          <w:p>
            <w:pPr>
              <w:jc w:val="center"/>
            </w:pPr>
            <w:r>
              <w:rPr>
                <w:b w:val="false"/>
                <w:bCs w:val="false"/>
                <w:color w:val="000000"/>
                <w:sz w:val="19"/>
                <w:szCs w:val="19"/>
              </w:rPr>
              <w:t xml:space="preserve">Cotizar con 2-3 proveedores por insumo antes del lanzamiento</w:t>
            </w:r>
          </w:p>
        </w:tc>
      </w:tr>
    </w:tbl>
    <w:p>
      <w:pPr>
        <w:pStyle w:val="Heading2"/>
        <w:spacing w:after="100" w:before="200"/>
      </w:pPr>
      <w:r>
        <w:rPr>
          <w:b/>
          <w:bCs/>
          <w:color w:val="C1502E"/>
          <w:sz w:val="24"/>
          <w:szCs w:val="24"/>
        </w:rPr>
        <w:t xml:space="preserve">9.3 Riesgos Financieros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200"/>
      </w:tblGrid>
      <w:tr>
        <w:trPr>
          <w:tblHeader/>
        </w:trPr>
        <w:tc>
          <w:tcPr>
            <w:tcW w:type="dxa" w:w="3000"/>
            <w:shd w:fill="1A1A1A" w:val="clear"/>
            <w:tcMar>
              <w:top w:type="dxa" w:w="60"/>
              <w:left w:type="dxa" w:w="100"/>
              <w:bottom w:type="dxa" w:w="60"/>
              <w:right w:type="dxa" w:w="100"/>
            </w:tcMar>
          </w:tcPr>
          <w:p>
            <w:pPr>
              <w:jc w:val="center"/>
            </w:pPr>
            <w:r>
              <w:rPr>
                <w:b/>
                <w:bCs/>
                <w:color w:val="FFFFFF"/>
                <w:sz w:val="19"/>
                <w:szCs w:val="19"/>
              </w:rPr>
              <w:t xml:space="preserve">Riesgo</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Prob.</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Impacto</w:t>
            </w:r>
          </w:p>
        </w:tc>
        <w:tc>
          <w:tcPr>
            <w:tcW w:type="dxa" w:w="3200"/>
            <w:shd w:fill="1A1A1A" w:val="clear"/>
            <w:tcMar>
              <w:top w:type="dxa" w:w="60"/>
              <w:left w:type="dxa" w:w="100"/>
              <w:bottom w:type="dxa" w:w="60"/>
              <w:right w:type="dxa" w:w="100"/>
            </w:tcMar>
          </w:tcPr>
          <w:p>
            <w:pPr>
              <w:jc w:val="center"/>
            </w:pPr>
            <w:r>
              <w:rPr>
                <w:b/>
                <w:bCs/>
                <w:color w:val="FFFFFF"/>
                <w:sz w:val="19"/>
                <w:szCs w:val="19"/>
              </w:rPr>
              <w:t xml:space="preserve">Mitigación</w:t>
            </w:r>
          </w:p>
        </w:tc>
      </w:tr>
      <w:tr>
        <w:tc>
          <w:tcPr>
            <w:tcW w:type="dxa" w:w="3000"/>
            <w:tcMar>
              <w:top w:type="dxa" w:w="60"/>
              <w:left w:type="dxa" w:w="100"/>
              <w:bottom w:type="dxa" w:w="60"/>
              <w:right w:type="dxa" w:w="100"/>
            </w:tcMar>
          </w:tcPr>
          <w:p>
            <w:pPr>
              <w:jc w:val="left"/>
            </w:pPr>
            <w:r>
              <w:rPr>
                <w:b w:val="false"/>
                <w:bCs w:val="false"/>
                <w:color w:val="000000"/>
                <w:sz w:val="19"/>
                <w:szCs w:val="19"/>
              </w:rPr>
              <w:t xml:space="preserve">Supuestos de OPEX en $0 (sueldos, marketing) no sostenibles</w:t>
            </w:r>
          </w:p>
        </w:tc>
        <w:tc>
          <w:tcPr>
            <w:tcW w:type="dxa" w:w="1300"/>
            <w:tcMar>
              <w:top w:type="dxa" w:w="60"/>
              <w:left w:type="dxa" w:w="100"/>
              <w:bottom w:type="dxa" w:w="60"/>
              <w:right w:type="dxa" w:w="100"/>
            </w:tcMar>
          </w:tcPr>
          <w:p>
            <w:pPr>
              <w:jc w:val="center"/>
            </w:pPr>
            <w:r>
              <w:rPr>
                <w:b w:val="false"/>
                <w:bCs w:val="false"/>
                <w:color w:val="000000"/>
                <w:sz w:val="19"/>
                <w:szCs w:val="19"/>
              </w:rPr>
              <w:t xml:space="preserve">Alta</w:t>
            </w:r>
          </w:p>
        </w:tc>
        <w:tc>
          <w:tcPr>
            <w:tcW w:type="dxa" w:w="1300"/>
            <w:tcMar>
              <w:top w:type="dxa" w:w="60"/>
              <w:left w:type="dxa" w:w="100"/>
              <w:bottom w:type="dxa" w:w="60"/>
              <w:right w:type="dxa" w:w="100"/>
            </w:tcMar>
          </w:tcPr>
          <w:p>
            <w:pPr>
              <w:jc w:val="center"/>
            </w:pPr>
            <w:r>
              <w:rPr>
                <w:b w:val="false"/>
                <w:bCs w:val="false"/>
                <w:color w:val="000000"/>
                <w:sz w:val="19"/>
                <w:szCs w:val="19"/>
              </w:rPr>
              <w:t xml:space="preserve">Medio</w:t>
            </w:r>
          </w:p>
        </w:tc>
        <w:tc>
          <w:tcPr>
            <w:tcW w:type="dxa" w:w="3200"/>
            <w:tcMar>
              <w:top w:type="dxa" w:w="60"/>
              <w:left w:type="dxa" w:w="100"/>
              <w:bottom w:type="dxa" w:w="60"/>
              <w:right w:type="dxa" w:w="100"/>
            </w:tcMar>
          </w:tcPr>
          <w:p>
            <w:pPr>
              <w:jc w:val="center"/>
            </w:pPr>
            <w:r>
              <w:rPr>
                <w:b w:val="false"/>
                <w:bCs w:val="false"/>
                <w:color w:val="000000"/>
                <w:sz w:val="19"/>
                <w:szCs w:val="19"/>
              </w:rPr>
              <w:t xml:space="preserve">Revisar mes a mes contra gasto real; colchón de capital de trabajo</w:t>
            </w:r>
          </w:p>
        </w:tc>
      </w:tr>
      <w:tr>
        <w:tc>
          <w:tcPr>
            <w:tcW w:type="dxa" w:w="3000"/>
            <w:shd w:fill="F5F0E8" w:val="clear"/>
            <w:tcMar>
              <w:top w:type="dxa" w:w="60"/>
              <w:left w:type="dxa" w:w="100"/>
              <w:bottom w:type="dxa" w:w="60"/>
              <w:right w:type="dxa" w:w="100"/>
            </w:tcMar>
          </w:tcPr>
          <w:p>
            <w:pPr>
              <w:jc w:val="left"/>
            </w:pPr>
            <w:r>
              <w:rPr>
                <w:b w:val="false"/>
                <w:bCs w:val="false"/>
                <w:color w:val="000000"/>
                <w:sz w:val="19"/>
                <w:szCs w:val="19"/>
              </w:rPr>
              <w:t xml:space="preserve">Rampa de adopción más lenta que la proyectada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Media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Alto</w:t>
            </w:r>
          </w:p>
        </w:tc>
        <w:tc>
          <w:tcPr>
            <w:tcW w:type="dxa" w:w="3200"/>
            <w:shd w:fill="F5F0E8" w:val="clear"/>
            <w:tcMar>
              <w:top w:type="dxa" w:w="60"/>
              <w:left w:type="dxa" w:w="100"/>
              <w:bottom w:type="dxa" w:w="60"/>
              <w:right w:type="dxa" w:w="100"/>
            </w:tcMar>
          </w:tcPr>
          <w:p>
            <w:pPr>
              <w:jc w:val="center"/>
            </w:pPr>
            <w:r>
              <w:rPr>
                <w:b w:val="false"/>
                <w:bCs w:val="false"/>
                <w:color w:val="000000"/>
                <w:sz w:val="19"/>
                <w:szCs w:val="19"/>
              </w:rPr>
              <w:t xml:space="preserve">Monitoreo semanal de pedidos/día vs. proyección</w:t>
            </w:r>
          </w:p>
        </w:tc>
      </w:tr>
    </w:tbl>
    <w:p>
      <w:pPr>
        <w:pStyle w:val="Heading2"/>
        <w:spacing w:after="100" w:before="200"/>
      </w:pPr>
      <w:r>
        <w:rPr>
          <w:b/>
          <w:bCs/>
          <w:color w:val="C1502E"/>
          <w:sz w:val="24"/>
          <w:szCs w:val="24"/>
        </w:rPr>
        <w:t xml:space="preserve">9.4 Riesgos de Mercado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200"/>
      </w:tblGrid>
      <w:tr>
        <w:trPr>
          <w:tblHeader/>
        </w:trPr>
        <w:tc>
          <w:tcPr>
            <w:tcW w:type="dxa" w:w="3000"/>
            <w:shd w:fill="1A1A1A" w:val="clear"/>
            <w:tcMar>
              <w:top w:type="dxa" w:w="60"/>
              <w:left w:type="dxa" w:w="100"/>
              <w:bottom w:type="dxa" w:w="60"/>
              <w:right w:type="dxa" w:w="100"/>
            </w:tcMar>
          </w:tcPr>
          <w:p>
            <w:pPr>
              <w:jc w:val="center"/>
            </w:pPr>
            <w:r>
              <w:rPr>
                <w:b/>
                <w:bCs/>
                <w:color w:val="FFFFFF"/>
                <w:sz w:val="19"/>
                <w:szCs w:val="19"/>
              </w:rPr>
              <w:t xml:space="preserve">Riesgo</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Prob.</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Impacto</w:t>
            </w:r>
          </w:p>
        </w:tc>
        <w:tc>
          <w:tcPr>
            <w:tcW w:type="dxa" w:w="3200"/>
            <w:shd w:fill="1A1A1A" w:val="clear"/>
            <w:tcMar>
              <w:top w:type="dxa" w:w="60"/>
              <w:left w:type="dxa" w:w="100"/>
              <w:bottom w:type="dxa" w:w="60"/>
              <w:right w:type="dxa" w:w="100"/>
            </w:tcMar>
          </w:tcPr>
          <w:p>
            <w:pPr>
              <w:jc w:val="center"/>
            </w:pPr>
            <w:r>
              <w:rPr>
                <w:b/>
                <w:bCs/>
                <w:color w:val="FFFFFF"/>
                <w:sz w:val="19"/>
                <w:szCs w:val="19"/>
              </w:rPr>
              <w:t xml:space="preserve">Mitigación</w:t>
            </w:r>
          </w:p>
        </w:tc>
      </w:tr>
      <w:tr>
        <w:tc>
          <w:tcPr>
            <w:tcW w:type="dxa" w:w="3000"/>
            <w:tcMar>
              <w:top w:type="dxa" w:w="60"/>
              <w:left w:type="dxa" w:w="100"/>
              <w:bottom w:type="dxa" w:w="60"/>
              <w:right w:type="dxa" w:w="100"/>
            </w:tcMar>
          </w:tcPr>
          <w:p>
            <w:pPr>
              <w:jc w:val="left"/>
            </w:pPr>
            <w:r>
              <w:rPr>
                <w:b w:val="false"/>
                <w:bCs w:val="false"/>
                <w:color w:val="000000"/>
                <w:sz w:val="19"/>
                <w:szCs w:val="19"/>
              </w:rPr>
              <w:t xml:space="preserve">Conflicto de producto con Artigiano (jamón serrano/arúgula)</w:t>
            </w:r>
          </w:p>
        </w:tc>
        <w:tc>
          <w:tcPr>
            <w:tcW w:type="dxa" w:w="1300"/>
            <w:tcMar>
              <w:top w:type="dxa" w:w="60"/>
              <w:left w:type="dxa" w:w="100"/>
              <w:bottom w:type="dxa" w:w="60"/>
              <w:right w:type="dxa" w:w="100"/>
            </w:tcMar>
          </w:tcPr>
          <w:p>
            <w:pPr>
              <w:jc w:val="center"/>
            </w:pPr>
            <w:r>
              <w:rPr>
                <w:b w:val="false"/>
                <w:bCs w:val="false"/>
                <w:color w:val="000000"/>
                <w:sz w:val="19"/>
                <w:szCs w:val="19"/>
              </w:rPr>
              <w:t xml:space="preserve">Alta</w:t>
            </w:r>
          </w:p>
        </w:tc>
        <w:tc>
          <w:tcPr>
            <w:tcW w:type="dxa" w:w="1300"/>
            <w:tcMar>
              <w:top w:type="dxa" w:w="60"/>
              <w:left w:type="dxa" w:w="100"/>
              <w:bottom w:type="dxa" w:w="60"/>
              <w:right w:type="dxa" w:w="100"/>
            </w:tcMar>
          </w:tcPr>
          <w:p>
            <w:pPr>
              <w:jc w:val="center"/>
            </w:pPr>
            <w:r>
              <w:rPr>
                <w:b w:val="false"/>
                <w:bCs w:val="false"/>
                <w:color w:val="000000"/>
                <w:sz w:val="19"/>
                <w:szCs w:val="19"/>
              </w:rPr>
              <w:t xml:space="preserve">Medio</w:t>
            </w:r>
          </w:p>
        </w:tc>
        <w:tc>
          <w:tcPr>
            <w:tcW w:type="dxa" w:w="3200"/>
            <w:tcMar>
              <w:top w:type="dxa" w:w="60"/>
              <w:left w:type="dxa" w:w="100"/>
              <w:bottom w:type="dxa" w:w="60"/>
              <w:right w:type="dxa" w:w="100"/>
            </w:tcMar>
          </w:tcPr>
          <w:p>
            <w:pPr>
              <w:jc w:val="center"/>
            </w:pPr>
            <w:r>
              <w:rPr>
                <w:b w:val="false"/>
                <w:bCs w:val="false"/>
                <w:color w:val="000000"/>
                <w:sz w:val="19"/>
                <w:szCs w:val="19"/>
              </w:rPr>
              <w:t xml:space="preserve">Diferenciar receta o evaluar sustitución — decisión pendiente</w:t>
            </w:r>
          </w:p>
        </w:tc>
      </w:tr>
      <w:tr>
        <w:tc>
          <w:tcPr>
            <w:tcW w:type="dxa" w:w="3000"/>
            <w:shd w:fill="F5F0E8" w:val="clear"/>
            <w:tcMar>
              <w:top w:type="dxa" w:w="60"/>
              <w:left w:type="dxa" w:w="100"/>
              <w:bottom w:type="dxa" w:w="60"/>
              <w:right w:type="dxa" w:w="100"/>
            </w:tcMar>
          </w:tcPr>
          <w:p>
            <w:pPr>
              <w:jc w:val="left"/>
            </w:pPr>
            <w:r>
              <w:rPr>
                <w:b w:val="false"/>
                <w:bCs w:val="false"/>
                <w:color w:val="000000"/>
                <w:sz w:val="19"/>
                <w:szCs w:val="19"/>
              </w:rPr>
              <w:t xml:space="preserve">Crecimiento lento sin apps de terceros</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Media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Medio</w:t>
            </w:r>
          </w:p>
        </w:tc>
        <w:tc>
          <w:tcPr>
            <w:tcW w:type="dxa" w:w="3200"/>
            <w:shd w:fill="F5F0E8" w:val="clear"/>
            <w:tcMar>
              <w:top w:type="dxa" w:w="60"/>
              <w:left w:type="dxa" w:w="100"/>
              <w:bottom w:type="dxa" w:w="60"/>
              <w:right w:type="dxa" w:w="100"/>
            </w:tcMar>
          </w:tcPr>
          <w:p>
            <w:pPr>
              <w:jc w:val="center"/>
            </w:pPr>
            <w:r>
              <w:rPr>
                <w:b w:val="false"/>
                <w:bCs w:val="false"/>
                <w:color w:val="000000"/>
                <w:sz w:val="19"/>
                <w:szCs w:val="19"/>
              </w:rPr>
              <w:t xml:space="preserve">Criterio ya definido para activar Fase 2 si es necesario</w:t>
            </w:r>
          </w:p>
        </w:tc>
      </w:tr>
    </w:tbl>
    <w:p>
      <w:pPr>
        <w:pStyle w:val="Heading2"/>
        <w:spacing w:after="100" w:before="200"/>
      </w:pPr>
      <w:r>
        <w:rPr>
          <w:b/>
          <w:bCs/>
          <w:color w:val="C1502E"/>
          <w:sz w:val="24"/>
          <w:szCs w:val="24"/>
        </w:rPr>
        <w:t xml:space="preserve">9.5 Riesgos Legales y Regulatorios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200"/>
      </w:tblGrid>
      <w:tr>
        <w:trPr>
          <w:tblHeader/>
        </w:trPr>
        <w:tc>
          <w:tcPr>
            <w:tcW w:type="dxa" w:w="3000"/>
            <w:shd w:fill="1A1A1A" w:val="clear"/>
            <w:tcMar>
              <w:top w:type="dxa" w:w="60"/>
              <w:left w:type="dxa" w:w="100"/>
              <w:bottom w:type="dxa" w:w="60"/>
              <w:right w:type="dxa" w:w="100"/>
            </w:tcMar>
          </w:tcPr>
          <w:p>
            <w:pPr>
              <w:jc w:val="center"/>
            </w:pPr>
            <w:r>
              <w:rPr>
                <w:b/>
                <w:bCs/>
                <w:color w:val="FFFFFF"/>
                <w:sz w:val="19"/>
                <w:szCs w:val="19"/>
              </w:rPr>
              <w:t xml:space="preserve">Riesgo</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Prob.</w:t>
            </w:r>
          </w:p>
        </w:tc>
        <w:tc>
          <w:tcPr>
            <w:tcW w:type="dxa" w:w="1300"/>
            <w:shd w:fill="1A1A1A" w:val="clear"/>
            <w:tcMar>
              <w:top w:type="dxa" w:w="60"/>
              <w:left w:type="dxa" w:w="100"/>
              <w:bottom w:type="dxa" w:w="60"/>
              <w:right w:type="dxa" w:w="100"/>
            </w:tcMar>
          </w:tcPr>
          <w:p>
            <w:pPr>
              <w:jc w:val="center"/>
            </w:pPr>
            <w:r>
              <w:rPr>
                <w:b/>
                <w:bCs/>
                <w:color w:val="FFFFFF"/>
                <w:sz w:val="19"/>
                <w:szCs w:val="19"/>
              </w:rPr>
              <w:t xml:space="preserve">Impacto</w:t>
            </w:r>
          </w:p>
        </w:tc>
        <w:tc>
          <w:tcPr>
            <w:tcW w:type="dxa" w:w="3200"/>
            <w:shd w:fill="1A1A1A" w:val="clear"/>
            <w:tcMar>
              <w:top w:type="dxa" w:w="60"/>
              <w:left w:type="dxa" w:w="100"/>
              <w:bottom w:type="dxa" w:w="60"/>
              <w:right w:type="dxa" w:w="100"/>
            </w:tcMar>
          </w:tcPr>
          <w:p>
            <w:pPr>
              <w:jc w:val="center"/>
            </w:pPr>
            <w:r>
              <w:rPr>
                <w:b/>
                <w:bCs/>
                <w:color w:val="FFFFFF"/>
                <w:sz w:val="19"/>
                <w:szCs w:val="19"/>
              </w:rPr>
              <w:t xml:space="preserve">Mitigación</w:t>
            </w:r>
          </w:p>
        </w:tc>
      </w:tr>
      <w:tr>
        <w:tc>
          <w:tcPr>
            <w:tcW w:type="dxa" w:w="3000"/>
            <w:tcMar>
              <w:top w:type="dxa" w:w="60"/>
              <w:left w:type="dxa" w:w="100"/>
              <w:bottom w:type="dxa" w:w="60"/>
              <w:right w:type="dxa" w:w="100"/>
            </w:tcMar>
          </w:tcPr>
          <w:p>
            <w:pPr>
              <w:jc w:val="left"/>
            </w:pPr>
            <w:r>
              <w:rPr>
                <w:b w:val="false"/>
                <w:bCs w:val="false"/>
                <w:color w:val="000000"/>
                <w:sz w:val="19"/>
                <w:szCs w:val="19"/>
              </w:rPr>
              <w:t xml:space="preserve">Sin seguro de responsabilidad civil para catering</w:t>
            </w:r>
          </w:p>
        </w:tc>
        <w:tc>
          <w:tcPr>
            <w:tcW w:type="dxa" w:w="1300"/>
            <w:tcMar>
              <w:top w:type="dxa" w:w="60"/>
              <w:left w:type="dxa" w:w="100"/>
              <w:bottom w:type="dxa" w:w="60"/>
              <w:right w:type="dxa" w:w="100"/>
            </w:tcMar>
          </w:tcPr>
          <w:p>
            <w:pPr>
              <w:jc w:val="center"/>
            </w:pPr>
            <w:r>
              <w:rPr>
                <w:b w:val="false"/>
                <w:bCs w:val="false"/>
                <w:color w:val="000000"/>
                <w:sz w:val="19"/>
                <w:szCs w:val="19"/>
              </w:rPr>
              <w:t xml:space="preserve">Alta</w:t>
            </w:r>
          </w:p>
        </w:tc>
        <w:tc>
          <w:tcPr>
            <w:tcW w:type="dxa" w:w="1300"/>
            <w:tcMar>
              <w:top w:type="dxa" w:w="60"/>
              <w:left w:type="dxa" w:w="100"/>
              <w:bottom w:type="dxa" w:w="60"/>
              <w:right w:type="dxa" w:w="100"/>
            </w:tcMar>
          </w:tcPr>
          <w:p>
            <w:pPr>
              <w:jc w:val="center"/>
            </w:pPr>
            <w:r>
              <w:rPr>
                <w:b w:val="false"/>
                <w:bCs w:val="false"/>
                <w:color w:val="000000"/>
                <w:sz w:val="19"/>
                <w:szCs w:val="19"/>
              </w:rPr>
              <w:t xml:space="preserve">Alto</w:t>
            </w:r>
          </w:p>
        </w:tc>
        <w:tc>
          <w:tcPr>
            <w:tcW w:type="dxa" w:w="3200"/>
            <w:tcMar>
              <w:top w:type="dxa" w:w="60"/>
              <w:left w:type="dxa" w:w="100"/>
              <w:bottom w:type="dxa" w:w="60"/>
              <w:right w:type="dxa" w:w="100"/>
            </w:tcMar>
          </w:tcPr>
          <w:p>
            <w:pPr>
              <w:jc w:val="center"/>
            </w:pPr>
            <w:r>
              <w:rPr>
                <w:b w:val="false"/>
                <w:bCs w:val="false"/>
                <w:color w:val="000000"/>
                <w:sz w:val="19"/>
                <w:szCs w:val="19"/>
              </w:rPr>
              <w:t xml:space="preserve">Contratar antes del primer evento — no operar sin esto</w:t>
            </w:r>
          </w:p>
        </w:tc>
      </w:tr>
      <w:tr>
        <w:tc>
          <w:tcPr>
            <w:tcW w:type="dxa" w:w="3000"/>
            <w:shd w:fill="F5F0E8" w:val="clear"/>
            <w:tcMar>
              <w:top w:type="dxa" w:w="60"/>
              <w:left w:type="dxa" w:w="100"/>
              <w:bottom w:type="dxa" w:w="60"/>
              <w:right w:type="dxa" w:w="100"/>
            </w:tcMar>
          </w:tcPr>
          <w:p>
            <w:pPr>
              <w:jc w:val="left"/>
            </w:pPr>
            <w:r>
              <w:rPr>
                <w:b w:val="false"/>
                <w:bCs w:val="false"/>
                <w:color w:val="000000"/>
                <w:sz w:val="19"/>
                <w:szCs w:val="19"/>
              </w:rPr>
              <w:t xml:space="preserve">Marca Mextizza sin registrar ante el IMPI</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Media</w:t>
            </w:r>
          </w:p>
        </w:tc>
        <w:tc>
          <w:tcPr>
            <w:tcW w:type="dxa" w:w="1300"/>
            <w:shd w:fill="F5F0E8" w:val="clear"/>
            <w:tcMar>
              <w:top w:type="dxa" w:w="60"/>
              <w:left w:type="dxa" w:w="100"/>
              <w:bottom w:type="dxa" w:w="60"/>
              <w:right w:type="dxa" w:w="100"/>
            </w:tcMar>
          </w:tcPr>
          <w:p>
            <w:pPr>
              <w:jc w:val="center"/>
            </w:pPr>
            <w:r>
              <w:rPr>
                <w:b w:val="false"/>
                <w:bCs w:val="false"/>
                <w:color w:val="000000"/>
                <w:sz w:val="19"/>
                <w:szCs w:val="19"/>
              </w:rPr>
              <w:t xml:space="preserve">Alto (largo plazo)</w:t>
            </w:r>
          </w:p>
        </w:tc>
        <w:tc>
          <w:tcPr>
            <w:tcW w:type="dxa" w:w="3200"/>
            <w:shd w:fill="F5F0E8" w:val="clear"/>
            <w:tcMar>
              <w:top w:type="dxa" w:w="60"/>
              <w:left w:type="dxa" w:w="100"/>
              <w:bottom w:type="dxa" w:w="60"/>
              <w:right w:type="dxa" w:w="100"/>
            </w:tcMar>
          </w:tcPr>
          <w:p>
            <w:pPr>
              <w:jc w:val="center"/>
            </w:pPr>
            <w:r>
              <w:rPr>
                <w:b w:val="false"/>
                <w:bCs w:val="false"/>
                <w:color w:val="000000"/>
                <w:sz w:val="19"/>
                <w:szCs w:val="19"/>
              </w:rPr>
              <w:t xml:space="preserve">Iniciar trámite en paralelo a la Fase 1</w:t>
            </w:r>
          </w:p>
        </w:tc>
      </w:tr>
    </w:tbl>
    <w:p>
      <w:r>
        <w:br w:type="page"/>
      </w:r>
    </w:p>
    <w:p>
      <w:pPr>
        <w:pStyle w:val="Heading1"/>
        <w:spacing w:after="150" w:before="300"/>
      </w:pPr>
      <w:r>
        <w:rPr>
          <w:b/>
          <w:bCs/>
          <w:color w:val="1A1A1A"/>
          <w:sz w:val="28"/>
          <w:szCs w:val="28"/>
        </w:rPr>
        <w:t xml:space="preserve">10. Estructura Legal y Societaria</w:t>
      </w:r>
    </w:p>
    <w:p>
      <w:pPr>
        <w:spacing w:after="120"/>
      </w:pPr>
      <w:r>
        <w:rPr>
          <w:i/>
          <w:iCs/>
          <w:color w:val="666666"/>
          <w:sz w:val="18"/>
          <w:szCs w:val="18"/>
        </w:rPr>
        <w:t xml:space="preserve">Decisión pendiente — los socios aún no han constituido sociedad. Esta sección es una guía orientativa para cuando decidan avanzar, no una asesoría legal formal.</w:t>
      </w:r>
    </w:p>
    <w:p>
      <w:pPr>
        <w:pStyle w:val="Heading2"/>
        <w:spacing w:after="100" w:before="200"/>
      </w:pPr>
      <w:r>
        <w:rPr>
          <w:b/>
          <w:bCs/>
          <w:color w:val="C1502E"/>
          <w:sz w:val="24"/>
          <w:szCs w:val="24"/>
        </w:rPr>
        <w:t xml:space="preserve">10.1 Figuras Legales a Considerar</w:t>
      </w:r>
    </w:p>
    <w:p>
      <w:pPr>
        <w:pStyle w:val="ListParagraph"/>
        <w:numPr>
          <w:ilvl w:val="0"/>
          <w:numId w:val="1"/>
        </w:numPr>
        <w:spacing w:after="60"/>
      </w:pPr>
      <w:r>
        <w:rPr>
          <w:sz w:val="21"/>
          <w:szCs w:val="21"/>
        </w:rPr>
        <w:t xml:space="preserve">S.A.S. — rápida y barata, constitución en línea, límite de ingresos anuales ~5 millones MXN.</w:t>
      </w:r>
    </w:p>
    <w:p>
      <w:pPr>
        <w:pStyle w:val="ListParagraph"/>
        <w:numPr>
          <w:ilvl w:val="0"/>
          <w:numId w:val="1"/>
        </w:numPr>
        <w:spacing w:after="60"/>
      </w:pPr>
      <w:r>
        <w:rPr>
          <w:sz w:val="21"/>
          <w:szCs w:val="21"/>
        </w:rPr>
        <w:t xml:space="preserve">S. de R.L. de C.V. — más flexible en reparto de utilidades no proporcional al capital.</w:t>
      </w:r>
    </w:p>
    <w:p>
      <w:pPr>
        <w:pStyle w:val="Heading2"/>
        <w:spacing w:after="100" w:before="200"/>
      </w:pPr>
      <w:r>
        <w:rPr>
          <w:b/>
          <w:bCs/>
          <w:color w:val="C1502E"/>
          <w:sz w:val="24"/>
          <w:szCs w:val="24"/>
        </w:rPr>
        <w:t xml:space="preserve">10.2 Temas a Acordar Antes de Constituir</w:t>
      </w:r>
    </w:p>
    <w:p>
      <w:pPr>
        <w:pStyle w:val="ListParagraph"/>
        <w:numPr>
          <w:ilvl w:val="0"/>
          <w:numId w:val="1"/>
        </w:numPr>
        <w:spacing w:after="60"/>
      </w:pPr>
      <w:r>
        <w:rPr>
          <w:sz w:val="21"/>
          <w:szCs w:val="21"/>
        </w:rPr>
        <w:t xml:space="preserve">% de participación entre Hugo y Ricardo.</w:t>
      </w:r>
    </w:p>
    <w:p>
      <w:pPr>
        <w:pStyle w:val="ListParagraph"/>
        <w:numPr>
          <w:ilvl w:val="0"/>
          <w:numId w:val="1"/>
        </w:numPr>
        <w:spacing w:after="60"/>
      </w:pPr>
      <w:r>
        <w:rPr>
          <w:sz w:val="21"/>
          <w:szCs w:val="21"/>
        </w:rPr>
        <w:t xml:space="preserve">Roles y facultades de decisión.</w:t>
      </w:r>
    </w:p>
    <w:p>
      <w:pPr>
        <w:pStyle w:val="ListParagraph"/>
        <w:numPr>
          <w:ilvl w:val="0"/>
          <w:numId w:val="1"/>
        </w:numPr>
        <w:spacing w:after="60"/>
      </w:pPr>
      <w:r>
        <w:rPr>
          <w:sz w:val="21"/>
          <w:szCs w:val="21"/>
        </w:rPr>
        <w:t xml:space="preserve">Sueldo vs. utilidades.</w:t>
      </w:r>
    </w:p>
    <w:p>
      <w:pPr>
        <w:pStyle w:val="ListParagraph"/>
        <w:numPr>
          <w:ilvl w:val="0"/>
          <w:numId w:val="1"/>
        </w:numPr>
        <w:spacing w:after="60"/>
      </w:pPr>
      <w:r>
        <w:rPr>
          <w:sz w:val="21"/>
          <w:szCs w:val="21"/>
        </w:rPr>
        <w:t xml:space="preserve">Propiedad intelectual de recetas y marca.</w:t>
      </w:r>
    </w:p>
    <w:p>
      <w:pPr>
        <w:pStyle w:val="ListParagraph"/>
        <w:numPr>
          <w:ilvl w:val="0"/>
          <w:numId w:val="1"/>
        </w:numPr>
        <w:spacing w:after="60"/>
      </w:pPr>
      <w:r>
        <w:rPr>
          <w:sz w:val="21"/>
          <w:szCs w:val="21"/>
        </w:rPr>
        <w:t xml:space="preserve">Cláusula de salida (buy-sell agreement) y de no competencia.</w:t>
      </w:r>
    </w:p>
    <w:p>
      <w:pPr>
        <w:pStyle w:val="ListParagraph"/>
        <w:numPr>
          <w:ilvl w:val="0"/>
          <w:numId w:val="1"/>
        </w:numPr>
        <w:spacing w:after="60"/>
      </w:pPr>
      <w:r>
        <w:rPr>
          <w:sz w:val="21"/>
          <w:szCs w:val="21"/>
        </w:rPr>
        <w:t xml:space="preserve">Mecanismo de desempate y periodo mínimo de permanencia.</w:t>
      </w:r>
    </w:p>
    <w:p>
      <w:pPr>
        <w:pStyle w:val="Heading2"/>
        <w:spacing w:after="100" w:before="200"/>
      </w:pPr>
      <w:r>
        <w:rPr>
          <w:b/>
          <w:bCs/>
          <w:color w:val="C1502E"/>
          <w:sz w:val="24"/>
          <w:szCs w:val="24"/>
        </w:rPr>
        <w:t xml:space="preserve">10.3 Pasos Prácticos</w:t>
      </w:r>
    </w:p>
    <w:p>
      <w:pPr>
        <w:pStyle w:val="ListParagraph"/>
        <w:numPr>
          <w:ilvl w:val="0"/>
          <w:numId w:val="1"/>
        </w:numPr>
        <w:spacing w:after="60"/>
      </w:pPr>
      <w:r>
        <w:rPr>
          <w:sz w:val="21"/>
          <w:szCs w:val="21"/>
        </w:rPr>
        <w:t xml:space="preserve">Convenio entre socios (documento privado, aparte del acta constitutiva).</w:t>
      </w:r>
    </w:p>
    <w:p>
      <w:pPr>
        <w:pStyle w:val="ListParagraph"/>
        <w:numPr>
          <w:ilvl w:val="0"/>
          <w:numId w:val="1"/>
        </w:numPr>
        <w:spacing w:after="60"/>
      </w:pPr>
      <w:r>
        <w:rPr>
          <w:sz w:val="21"/>
          <w:szCs w:val="21"/>
        </w:rPr>
        <w:t xml:space="preserve">Constitución de la sociedad, inscripción en el Registro Público de Comercio, RFC, cuenta bancaria empresarial.</w:t>
      </w:r>
    </w:p>
    <w:p>
      <w:pPr>
        <w:pStyle w:val="ListParagraph"/>
        <w:numPr>
          <w:ilvl w:val="0"/>
          <w:numId w:val="1"/>
        </w:numPr>
        <w:spacing w:after="60"/>
      </w:pPr>
      <w:r>
        <w:rPr>
          <w:sz w:val="21"/>
          <w:szCs w:val="21"/>
        </w:rPr>
        <w:t xml:space="preserve">Registro de la marca Mextizza ante el IMPI.</w:t>
      </w:r>
    </w:p>
    <w:p>
      <w:r>
        <w:br w:type="page"/>
      </w:r>
    </w:p>
    <w:p>
      <w:pPr>
        <w:pStyle w:val="Heading1"/>
        <w:spacing w:after="150" w:before="300"/>
      </w:pPr>
      <w:r>
        <w:rPr>
          <w:b/>
          <w:bCs/>
          <w:color w:val="1A1A1A"/>
          <w:sz w:val="28"/>
          <w:szCs w:val="28"/>
        </w:rPr>
        <w:t xml:space="preserve">11. Cronograma de Lanzamiento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600"/>
      </w:tblGrid>
      <w:tr>
        <w:trPr>
          <w:tblHeader/>
        </w:trPr>
        <w:tc>
          <w:tcPr>
            <w:tcW w:type="dxa" w:w="2800"/>
            <w:shd w:fill="1A1A1A" w:val="clear"/>
            <w:tcMar>
              <w:top w:type="dxa" w:w="60"/>
              <w:left w:type="dxa" w:w="100"/>
              <w:bottom w:type="dxa" w:w="60"/>
              <w:right w:type="dxa" w:w="100"/>
            </w:tcMar>
          </w:tcPr>
          <w:p>
            <w:pPr>
              <w:jc w:val="center"/>
            </w:pPr>
            <w:r>
              <w:rPr>
                <w:b/>
                <w:bCs/>
                <w:color w:val="FFFFFF"/>
                <w:sz w:val="19"/>
                <w:szCs w:val="19"/>
              </w:rPr>
              <w:t xml:space="preserve">Fase</w:t>
            </w:r>
          </w:p>
        </w:tc>
        <w:tc>
          <w:tcPr>
            <w:tcW w:type="dxa" w:w="2400"/>
            <w:shd w:fill="1A1A1A" w:val="clear"/>
            <w:tcMar>
              <w:top w:type="dxa" w:w="60"/>
              <w:left w:type="dxa" w:w="100"/>
              <w:bottom w:type="dxa" w:w="60"/>
              <w:right w:type="dxa" w:w="100"/>
            </w:tcMar>
          </w:tcPr>
          <w:p>
            <w:pPr>
              <w:jc w:val="center"/>
            </w:pPr>
            <w:r>
              <w:rPr>
                <w:b/>
                <w:bCs/>
                <w:color w:val="FFFFFF"/>
                <w:sz w:val="19"/>
                <w:szCs w:val="19"/>
              </w:rPr>
              <w:t xml:space="preserve">Periodo</w:t>
            </w:r>
          </w:p>
        </w:tc>
        <w:tc>
          <w:tcPr>
            <w:tcW w:type="dxa" w:w="3600"/>
            <w:shd w:fill="1A1A1A" w:val="clear"/>
            <w:tcMar>
              <w:top w:type="dxa" w:w="60"/>
              <w:left w:type="dxa" w:w="100"/>
              <w:bottom w:type="dxa" w:w="60"/>
              <w:right w:type="dxa" w:w="100"/>
            </w:tcMar>
          </w:tcPr>
          <w:p>
            <w:pPr>
              <w:jc w:val="center"/>
            </w:pPr>
            <w:r>
              <w:rPr>
                <w:b/>
                <w:bCs/>
                <w:color w:val="FFFFFF"/>
                <w:sz w:val="19"/>
                <w:szCs w:val="19"/>
              </w:rPr>
              <w:t xml:space="preserve">Enfoque Principal</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1 — Pruebas Técnicas</w:t>
            </w:r>
          </w:p>
        </w:tc>
        <w:tc>
          <w:tcPr>
            <w:tcW w:type="dxa" w:w="2400"/>
            <w:tcMar>
              <w:top w:type="dxa" w:w="60"/>
              <w:left w:type="dxa" w:w="100"/>
              <w:bottom w:type="dxa" w:w="60"/>
              <w:right w:type="dxa" w:w="100"/>
            </w:tcMar>
          </w:tcPr>
          <w:p>
            <w:pPr>
              <w:jc w:val="center"/>
            </w:pPr>
            <w:r>
              <w:rPr>
                <w:b w:val="false"/>
                <w:bCs w:val="false"/>
                <w:color w:val="000000"/>
                <w:sz w:val="19"/>
                <w:szCs w:val="19"/>
              </w:rPr>
              <w:t xml:space="preserve">27 jul – 7 ago</w:t>
            </w:r>
          </w:p>
        </w:tc>
        <w:tc>
          <w:tcPr>
            <w:tcW w:type="dxa" w:w="3600"/>
            <w:tcMar>
              <w:top w:type="dxa" w:w="60"/>
              <w:left w:type="dxa" w:w="100"/>
              <w:bottom w:type="dxa" w:w="60"/>
              <w:right w:type="dxa" w:w="100"/>
            </w:tcMar>
          </w:tcPr>
          <w:p>
            <w:pPr>
              <w:jc w:val="center"/>
            </w:pPr>
            <w:r>
              <w:rPr>
                <w:b w:val="false"/>
                <w:bCs w:val="false"/>
                <w:color w:val="000000"/>
                <w:sz w:val="19"/>
                <w:szCs w:val="19"/>
              </w:rPr>
              <w:t xml:space="preserve">Masa (fermentación fría 48h), horno Gozney XL, recetas, trámites legales</w:t>
            </w:r>
          </w:p>
        </w:tc>
      </w:tr>
      <w:tr>
        <w:tc>
          <w:tcPr>
            <w:tcW w:type="dxa" w:w="2800"/>
            <w:shd w:fill="F5F0E8" w:val="clear"/>
            <w:tcMar>
              <w:top w:type="dxa" w:w="60"/>
              <w:left w:type="dxa" w:w="100"/>
              <w:bottom w:type="dxa" w:w="60"/>
              <w:right w:type="dxa" w:w="100"/>
            </w:tcMar>
          </w:tcPr>
          <w:p>
            <w:pPr>
              <w:jc w:val="left"/>
            </w:pPr>
            <w:r>
              <w:rPr>
                <w:b w:val="false"/>
                <w:bCs w:val="false"/>
                <w:color w:val="000000"/>
                <w:sz w:val="19"/>
                <w:szCs w:val="19"/>
              </w:rPr>
              <w:t xml:space="preserve">2 — Montaje Operativo</w:t>
            </w:r>
          </w:p>
        </w:tc>
        <w:tc>
          <w:tcPr>
            <w:tcW w:type="dxa" w:w="2400"/>
            <w:shd w:fill="F5F0E8" w:val="clear"/>
            <w:tcMar>
              <w:top w:type="dxa" w:w="60"/>
              <w:left w:type="dxa" w:w="100"/>
              <w:bottom w:type="dxa" w:w="60"/>
              <w:right w:type="dxa" w:w="100"/>
            </w:tcMar>
          </w:tcPr>
          <w:p>
            <w:pPr>
              <w:jc w:val="center"/>
            </w:pPr>
            <w:r>
              <w:rPr>
                <w:b w:val="false"/>
                <w:bCs w:val="false"/>
                <w:color w:val="000000"/>
                <w:sz w:val="19"/>
                <w:szCs w:val="19"/>
              </w:rPr>
              <w:t xml:space="preserve">10 – 21 ago</w:t>
            </w:r>
          </w:p>
        </w:tc>
        <w:tc>
          <w:tcPr>
            <w:tcW w:type="dxa" w:w="3600"/>
            <w:shd w:fill="F5F0E8" w:val="clear"/>
            <w:tcMar>
              <w:top w:type="dxa" w:w="60"/>
              <w:left w:type="dxa" w:w="100"/>
              <w:bottom w:type="dxa" w:w="60"/>
              <w:right w:type="dxa" w:w="100"/>
            </w:tcMar>
          </w:tcPr>
          <w:p>
            <w:pPr>
              <w:jc w:val="center"/>
            </w:pPr>
            <w:r>
              <w:rPr>
                <w:b w:val="false"/>
                <w:bCs w:val="false"/>
                <w:color w:val="000000"/>
                <w:sz w:val="19"/>
                <w:szCs w:val="19"/>
              </w:rPr>
              <w:t xml:space="preserve">POS/KDS, empaque, fotografía, canales directos, protocolo catering</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3 — Soft Opening</w:t>
            </w:r>
          </w:p>
        </w:tc>
        <w:tc>
          <w:tcPr>
            <w:tcW w:type="dxa" w:w="2400"/>
            <w:tcMar>
              <w:top w:type="dxa" w:w="60"/>
              <w:left w:type="dxa" w:w="100"/>
              <w:bottom w:type="dxa" w:w="60"/>
              <w:right w:type="dxa" w:w="100"/>
            </w:tcMar>
          </w:tcPr>
          <w:p>
            <w:pPr>
              <w:jc w:val="center"/>
            </w:pPr>
            <w:r>
              <w:rPr>
                <w:b w:val="false"/>
                <w:bCs w:val="false"/>
                <w:color w:val="000000"/>
                <w:sz w:val="19"/>
                <w:szCs w:val="19"/>
              </w:rPr>
              <w:t xml:space="preserve">24 – 30 ago</w:t>
            </w:r>
          </w:p>
        </w:tc>
        <w:tc>
          <w:tcPr>
            <w:tcW w:type="dxa" w:w="3600"/>
            <w:tcMar>
              <w:top w:type="dxa" w:w="60"/>
              <w:left w:type="dxa" w:w="100"/>
              <w:bottom w:type="dxa" w:w="60"/>
              <w:right w:type="dxa" w:w="100"/>
            </w:tcMar>
          </w:tcPr>
          <w:p>
            <w:pPr>
              <w:jc w:val="center"/>
            </w:pPr>
            <w:r>
              <w:rPr>
                <w:b w:val="false"/>
                <w:bCs w:val="false"/>
                <w:color w:val="000000"/>
                <w:sz w:val="19"/>
                <w:szCs w:val="19"/>
              </w:rPr>
              <w:t xml:space="preserve">Stress test, Friends &amp; Family, piloto de catering</w:t>
            </w:r>
          </w:p>
        </w:tc>
      </w:tr>
      <w:tr>
        <w:tc>
          <w:tcPr>
            <w:tcW w:type="dxa" w:w="2800"/>
            <w:shd w:fill="F5F0E8" w:val="clear"/>
            <w:tcMar>
              <w:top w:type="dxa" w:w="60"/>
              <w:left w:type="dxa" w:w="100"/>
              <w:bottom w:type="dxa" w:w="60"/>
              <w:right w:type="dxa" w:w="100"/>
            </w:tcMar>
          </w:tcPr>
          <w:p>
            <w:pPr>
              <w:jc w:val="left"/>
            </w:pPr>
            <w:r>
              <w:rPr>
                <w:b w:val="false"/>
                <w:bCs w:val="false"/>
                <w:color w:val="000000"/>
                <w:sz w:val="19"/>
                <w:szCs w:val="19"/>
              </w:rPr>
              <w:t xml:space="preserve">4 — Lanzamiento Oficial</w:t>
            </w:r>
          </w:p>
        </w:tc>
        <w:tc>
          <w:tcPr>
            <w:tcW w:type="dxa" w:w="2400"/>
            <w:shd w:fill="F5F0E8" w:val="clear"/>
            <w:tcMar>
              <w:top w:type="dxa" w:w="60"/>
              <w:left w:type="dxa" w:w="100"/>
              <w:bottom w:type="dxa" w:w="60"/>
              <w:right w:type="dxa" w:w="100"/>
            </w:tcMar>
          </w:tcPr>
          <w:p>
            <w:pPr>
              <w:jc w:val="center"/>
            </w:pPr>
            <w:r>
              <w:rPr>
                <w:b w:val="false"/>
                <w:bCs w:val="false"/>
                <w:color w:val="000000"/>
                <w:sz w:val="19"/>
                <w:szCs w:val="19"/>
              </w:rPr>
              <w:t xml:space="preserve">1 sep en adelante</w:t>
            </w:r>
          </w:p>
        </w:tc>
        <w:tc>
          <w:tcPr>
            <w:tcW w:type="dxa" w:w="3600"/>
            <w:shd w:fill="F5F0E8" w:val="clear"/>
            <w:tcMar>
              <w:top w:type="dxa" w:w="60"/>
              <w:left w:type="dxa" w:w="100"/>
              <w:bottom w:type="dxa" w:w="60"/>
              <w:right w:type="dxa" w:w="100"/>
            </w:tcMar>
          </w:tcPr>
          <w:p>
            <w:pPr>
              <w:jc w:val="center"/>
            </w:pPr>
            <w:r>
              <w:rPr>
                <w:b w:val="false"/>
                <w:bCs w:val="false"/>
                <w:color w:val="000000"/>
                <w:sz w:val="19"/>
                <w:szCs w:val="19"/>
              </w:rPr>
              <w:t xml:space="preserve">Apertura canal directo, marketing local, catering activo</w:t>
            </w:r>
          </w:p>
        </w:tc>
      </w:tr>
    </w:tbl>
    <w:p>
      <w:r>
        <w:br w:type="page"/>
      </w:r>
    </w:p>
    <w:p>
      <w:pPr>
        <w:pStyle w:val="Heading1"/>
        <w:spacing w:after="150" w:before="300"/>
      </w:pPr>
      <w:r>
        <w:rPr>
          <w:b/>
          <w:bCs/>
          <w:color w:val="1A1A1A"/>
          <w:sz w:val="28"/>
          <w:szCs w:val="28"/>
        </w:rPr>
        <w:t xml:space="preserve">12. Criterios de Éxito del Soft Opening</w:t>
      </w:r>
    </w:p>
    <w:p>
      <w:pPr>
        <w:pStyle w:val="Heading2"/>
        <w:spacing w:after="100" w:before="200"/>
      </w:pPr>
      <w:r>
        <w:rPr>
          <w:b/>
          <w:bCs/>
          <w:color w:val="C1502E"/>
          <w:sz w:val="24"/>
          <w:szCs w:val="24"/>
        </w:rPr>
        <w:t xml:space="preserve">12.1 Stress Test — Textura de la Masa</w:t>
      </w:r>
    </w:p>
    <w:p>
      <w:pPr>
        <w:pStyle w:val="ListParagraph"/>
        <w:numPr>
          <w:ilvl w:val="0"/>
          <w:numId w:val="1"/>
        </w:numPr>
        <w:spacing w:after="60"/>
      </w:pPr>
      <w:r>
        <w:rPr>
          <w:sz w:val="21"/>
          <w:szCs w:val="21"/>
        </w:rPr>
        <w:t xml:space="preserve">Corteza crujiente al llegar, sin humedad visible en la caja, temperatura &gt;50°C al centro.</w:t>
      </w:r>
    </w:p>
    <w:p>
      <w:pPr>
        <w:pStyle w:val="ListParagraph"/>
        <w:numPr>
          <w:ilvl w:val="0"/>
          <w:numId w:val="1"/>
        </w:numPr>
        <w:spacing w:after="60"/>
      </w:pPr>
      <w:r>
        <w:rPr>
          <w:sz w:val="21"/>
          <w:szCs w:val="21"/>
        </w:rPr>
        <w:t xml:space="preserve">Mínimo 5 viajes de 30 min con al menos 2 sabores distintos.</w:t>
      </w:r>
    </w:p>
    <w:p>
      <w:pPr>
        <w:pStyle w:val="ListParagraph"/>
        <w:numPr>
          <w:ilvl w:val="0"/>
          <w:numId w:val="1"/>
        </w:numPr>
        <w:spacing w:after="60"/>
      </w:pPr>
      <w:r>
        <w:rPr>
          <w:sz w:val="21"/>
          <w:szCs w:val="21"/>
        </w:rPr>
        <w:t xml:space="preserve">Umbral: máximo 1 de cada 5 pruebas puede fallar antes de requerir ajuste de empaque.</w:t>
      </w:r>
    </w:p>
    <w:p>
      <w:pPr>
        <w:pStyle w:val="Heading2"/>
        <w:spacing w:after="100" w:before="200"/>
      </w:pPr>
      <w:r>
        <w:rPr>
          <w:b/>
          <w:bCs/>
          <w:color w:val="C1502E"/>
          <w:sz w:val="24"/>
          <w:szCs w:val="24"/>
        </w:rPr>
        <w:t xml:space="preserve">12.2 Simulacro Friends &amp; Family</w:t>
      </w:r>
    </w:p>
    <w:p>
      <w:pPr>
        <w:pStyle w:val="ListParagraph"/>
        <w:numPr>
          <w:ilvl w:val="0"/>
          <w:numId w:val="1"/>
        </w:numPr>
        <w:spacing w:after="60"/>
      </w:pPr>
      <w:r>
        <w:rPr>
          <w:sz w:val="21"/>
          <w:szCs w:val="21"/>
        </w:rPr>
        <w:t xml:space="preserve">Mínimo 15-20 pedidos simulados en una sola sesión, con 3-4 pedidos simultáneos.</w:t>
      </w:r>
    </w:p>
    <w:p>
      <w:pPr>
        <w:pStyle w:val="ListParagraph"/>
        <w:numPr>
          <w:ilvl w:val="0"/>
          <w:numId w:val="1"/>
        </w:numPr>
        <w:spacing w:after="60"/>
      </w:pPr>
      <w:r>
        <w:rPr>
          <w:sz w:val="21"/>
          <w:szCs w:val="21"/>
        </w:rPr>
        <w:t xml:space="preserve">Tiempo objetivo: ≤10 minutos desde pedido hasta pizza lista.</w:t>
      </w:r>
    </w:p>
    <w:p>
      <w:pPr>
        <w:pStyle w:val="ListParagraph"/>
        <w:numPr>
          <w:ilvl w:val="0"/>
          <w:numId w:val="1"/>
        </w:numPr>
        <w:spacing w:after="60"/>
      </w:pPr>
      <w:r>
        <w:rPr>
          <w:sz w:val="21"/>
          <w:szCs w:val="21"/>
        </w:rPr>
        <w:t xml:space="preserve">Máximo 5% de errores de pedido.</w:t>
      </w:r>
    </w:p>
    <w:p>
      <w:pPr>
        <w:pStyle w:val="Heading2"/>
        <w:spacing w:after="100" w:before="200"/>
      </w:pPr>
      <w:r>
        <w:rPr>
          <w:b/>
          <w:bCs/>
          <w:color w:val="C1502E"/>
          <w:sz w:val="24"/>
          <w:szCs w:val="24"/>
        </w:rPr>
        <w:t xml:space="preserve">12.3 Piloto de Catering</w:t>
      </w:r>
    </w:p>
    <w:p>
      <w:pPr>
        <w:pStyle w:val="ListParagraph"/>
        <w:numPr>
          <w:ilvl w:val="0"/>
          <w:numId w:val="1"/>
        </w:numPr>
        <w:spacing w:after="60"/>
      </w:pPr>
      <w:r>
        <w:rPr>
          <w:sz w:val="21"/>
          <w:szCs w:val="21"/>
        </w:rPr>
        <w:t xml:space="preserve">Montaje del Gozney XL en sitio: ≤30-40 minutos.</w:t>
      </w:r>
    </w:p>
    <w:p>
      <w:pPr>
        <w:pStyle w:val="Heading2"/>
        <w:spacing w:after="100" w:before="200"/>
      </w:pPr>
      <w:r>
        <w:rPr>
          <w:b/>
          <w:bCs/>
          <w:color w:val="C1502E"/>
          <w:sz w:val="24"/>
          <w:szCs w:val="24"/>
        </w:rPr>
        <w:t xml:space="preserve">12.4 Criterio de Entrega</w:t>
      </w:r>
    </w:p>
    <w:p>
      <w:pPr>
        <w:pStyle w:val="ListParagraph"/>
        <w:numPr>
          <w:ilvl w:val="0"/>
          <w:numId w:val="1"/>
        </w:numPr>
        <w:spacing w:after="60"/>
      </w:pPr>
      <w:r>
        <w:rPr>
          <w:sz w:val="21"/>
          <w:szCs w:val="21"/>
        </w:rPr>
        <w:t xml:space="preserve">≥80% de entregas en ≤30 min, ≥90% en ≤35 min.</w:t>
      </w:r>
    </w:p>
    <w:p>
      <w:pPr>
        <w:pStyle w:val="Heading2"/>
        <w:spacing w:after="100" w:before="200"/>
      </w:pPr>
      <w:r>
        <w:rPr>
          <w:b/>
          <w:bCs/>
          <w:color w:val="C1502E"/>
          <w:sz w:val="24"/>
          <w:szCs w:val="24"/>
        </w:rPr>
        <w:t xml:space="preserve">12.5 Regla de Decisión</w:t>
      </w:r>
    </w:p>
    <w:p>
      <w:pPr>
        <w:pStyle w:val="ListParagraph"/>
        <w:numPr>
          <w:ilvl w:val="0"/>
          <w:numId w:val="1"/>
        </w:numPr>
        <w:spacing w:after="60"/>
      </w:pPr>
      <w:r>
        <w:rPr>
          <w:sz w:val="21"/>
          <w:szCs w:val="21"/>
        </w:rPr>
        <w:t xml:space="preserve">🟢 Todo cumplido → Lanzamiento según cronograma.</w:t>
      </w:r>
    </w:p>
    <w:p>
      <w:pPr>
        <w:pStyle w:val="ListParagraph"/>
        <w:numPr>
          <w:ilvl w:val="0"/>
          <w:numId w:val="1"/>
        </w:numPr>
        <w:spacing w:after="60"/>
      </w:pPr>
      <w:r>
        <w:rPr>
          <w:sz w:val="21"/>
          <w:szCs w:val="21"/>
        </w:rPr>
        <w:t xml:space="preserve">🟡 1-2 fallas leves → Ajustar y repetir esa prueba, sin mover la fecha.</w:t>
      </w:r>
    </w:p>
    <w:p>
      <w:pPr>
        <w:pStyle w:val="ListParagraph"/>
        <w:numPr>
          <w:ilvl w:val="0"/>
          <w:numId w:val="1"/>
        </w:numPr>
        <w:spacing w:after="60"/>
      </w:pPr>
      <w:r>
        <w:rPr>
          <w:sz w:val="21"/>
          <w:szCs w:val="21"/>
        </w:rPr>
        <w:t xml:space="preserve">🔴 Fallas repetidas de textura o &gt;10% de errores → Posponer 1-2 semanas.</w:t>
      </w:r>
    </w:p>
    <w:p>
      <w:r>
        <w:br w:type="page"/>
      </w:r>
    </w:p>
    <w:p>
      <w:pPr>
        <w:pStyle w:val="Heading1"/>
        <w:spacing w:after="150" w:before="300"/>
      </w:pPr>
      <w:r>
        <w:rPr>
          <w:b/>
          <w:bCs/>
          <w:color w:val="1A1A1A"/>
          <w:sz w:val="28"/>
          <w:szCs w:val="28"/>
        </w:rPr>
        <w:t xml:space="preserve">13. Próximos Pasos y Pendientes Abiertos</w:t>
      </w:r>
    </w:p>
    <w:p>
      <w:pPr>
        <w:pStyle w:val="ListParagraph"/>
        <w:numPr>
          <w:ilvl w:val="0"/>
          <w:numId w:val="1"/>
        </w:numPr>
        <w:spacing w:after="60"/>
      </w:pPr>
      <w:r>
        <w:rPr>
          <w:sz w:val="21"/>
          <w:szCs w:val="21"/>
        </w:rPr>
        <w:t xml:space="preserve">Cotizar proveedores reales para los insumos clave (jitomate, quesos, embutidos).</w:t>
      </w:r>
    </w:p>
    <w:p>
      <w:pPr>
        <w:pStyle w:val="ListParagraph"/>
        <w:numPr>
          <w:ilvl w:val="0"/>
          <w:numId w:val="1"/>
        </w:numPr>
        <w:spacing w:after="60"/>
      </w:pPr>
      <w:r>
        <w:rPr>
          <w:sz w:val="21"/>
          <w:szCs w:val="21"/>
        </w:rPr>
        <w:t xml:space="preserve">Contratar seguro de responsabilidad civil (catering) y de equipo (horno).</w:t>
      </w:r>
    </w:p>
    <w:p>
      <w:pPr>
        <w:pStyle w:val="ListParagraph"/>
        <w:numPr>
          <w:ilvl w:val="0"/>
          <w:numId w:val="1"/>
        </w:numPr>
        <w:spacing w:after="60"/>
      </w:pPr>
      <w:r>
        <w:rPr>
          <w:sz w:val="21"/>
          <w:szCs w:val="21"/>
        </w:rPr>
        <w:t xml:space="preserve">Definir régimen fiscal y flujo de facturación.</w:t>
      </w:r>
    </w:p>
    <w:p>
      <w:pPr>
        <w:pStyle w:val="ListParagraph"/>
        <w:numPr>
          <w:ilvl w:val="0"/>
          <w:numId w:val="1"/>
        </w:numPr>
        <w:spacing w:after="60"/>
      </w:pPr>
      <w:r>
        <w:rPr>
          <w:sz w:val="21"/>
          <w:szCs w:val="21"/>
        </w:rPr>
        <w:t xml:space="preserve">Registrar la marca Mextizza ante el IMPI.</w:t>
      </w:r>
    </w:p>
    <w:p>
      <w:pPr>
        <w:pStyle w:val="ListParagraph"/>
        <w:numPr>
          <w:ilvl w:val="0"/>
          <w:numId w:val="1"/>
        </w:numPr>
        <w:spacing w:after="60"/>
      </w:pPr>
      <w:r>
        <w:rPr>
          <w:sz w:val="21"/>
          <w:szCs w:val="21"/>
        </w:rPr>
        <w:t xml:space="preserve">Definir calendario de contenido para redes sociales.</w:t>
      </w:r>
    </w:p>
    <w:p>
      <w:pPr>
        <w:pStyle w:val="ListParagraph"/>
        <w:numPr>
          <w:ilvl w:val="0"/>
          <w:numId w:val="1"/>
        </w:numPr>
        <w:spacing w:after="60"/>
      </w:pPr>
      <w:r>
        <w:rPr>
          <w:sz w:val="21"/>
          <w:szCs w:val="21"/>
        </w:rPr>
        <w:t xml:space="preserve">Decidir la estructura societaria definitiva (Sección 10) cuando los socios estén listos.</w:t>
      </w:r>
    </w:p>
    <w:p>
      <w:pPr>
        <w:pStyle w:val="ListParagraph"/>
        <w:numPr>
          <w:ilvl w:val="0"/>
          <w:numId w:val="1"/>
        </w:numPr>
        <w:spacing w:after="60"/>
      </w:pPr>
      <w:r>
        <w:rPr>
          <w:sz w:val="21"/>
          <w:szCs w:val="21"/>
        </w:rPr>
        <w:t xml:space="preserve">Capacitar a un segundo cocinero como respaldo de Ricardo para el catering.</w:t>
      </w:r>
    </w:p>
    <w:p>
      <w:pPr>
        <w:spacing w:before="400"/>
      </w:pPr>
      <w:r>
        <w:rPr>
          <w:i/>
          <w:iCs/>
          <w:color w:val="666666"/>
          <w:sz w:val="18"/>
          <w:szCs w:val="18"/>
        </w:rPr>
        <w:t xml:space="preserve">— Fin del documento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eca0f25eafb48b86a2374ca0e6fb4731f5b61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2026-07-23T22:40:07.592Z</dcterms:created>
  <dcterms:modified xsi:type="dcterms:W3CDTF">2026-07-23T22:40:07.605Z</dcterms:modified>
</cp:coreProperties>
</file>

<file path=docProps/custom.xml><?xml version="1.0" encoding="utf-8"?>
<Properties xmlns="http://schemas.openxmlformats.org/officeDocument/2006/custom-properties" xmlns:vt="http://schemas.openxmlformats.org/officeDocument/2006/docPropsVTypes"/>
</file>