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3000"/>
            <w:tcBorders>
              <w:top w:val="single" w:color="CCCCCC" w:sz="4"/>
              <w:left w:val="single" w:color="CCCCCC" w:sz="4"/>
              <w:bottom w:val="single" w:color="CCCCCC" w:sz="4"/>
              <w:right w:val="single" w:color="CCCCCC" w:sz="4"/>
            </w:tcBorders>
            <w:shd w:fill="1F3864" w:val="clear"/>
            <w:tcMar>
              <w:top w:type="dxa" w:w="100"/>
              <w:left w:type="dxa" w:w="160"/>
              <w:bottom w:type="dxa" w:w="100"/>
              <w:right w:type="dxa" w:w="160"/>
            </w:tcMar>
          </w:tcPr>
          <w:p>
            <w:r>
              <w:rPr>
                <w:rFonts w:ascii="Calibri" w:cs="Calibri" w:eastAsia="Calibri" w:hAnsi="Calibri"/>
                <w:b/>
                <w:bCs/>
                <w:color w:val="FFFFFF"/>
                <w:sz w:val="18"/>
                <w:szCs w:val="18"/>
              </w:rPr>
              <w:t xml:space="preserve">ASIGNATURA</w:t>
            </w:r>
          </w:p>
        </w:tc>
        <w:tc>
          <w:tcPr>
            <w:tcW w:type="dxa" w:w="6746"/>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rFonts w:ascii="Calibri" w:cs="Calibri" w:eastAsia="Calibri" w:hAnsi="Calibri"/>
                <w:sz w:val="20"/>
                <w:szCs w:val="20"/>
              </w:rPr>
              <w:t xml:space="preserve">Inteligencia Artificial Aplicada a CC</w:t>
            </w:r>
          </w:p>
        </w:tc>
      </w:tr>
      <w:tr>
        <w:tc>
          <w:tcPr>
            <w:tcW w:type="dxa" w:w="3000"/>
            <w:tcBorders>
              <w:top w:val="single" w:color="CCCCCC" w:sz="4"/>
              <w:left w:val="single" w:color="CCCCCC" w:sz="4"/>
              <w:bottom w:val="single" w:color="CCCCCC" w:sz="4"/>
              <w:right w:val="single" w:color="CCCCCC" w:sz="4"/>
            </w:tcBorders>
            <w:shd w:fill="2E74B5" w:val="clear"/>
            <w:tcMar>
              <w:top w:type="dxa" w:w="100"/>
              <w:left w:type="dxa" w:w="160"/>
              <w:bottom w:type="dxa" w:w="100"/>
              <w:right w:type="dxa" w:w="160"/>
            </w:tcMar>
          </w:tcPr>
          <w:p>
            <w:r>
              <w:rPr>
                <w:rFonts w:ascii="Calibri" w:cs="Calibri" w:eastAsia="Calibri" w:hAnsi="Calibri"/>
                <w:b/>
                <w:bCs/>
                <w:color w:val="FFFFFF"/>
                <w:sz w:val="18"/>
                <w:szCs w:val="18"/>
              </w:rPr>
              <w:t xml:space="preserve">ALUMNO/A</w:t>
            </w:r>
          </w:p>
        </w:tc>
        <w:tc>
          <w:tcPr>
            <w:tcW w:type="dxa" w:w="6746"/>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rFonts w:ascii="Calibri" w:cs="Calibri" w:eastAsia="Calibri" w:hAnsi="Calibri"/>
                <w:sz w:val="20"/>
                <w:szCs w:val="20"/>
              </w:rPr>
              <w:t xml:space="preserve">Apellidos: ________________  Nombre: ________________</w:t>
            </w:r>
          </w:p>
        </w:tc>
      </w:tr>
      <w:tr>
        <w:tc>
          <w:tcPr>
            <w:tcW w:type="dxa" w:w="3000"/>
            <w:tcBorders>
              <w:top w:val="single" w:color="CCCCCC" w:sz="4"/>
              <w:left w:val="single" w:color="CCCCCC" w:sz="4"/>
              <w:bottom w:val="single" w:color="CCCCCC" w:sz="4"/>
              <w:right w:val="single" w:color="CCCCCC" w:sz="4"/>
            </w:tcBorders>
            <w:shd w:fill="2E74B5" w:val="clear"/>
            <w:tcMar>
              <w:top w:type="dxa" w:w="100"/>
              <w:left w:type="dxa" w:w="160"/>
              <w:bottom w:type="dxa" w:w="100"/>
              <w:right w:type="dxa" w:w="160"/>
            </w:tcMar>
          </w:tcPr>
          <w:p>
            <w:r>
              <w:rPr>
                <w:rFonts w:ascii="Calibri" w:cs="Calibri" w:eastAsia="Calibri" w:hAnsi="Calibri"/>
                <w:b/>
                <w:bCs/>
                <w:color w:val="FFFFFF"/>
                <w:sz w:val="18"/>
                <w:szCs w:val="18"/>
              </w:rPr>
              <w:t xml:space="preserve">FECHA</w:t>
            </w:r>
          </w:p>
        </w:tc>
        <w:tc>
          <w:tcPr>
            <w:tcW w:type="dxa" w:w="6746"/>
            <w:tcBorders>
              <w:top w:val="single" w:color="CCCCCC" w:sz="4"/>
              <w:left w:val="single" w:color="CCCCCC" w:sz="4"/>
              <w:bottom w:val="single" w:color="CCCCCC" w:sz="4"/>
              <w:right w:val="single" w:color="CCCCCC" w:sz="4"/>
            </w:tcBorders>
            <w:tcMar>
              <w:top w:type="dxa" w:w="100"/>
              <w:left w:type="dxa" w:w="160"/>
              <w:bottom w:type="dxa" w:w="100"/>
              <w:right w:type="dxa" w:w="160"/>
            </w:tcMar>
          </w:tcPr>
          <w:p>
            <w:r>
              <w:rPr>
                <w:rFonts w:ascii="Calibri" w:cs="Calibri" w:eastAsia="Calibri" w:hAnsi="Calibri"/>
                <w:sz w:val="20"/>
                <w:szCs w:val="20"/>
              </w:rPr>
              <w:t xml:space="preserve">_____ / _____ / 2026</w:t>
            </w:r>
          </w:p>
        </w:tc>
      </w:tr>
    </w:tbl>
    <w:p>
      <w:pPr>
        <w:spacing w:after="40" w:before="160"/>
        <w:jc w:val="center"/>
      </w:pPr>
      <w:r>
        <w:rPr>
          <w:rFonts w:ascii="Calibri" w:cs="Calibri" w:eastAsia="Calibri" w:hAnsi="Calibri"/>
          <w:b/>
          <w:bCs/>
          <w:color w:val="1F3864"/>
          <w:sz w:val="32"/>
          <w:szCs w:val="32"/>
        </w:rPr>
        <w:t xml:space="preserve">Actividad 2</w:t>
      </w:r>
    </w:p>
    <w:p>
      <w:pPr>
        <w:spacing w:after="120"/>
        <w:jc w:val="center"/>
      </w:pPr>
      <w:r>
        <w:rPr>
          <w:rFonts w:ascii="Calibri" w:cs="Calibri" w:eastAsia="Calibri" w:hAnsi="Calibri"/>
          <w:color w:val="2E74B5"/>
          <w:sz w:val="22"/>
          <w:szCs w:val="22"/>
        </w:rPr>
        <w:t xml:space="preserve">Análisis de requisitos para la aplicabilidad de la IA</w:t>
      </w:r>
    </w:p>
    <w:p>
      <w:pPr>
        <w:pStyle w:val="Heading1"/>
        <w:spacing w:after="60" w:before="160"/>
      </w:pPr>
      <w:r>
        <w:rPr>
          <w:rFonts w:ascii="Calibri" w:cs="Calibri" w:eastAsia="Calibri" w:hAnsi="Calibri"/>
          <w:b/>
          <w:bCs/>
          <w:color w:val="1F3864"/>
          <w:sz w:val="26"/>
          <w:szCs w:val="26"/>
        </w:rPr>
        <w:t xml:space="preserve">1. Introducción</w:t>
      </w:r>
    </w:p>
    <w:p>
      <w:pPr>
        <w:spacing w:after="60" w:line="360"/>
        <w:jc w:val="both"/>
      </w:pPr>
      <w:r>
        <w:rPr>
          <w:rFonts w:ascii="Calibri" w:cs="Calibri" w:eastAsia="Calibri" w:hAnsi="Calibri"/>
          <w:sz w:val="24"/>
          <w:szCs w:val="24"/>
        </w:rPr>
        <w:t xml:space="preserve">Cuando hablamos de los requisitos de aplicabilidad de un sistema de IA, en el fondo nos referimos a todas las condiciones que se tienen que dar para que el sistema funcione de verdad en producción y no se quede en un experimento bonito. Estamos hablando de cosas muy distintas: tener los datos, tener la infraestructura, que la organización este preparada, que sea rentable y por supuesto que cumpla con la regulación. Es importante analizarlos antes porque la mayoría de los proyectos empresariales de ia no llega ni a producción, McKinsey calcula que solo un tercio de las organizaciones saca valor de verdad de sus iniciativas (McKinsey &amp; Company, 2024) y Gartner ya avisaba en 2018 de que el 85% de los proyectos se quedaban por el camino. En esta actividad miro dos casos bastante distintos, uno mas físico y otro puramente software, para ver cómo cambian los requisitos según el contexto.</w:t>
      </w:r>
    </w:p>
    <w:p>
      <w:pPr>
        <w:pStyle w:val="Heading1"/>
        <w:spacing w:after="60" w:before="160"/>
      </w:pPr>
      <w:r>
        <w:rPr>
          <w:rFonts w:ascii="Calibri" w:cs="Calibri" w:eastAsia="Calibri" w:hAnsi="Calibri"/>
          <w:b/>
          <w:bCs/>
          <w:color w:val="1F3864"/>
          <w:sz w:val="26"/>
          <w:szCs w:val="26"/>
        </w:rPr>
        <w:t xml:space="preserve">2. Descripción de los casos de uso</w:t>
      </w:r>
    </w:p>
    <w:p>
      <w:pPr>
        <w:pStyle w:val="Heading2"/>
        <w:spacing w:after="40" w:before="120"/>
      </w:pPr>
      <w:r>
        <w:rPr>
          <w:rFonts w:ascii="Calibri" w:cs="Calibri" w:eastAsia="Calibri" w:hAnsi="Calibri"/>
          <w:b/>
          <w:bCs/>
          <w:color w:val="2E74B5"/>
          <w:sz w:val="24"/>
          <w:szCs w:val="24"/>
        </w:rPr>
        <w:t xml:space="preserve">Caso A: Cosecha automatizada de frutos maduros con tractor</w:t>
      </w:r>
    </w:p>
    <w:p>
      <w:pPr>
        <w:spacing w:after="60" w:line="360"/>
        <w:jc w:val="both"/>
      </w:pPr>
      <w:r>
        <w:rPr>
          <w:rFonts w:ascii="Calibri" w:cs="Calibri" w:eastAsia="Calibri" w:hAnsi="Calibri"/>
          <w:sz w:val="24"/>
          <w:szCs w:val="24"/>
        </w:rPr>
        <w:t xml:space="preserve">Aquí lo que tenemos es un tractor o una plataforma móvil autónoma con visión por computador, LIDAR y GPS RTK, que va por las hileras del cultivo, va viendo qué frutos están ya maduros y los recoge con un brazo robótico, sin tractorista subido encima. Lo que se intenta resolver son básicamente dos problemas que tiene el sector: que cada vez es mas difícil encontrar gente para la temporada de cosecha, especialmente en la Europa del sur (FAO, 2022), y que cuando se te pasa el punto óptimo de maduración pierdes producto y dinero. Empresas como John Deere ya tienen al mercado tractores totalmente autónomos (Deere &amp; Company, 2024) y hay grupos de investigación, como el de la Universidad de Guelph, que están demostrando que la cosecha robótica funciona ya bastante bien en invernaderos de tomate (Haggag et al., 2024).</w:t>
      </w:r>
    </w:p>
    <w:p>
      <w:pPr>
        <w:pStyle w:val="Heading2"/>
        <w:spacing w:after="40" w:before="120"/>
      </w:pPr>
      <w:r>
        <w:rPr>
          <w:rFonts w:ascii="Calibri" w:cs="Calibri" w:eastAsia="Calibri" w:hAnsi="Calibri"/>
          <w:b/>
          <w:bCs/>
          <w:color w:val="2E74B5"/>
          <w:sz w:val="24"/>
          <w:szCs w:val="24"/>
        </w:rPr>
        <w:t xml:space="preserve">Caso B: Sistema de matching entre candidatos y oferta de empleo</w:t>
      </w:r>
    </w:p>
    <w:p>
      <w:pPr>
        <w:spacing w:after="60" w:line="360"/>
        <w:jc w:val="both"/>
      </w:pPr>
      <w:r>
        <w:rPr>
          <w:rFonts w:ascii="Calibri" w:cs="Calibri" w:eastAsia="Calibri" w:hAnsi="Calibri"/>
          <w:sz w:val="24"/>
          <w:szCs w:val="24"/>
        </w:rPr>
        <w:t xml:space="preserve">En este caso lo que hace el sistema es una cosa puramente software: coge la descripción de una oferta de empleo, la cruza con una base de datos enorme de cvs y perfiles profesionales y le devuelve al recruiter una lista de candidatos ordenados por lo bien que encajan, con su score y todo. Lo usa la empresa, normalmente RRHH, y el problema que resuelve es básicamente reducir el tiempo y el coste por contratación, ademas de poder ver muchos mas candidatos de los que un humano vería a mano (SHRM, 2022). Hay un montón de productos comerciales como LinkedIn Recruiter, HireVue, iCIMS o Pymetrics, que utilizan modelos de procesamiento de lenguaje natural junto con modelos de ranking (Tambe et al., 2019).</w:t>
      </w:r>
    </w:p>
    <w:p>
      <w:pPr>
        <w:pStyle w:val="Heading1"/>
        <w:spacing w:after="60" w:before="160"/>
      </w:pPr>
      <w:r>
        <w:rPr>
          <w:rFonts w:ascii="Calibri" w:cs="Calibri" w:eastAsia="Calibri" w:hAnsi="Calibri"/>
          <w:b/>
          <w:bCs/>
          <w:color w:val="1F3864"/>
          <w:sz w:val="26"/>
          <w:szCs w:val="26"/>
        </w:rPr>
        <w:t xml:space="preserve">3. Análisis de requisitos por dimensiones</w:t>
      </w:r>
    </w:p>
    <w:p>
      <w:pPr>
        <w:pStyle w:val="Heading2"/>
        <w:spacing w:after="40" w:before="120"/>
      </w:pPr>
      <w:r>
        <w:rPr>
          <w:rFonts w:ascii="Calibri" w:cs="Calibri" w:eastAsia="Calibri" w:hAnsi="Calibri"/>
          <w:b/>
          <w:bCs/>
          <w:color w:val="2E74B5"/>
          <w:sz w:val="24"/>
          <w:szCs w:val="24"/>
        </w:rPr>
        <w:t xml:space="preserve">3.1. Datos necesarios</w:t>
      </w:r>
    </w:p>
    <w:p>
      <w:pPr>
        <w:spacing w:after="0" w:before="60"/>
      </w:pPr>
      <w:r>
        <w:rPr>
          <w:rFonts w:ascii="Calibri" w:cs="Calibri" w:eastAsia="Calibri" w:hAnsi="Calibri"/>
          <w:b/>
          <w:bCs/>
          <w:color w:val="404040"/>
          <w:sz w:val="24"/>
          <w:szCs w:val="24"/>
        </w:rPr>
        <w:t xml:space="preserve">Caso A — Cosecha automatizada</w:t>
      </w:r>
    </w:p>
    <w:p>
      <w:pPr>
        <w:spacing w:after="60" w:line="360"/>
        <w:jc w:val="both"/>
      </w:pPr>
      <w:r>
        <w:rPr>
          <w:rFonts w:ascii="Calibri" w:cs="Calibri" w:eastAsia="Calibri" w:hAnsi="Calibri"/>
          <w:sz w:val="24"/>
          <w:szCs w:val="24"/>
        </w:rPr>
        <w:t xml:space="preserve">El modelo de visión necesita una cantidad bestial de imágenes y vídeo etiquetado del fruto concreto en sus distintos estados de maduración, con luz de mañana, de tarde, contraluz, hojas tapando, distintas variedades, etc. Hay estudios recientes que muestran que en cuanto cambias el ángulo de la cámara o la iluminación el modelo deja de generalizar bien y se cae mucho la precisión, así que toca ir a la finca a recolectar datos casi para cada caso (Haggag et al., 2024). Estos datos publicos directamente no existen y los tienes que generar tu campo a campo, que es probablemente el cuello de botella mas grande de todos. Y aparte de las imágenes hace falta la telemetría del tractor (GPS RTK, IMU), los mapas de la parcela e información agronómica básica para que el sistema sepa por dónde ir y qué priorizar.</w:t>
      </w:r>
    </w:p>
    <w:p>
      <w:pPr>
        <w:spacing w:after="0" w:before="60"/>
      </w:pPr>
      <w:r>
        <w:rPr>
          <w:rFonts w:ascii="Calibri" w:cs="Calibri" w:eastAsia="Calibri" w:hAnsi="Calibri"/>
          <w:b/>
          <w:bCs/>
          <w:color w:val="404040"/>
          <w:sz w:val="24"/>
          <w:szCs w:val="24"/>
        </w:rPr>
        <w:t xml:space="preserve">Caso B — Matching de empleo</w:t>
      </w:r>
    </w:p>
    <w:p>
      <w:pPr>
        <w:spacing w:after="60" w:line="360"/>
        <w:jc w:val="both"/>
      </w:pPr>
      <w:r>
        <w:rPr>
          <w:rFonts w:ascii="Calibri" w:cs="Calibri" w:eastAsia="Calibri" w:hAnsi="Calibri"/>
          <w:sz w:val="24"/>
          <w:szCs w:val="24"/>
        </w:rPr>
        <w:t xml:space="preserve">Aquí lo que se entrena son CVs históricos, descripciones de oferta, históricos de contrataciones y, en las versiones mas serias, también evaluaciones de rendimiento de la gente que ya esta dentro. La mayoría de estos datos si existen, los tienen las empresas en sus ATS o los saca la herramienta de LinkedIn, pero son datos personales y en muchos casos sensibles (Art. 9 RGPD) y arrastran muchos sesgos historicos: si tu empresa siempre ha contratado hombres para ingeniería, el modelo lo aprende y lo reproduce sin darse cuenta, que es justo lo que le pasó a Amazon (Dastin, 2018).</w:t>
      </w:r>
    </w:p>
    <w:p>
      <w:pPr>
        <w:pStyle w:val="Heading2"/>
        <w:spacing w:after="40" w:before="120"/>
      </w:pPr>
      <w:r>
        <w:rPr>
          <w:rFonts w:ascii="Calibri" w:cs="Calibri" w:eastAsia="Calibri" w:hAnsi="Calibri"/>
          <w:b/>
          <w:bCs/>
          <w:color w:val="2E74B5"/>
          <w:sz w:val="24"/>
          <w:szCs w:val="24"/>
        </w:rPr>
        <w:t xml:space="preserve">3.2. Infraestructura tecnológica requerida</w:t>
      </w:r>
    </w:p>
    <w:p>
      <w:pPr>
        <w:spacing w:after="0" w:before="60"/>
      </w:pPr>
      <w:r>
        <w:rPr>
          <w:rFonts w:ascii="Calibri" w:cs="Calibri" w:eastAsia="Calibri" w:hAnsi="Calibri"/>
          <w:b/>
          <w:bCs/>
          <w:color w:val="404040"/>
          <w:sz w:val="24"/>
          <w:szCs w:val="24"/>
        </w:rPr>
        <w:t xml:space="preserve">Caso A — Cosecha automatizada</w:t>
      </w:r>
    </w:p>
    <w:p>
      <w:pPr>
        <w:spacing w:after="60" w:line="360"/>
        <w:jc w:val="both"/>
      </w:pPr>
      <w:r>
        <w:rPr>
          <w:rFonts w:ascii="Calibri" w:cs="Calibri" w:eastAsia="Calibri" w:hAnsi="Calibri"/>
          <w:sz w:val="24"/>
          <w:szCs w:val="24"/>
        </w:rPr>
        <w:t xml:space="preserve">Hace falta hardware bastante específico y caro: cámaras RGB y multiespectrales, LIDAR, GPS RTK con precisión de centímetros, IMU, una GPU embebida que sea capaz de hacer inferencia en tiempo real, baterías o un motor híbrido y los brazos robóticos con sensores de fuerza para no destrozar la fruta (Bondi et al., 2023). El otro problema gordo es la conectividad 4G o 5G en el campo, que muchas veces es donde se cae todo, la cobertura en zona rural es bastante desigual incluso en países desarrollados. Y todo esto necesita ademas un back-office en cloud para reentrenar los modelos y mandar las actualizaciones OTA a la flota.</w:t>
      </w:r>
    </w:p>
    <w:p>
      <w:pPr>
        <w:spacing w:after="0" w:before="60"/>
      </w:pPr>
      <w:r>
        <w:rPr>
          <w:rFonts w:ascii="Calibri" w:cs="Calibri" w:eastAsia="Calibri" w:hAnsi="Calibri"/>
          <w:b/>
          <w:bCs/>
          <w:color w:val="404040"/>
          <w:sz w:val="24"/>
          <w:szCs w:val="24"/>
        </w:rPr>
        <w:t xml:space="preserve">Caso B — Matching de empleo</w:t>
      </w:r>
    </w:p>
    <w:p>
      <w:pPr>
        <w:spacing w:after="60" w:line="360"/>
        <w:jc w:val="both"/>
      </w:pPr>
      <w:r>
        <w:rPr>
          <w:rFonts w:ascii="Calibri" w:cs="Calibri" w:eastAsia="Calibri" w:hAnsi="Calibri"/>
          <w:sz w:val="24"/>
          <w:szCs w:val="24"/>
        </w:rPr>
        <w:t xml:space="preserve">Aquí la infraestructura es prácticamente toda software y casi siempre en cloud (AWS, Azure o GCP). Lo que se necesita son modelos de NLP basados en transformers, que son la base de casi todo lo de IA generativa de hoy (Vaswani et al., 2017), un buscador vectorial para los embeddings, bases de datos de perfiles y oferta, y luego sobre todo APIs de integración con LinkedIn, InfoJobs, Indeed y con los ATS de las empresas tipo Workday, Greenhouse o SAP SuccessFactors. El CAPEX es prácticamente cero y el OPEX se queda en coste por usuario al mes.</w:t>
      </w:r>
    </w:p>
    <w:p>
      <w:pPr>
        <w:pStyle w:val="Heading2"/>
        <w:spacing w:after="40" w:before="120"/>
      </w:pPr>
      <w:r>
        <w:rPr>
          <w:rFonts w:ascii="Calibri" w:cs="Calibri" w:eastAsia="Calibri" w:hAnsi="Calibri"/>
          <w:b/>
          <w:bCs/>
          <w:color w:val="2E74B5"/>
          <w:sz w:val="24"/>
          <w:szCs w:val="24"/>
        </w:rPr>
        <w:t xml:space="preserve">3.3. Aspectos organizativos y de negocio</w:t>
      </w:r>
    </w:p>
    <w:p>
      <w:pPr>
        <w:spacing w:after="0" w:before="60"/>
      </w:pPr>
      <w:r>
        <w:rPr>
          <w:rFonts w:ascii="Calibri" w:cs="Calibri" w:eastAsia="Calibri" w:hAnsi="Calibri"/>
          <w:b/>
          <w:bCs/>
          <w:color w:val="404040"/>
          <w:sz w:val="24"/>
          <w:szCs w:val="24"/>
        </w:rPr>
        <w:t xml:space="preserve">Caso A — Cosecha automatizada</w:t>
      </w:r>
    </w:p>
    <w:p>
      <w:pPr>
        <w:spacing w:after="60" w:line="360"/>
        <w:jc w:val="both"/>
      </w:pPr>
      <w:r>
        <w:rPr>
          <w:rFonts w:ascii="Calibri" w:cs="Calibri" w:eastAsia="Calibri" w:hAnsi="Calibri"/>
          <w:sz w:val="24"/>
          <w:szCs w:val="24"/>
        </w:rPr>
        <w:t xml:space="preserve">Lo que cambia organizativamente es bastante: el tractorista deja de manejar la máquina y pasa a supervisar varias en remoto, eso exige formación nueva y un perfil mas técnico que el que hay habitualmente en el campo. Ademas hay que integrar la cosa con el ERP agrícola y con la planificación de la campaña, y aquí está el problema: la mayoría de las explotaciones agrarias en España son pequeñas y familiares, lo que hace que el CAPEX se les haga muy cuesta arriba y la adopción tecnológica vaya muy lenta (MAPA, 2020). Por eso lo que se está imponiendo realmente no es la compra del tractor, es el modelo de cosecha como servicio, pagas por hectárea cosechada.</w:t>
      </w:r>
    </w:p>
    <w:p>
      <w:pPr>
        <w:spacing w:after="0" w:before="60"/>
      </w:pPr>
      <w:r>
        <w:rPr>
          <w:rFonts w:ascii="Calibri" w:cs="Calibri" w:eastAsia="Calibri" w:hAnsi="Calibri"/>
          <w:b/>
          <w:bCs/>
          <w:color w:val="404040"/>
          <w:sz w:val="24"/>
          <w:szCs w:val="24"/>
        </w:rPr>
        <w:t xml:space="preserve">Caso B — Matching de empleo</w:t>
      </w:r>
    </w:p>
    <w:p>
      <w:pPr>
        <w:spacing w:after="60" w:line="360"/>
        <w:jc w:val="both"/>
      </w:pPr>
      <w:r>
        <w:rPr>
          <w:rFonts w:ascii="Calibri" w:cs="Calibri" w:eastAsia="Calibri" w:hAnsi="Calibri"/>
          <w:sz w:val="24"/>
          <w:szCs w:val="24"/>
        </w:rPr>
        <w:t xml:space="preserve">El reclutador pasa de filtrar cvs a mano a validar y entrevistar, en teoría su trabajo se vuelve mas interesante y de mayor valor añadido, pero a la vez obliga a redefinir los KPIs de RRHH (tiempo de contratación, calidad de la contratación, diversidad). La organización tiene que montar un comité de IA, definir políticas de gobernanza, avisar a los candidatos de que se usa IA en el proceso y ademas formar a RRHH en alfabetización algorítmica, que es algo que el Reglamento de IA exige por escrito en su articulo 4 (Comisión Europea, 2024).</w:t>
      </w:r>
    </w:p>
    <w:p>
      <w:pPr>
        <w:pStyle w:val="Heading2"/>
        <w:spacing w:after="40" w:before="120"/>
      </w:pPr>
      <w:r>
        <w:rPr>
          <w:rFonts w:ascii="Calibri" w:cs="Calibri" w:eastAsia="Calibri" w:hAnsi="Calibri"/>
          <w:b/>
          <w:bCs/>
          <w:color w:val="2E74B5"/>
          <w:sz w:val="24"/>
          <w:szCs w:val="24"/>
        </w:rPr>
        <w:t xml:space="preserve">3.4. Aspectos legales y éticos</w:t>
      </w:r>
    </w:p>
    <w:p>
      <w:pPr>
        <w:spacing w:after="0" w:before="60"/>
      </w:pPr>
      <w:r>
        <w:rPr>
          <w:rFonts w:ascii="Calibri" w:cs="Calibri" w:eastAsia="Calibri" w:hAnsi="Calibri"/>
          <w:b/>
          <w:bCs/>
          <w:color w:val="404040"/>
          <w:sz w:val="24"/>
          <w:szCs w:val="24"/>
        </w:rPr>
        <w:t xml:space="preserve">Caso A — Cosecha automatizada</w:t>
      </w:r>
    </w:p>
    <w:p>
      <w:pPr>
        <w:spacing w:after="60" w:line="360"/>
        <w:jc w:val="both"/>
      </w:pPr>
      <w:r>
        <w:rPr>
          <w:rFonts w:ascii="Calibri" w:cs="Calibri" w:eastAsia="Calibri" w:hAnsi="Calibri"/>
          <w:sz w:val="24"/>
          <w:szCs w:val="24"/>
        </w:rPr>
        <w:t xml:space="preserve">Aquí lo primero que aplica es el nuevo Reglamento de Máquinas, que justo regula la maquinaria con comportamiento autónomo y obliga a una evaluación de conformidad para los componentes de seguridad que lleven IA dentro (Parlamento Europeo y Consejo, 2023). La responsabilidad civil cuando la máquina causa un accidente es un tema delicado, no esta del todo claro si responde el operador, el fabricante o el integrador, y la propuesta de Directiva de responsabilidad por IA mete presunciones de causalidad para que al perjudicado le resulte mas fácil reclamar. En el Reglamento de IA este caso por defecto no es de alto riesgo, pero la maquinaria autónoma cuando hace funciones de seguridad si entra en el Anexo I. Y luego está el debate ético, que aquí es básicamente el efecto que esto tiene sobre el empleo agrícola estacional (FAO, 2022).</w:t>
      </w:r>
    </w:p>
    <w:p>
      <w:pPr>
        <w:spacing w:after="0" w:before="60"/>
      </w:pPr>
      <w:r>
        <w:rPr>
          <w:rFonts w:ascii="Calibri" w:cs="Calibri" w:eastAsia="Calibri" w:hAnsi="Calibri"/>
          <w:b/>
          <w:bCs/>
          <w:color w:val="404040"/>
          <w:sz w:val="24"/>
          <w:szCs w:val="24"/>
        </w:rPr>
        <w:t xml:space="preserve">Caso B — Matching de empleo</w:t>
      </w:r>
    </w:p>
    <w:p>
      <w:pPr>
        <w:spacing w:after="60" w:line="360"/>
        <w:jc w:val="both"/>
      </w:pPr>
      <w:r>
        <w:rPr>
          <w:rFonts w:ascii="Calibri" w:cs="Calibri" w:eastAsia="Calibri" w:hAnsi="Calibri"/>
          <w:sz w:val="24"/>
          <w:szCs w:val="24"/>
        </w:rPr>
        <w:t xml:space="preserve">Este caso es el ejemplo de manual de “alto riesgo” en el Reglamento de IA, está literalmente en el Anexo III, punto 4: empleo y gestión de trabajadores, lo que significa que obliga a evaluación de conformidad, registro en la base de datos europea, gestión del riesgo y supervisión humana (Comisión Europea, 2024). Y por encima de eso aplica el RGPD: hace falta una base legal, minimización de datos y, sobre todo, ojo con el articulo 22 que prohíbe en general las decisiones íntegramente automatizadas. En España ademas hay que tener en cuenta las obligaciones de información del Estatuto de los Trabajadores tras la Ley Rider (Jefatura del Estado, 2021). El caso clásico de lo que puede salir mal es el de Amazon en 2018, que tuvo que retirar su sistema interno de cribado de cvs porque estaba discriminando a las mujeres en perfiles técnicos.</w:t>
      </w:r>
    </w:p>
    <w:p>
      <w:pPr>
        <w:pStyle w:val="Heading2"/>
        <w:spacing w:after="40" w:before="120"/>
      </w:pPr>
      <w:r>
        <w:rPr>
          <w:rFonts w:ascii="Calibri" w:cs="Calibri" w:eastAsia="Calibri" w:hAnsi="Calibri"/>
          <w:b/>
          <w:bCs/>
          <w:color w:val="2E74B5"/>
          <w:sz w:val="24"/>
          <w:szCs w:val="24"/>
        </w:rPr>
        <w:t xml:space="preserve">3.5. Viabilidad económica</w:t>
      </w:r>
    </w:p>
    <w:p>
      <w:pPr>
        <w:spacing w:after="0" w:before="60"/>
      </w:pPr>
      <w:r>
        <w:rPr>
          <w:rFonts w:ascii="Calibri" w:cs="Calibri" w:eastAsia="Calibri" w:hAnsi="Calibri"/>
          <w:b/>
          <w:bCs/>
          <w:color w:val="404040"/>
          <w:sz w:val="24"/>
          <w:szCs w:val="24"/>
        </w:rPr>
        <w:t xml:space="preserve">Caso A — Cosecha automatizada</w:t>
      </w:r>
    </w:p>
    <w:p>
      <w:pPr>
        <w:spacing w:after="60" w:line="360"/>
        <w:jc w:val="both"/>
      </w:pPr>
      <w:r>
        <w:rPr>
          <w:rFonts w:ascii="Calibri" w:cs="Calibri" w:eastAsia="Calibri" w:hAnsi="Calibri"/>
          <w:sz w:val="24"/>
          <w:szCs w:val="24"/>
        </w:rPr>
        <w:t xml:space="preserve">Aquí el CAPEX es muy alto, un tractor autónomo de gama alta tipo John Deere 9RX se va por encima de los 700.000 dólares según el precio publico del fabricante (Deere &amp; Company, 2024). El ahorro está sobre todo en la mano de obra estacional, que cada vez es mas cara y mas escasa en la UE, y en cosechar en el momento óptimo, que reduce las pérdidas postcosecha. El ROI siendo realistas está entre 5 y 7 años y solo cierra los números en explotaciones grandes, para una pyme agrícola lo único que cuadra es el modelo de cosecha como servicio pagado por hectárea.</w:t>
      </w:r>
    </w:p>
    <w:p>
      <w:pPr>
        <w:spacing w:after="0" w:before="60"/>
      </w:pPr>
      <w:r>
        <w:rPr>
          <w:rFonts w:ascii="Calibri" w:cs="Calibri" w:eastAsia="Calibri" w:hAnsi="Calibri"/>
          <w:b/>
          <w:bCs/>
          <w:color w:val="404040"/>
          <w:sz w:val="24"/>
          <w:szCs w:val="24"/>
        </w:rPr>
        <w:t xml:space="preserve">Caso B — Matching de empleo</w:t>
      </w:r>
    </w:p>
    <w:p>
      <w:pPr>
        <w:spacing w:after="60" w:line="360"/>
        <w:jc w:val="both"/>
      </w:pPr>
      <w:r>
        <w:rPr>
          <w:rFonts w:ascii="Calibri" w:cs="Calibri" w:eastAsia="Calibri" w:hAnsi="Calibri"/>
          <w:sz w:val="24"/>
          <w:szCs w:val="24"/>
        </w:rPr>
        <w:t xml:space="preserve">Aquí la viabilidad económica es muchísimo mejor. El modelo típico es SaaS, se paga por usuario al mes o por puesto, y el ROI se nota en semanas o pocos meses por la reducción del coste por contratación y del time-to-hire (SHRM, 2022). La adopción de la IA generativa en RRHH se está acelerando justo por eso, porque el CAPEX inicial es bajísimo y ademas los beneficios económicos ya están bastante bien documentados en la literatura de gestión de personas con IA (Tambe et al., 2019).</w:t>
      </w:r>
    </w:p>
    <w:p>
      <w:pPr>
        <w:pStyle w:val="Heading2"/>
        <w:spacing w:after="40" w:before="120"/>
      </w:pPr>
      <w:r>
        <w:rPr>
          <w:rFonts w:ascii="Calibri" w:cs="Calibri" w:eastAsia="Calibri" w:hAnsi="Calibri"/>
          <w:b/>
          <w:bCs/>
          <w:color w:val="2E74B5"/>
          <w:sz w:val="24"/>
          <w:szCs w:val="24"/>
        </w:rPr>
        <w:t xml:space="preserve">3.6. Impacto en los procesos existentes</w:t>
      </w:r>
    </w:p>
    <w:p>
      <w:pPr>
        <w:spacing w:after="0" w:before="60"/>
      </w:pPr>
      <w:r>
        <w:rPr>
          <w:rFonts w:ascii="Calibri" w:cs="Calibri" w:eastAsia="Calibri" w:hAnsi="Calibri"/>
          <w:b/>
          <w:bCs/>
          <w:color w:val="404040"/>
          <w:sz w:val="24"/>
          <w:szCs w:val="24"/>
        </w:rPr>
        <w:t xml:space="preserve">Caso A — Cosecha automatizada</w:t>
      </w:r>
    </w:p>
    <w:p>
      <w:pPr>
        <w:spacing w:after="60" w:line="360"/>
        <w:jc w:val="both"/>
      </w:pPr>
      <w:r>
        <w:rPr>
          <w:rFonts w:ascii="Calibri" w:cs="Calibri" w:eastAsia="Calibri" w:hAnsi="Calibri"/>
          <w:sz w:val="24"/>
          <w:szCs w:val="24"/>
        </w:rPr>
        <w:t xml:space="preserve">La cosecha es un proceso con una ventana de tiempo muy corta, si el sistema te falla justo en plena campaña la pérdida de producto puede ser muy bestia, casi total (Van De Walker et al., 2021). Por eso el despliegue realista no es uno de sustitución total, es mas bien de convivencia entre humanos y IA durante bastantes campañas, con cuadrillas humanas de respaldo y con el operador haciendo de supervisor remoto de varias máquinas a la vez.</w:t>
      </w:r>
    </w:p>
    <w:p>
      <w:pPr>
        <w:spacing w:after="0" w:before="60"/>
      </w:pPr>
      <w:r>
        <w:rPr>
          <w:rFonts w:ascii="Calibri" w:cs="Calibri" w:eastAsia="Calibri" w:hAnsi="Calibri"/>
          <w:b/>
          <w:bCs/>
          <w:color w:val="404040"/>
          <w:sz w:val="24"/>
          <w:szCs w:val="24"/>
        </w:rPr>
        <w:t xml:space="preserve">Caso B — Matching de empleo</w:t>
      </w:r>
    </w:p>
    <w:p>
      <w:pPr>
        <w:spacing w:after="60" w:line="360"/>
        <w:jc w:val="both"/>
      </w:pPr>
      <w:r>
        <w:rPr>
          <w:rFonts w:ascii="Calibri" w:cs="Calibri" w:eastAsia="Calibri" w:hAnsi="Calibri"/>
          <w:sz w:val="24"/>
          <w:szCs w:val="24"/>
        </w:rPr>
        <w:t xml:space="preserve">Aquí el riesgo operativo principal son los falsos negativos: candidatos buenos que el sistema descarta por sesgo o por una palabra clave que no aparece en el cv, sin que el recruiter llegue a ver el cv siquiera (Köchling &amp; Wehner, 2020). Por eso, y porque ademas lo exige el articulo 14 del Reglamento de IA, el diseño correcto siempre es human-in-the-loop, la IA propone un ranking y una explicación pero la decisión final tiene que ser humana, y luego hay que hacer auditorías periódicas de equidad (Comisión Europea, 2024).</w:t>
      </w:r>
    </w:p>
    <w:p>
      <w:pPr>
        <w:pStyle w:val="Heading1"/>
        <w:spacing w:after="60" w:before="160"/>
      </w:pPr>
      <w:r>
        <w:rPr>
          <w:rFonts w:ascii="Calibri" w:cs="Calibri" w:eastAsia="Calibri" w:hAnsi="Calibri"/>
          <w:b/>
          <w:bCs/>
          <w:color w:val="1F3864"/>
          <w:sz w:val="26"/>
          <w:szCs w:val="26"/>
        </w:rPr>
        <w:t xml:space="preserve">4. Tabla comparativa resumen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3723"/>
        <w:gridCol w:w="3723"/>
      </w:tblGrid>
      <w:tr>
        <w:tc>
          <w:tcPr>
            <w:tcW w:type="dxa" w:w="2300"/>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tcPr>
          <w:p>
            <w:pPr>
              <w:spacing w:line="240"/>
            </w:pPr>
            <w:r>
              <w:rPr>
                <w:rFonts w:ascii="Calibri" w:cs="Calibri" w:eastAsia="Calibri" w:hAnsi="Calibri"/>
                <w:b/>
                <w:bCs/>
                <w:color w:val="FFFFFF"/>
                <w:sz w:val="18"/>
                <w:szCs w:val="18"/>
              </w:rPr>
              <w:t xml:space="preserve">Dimensión</w:t>
            </w:r>
          </w:p>
        </w:tc>
        <w:tc>
          <w:tcPr>
            <w:tcW w:type="dxa" w:w="3723"/>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tcPr>
          <w:p>
            <w:pPr>
              <w:spacing w:line="240"/>
            </w:pPr>
            <w:r>
              <w:rPr>
                <w:rFonts w:ascii="Calibri" w:cs="Calibri" w:eastAsia="Calibri" w:hAnsi="Calibri"/>
                <w:b/>
                <w:bCs/>
                <w:color w:val="FFFFFF"/>
                <w:sz w:val="18"/>
                <w:szCs w:val="18"/>
              </w:rPr>
              <w:t xml:space="preserve">Caso A: Cosecha automatizada</w:t>
            </w:r>
          </w:p>
        </w:tc>
        <w:tc>
          <w:tcPr>
            <w:tcW w:type="dxa" w:w="3723"/>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tcPr>
          <w:p>
            <w:pPr>
              <w:spacing w:line="240"/>
            </w:pPr>
            <w:r>
              <w:rPr>
                <w:rFonts w:ascii="Calibri" w:cs="Calibri" w:eastAsia="Calibri" w:hAnsi="Calibri"/>
                <w:b/>
                <w:bCs/>
                <w:color w:val="FFFFFF"/>
                <w:sz w:val="18"/>
                <w:szCs w:val="18"/>
              </w:rPr>
              <w:t xml:space="preserve">Caso B: Matching de empleo</w:t>
            </w:r>
          </w:p>
        </w:tc>
      </w:tr>
      <w:tr>
        <w:tc>
          <w:tcPr>
            <w:tcW w:type="dxa" w:w="23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line="240"/>
            </w:pPr>
            <w:r>
              <w:rPr>
                <w:rFonts w:ascii="Calibri" w:cs="Calibri" w:eastAsia="Calibri" w:hAnsi="Calibri"/>
                <w:b/>
                <w:bCs/>
                <w:color w:val="000000"/>
                <w:sz w:val="18"/>
                <w:szCs w:val="18"/>
              </w:rPr>
              <w:t xml:space="preserve">Datos necesarios</w:t>
            </w:r>
          </w:p>
        </w:tc>
        <w:tc>
          <w:tcPr>
            <w:tcW w:type="dxa" w:w="3723"/>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line="240"/>
            </w:pPr>
            <w:r>
              <w:rPr>
                <w:rFonts w:ascii="Calibri" w:cs="Calibri" w:eastAsia="Calibri" w:hAnsi="Calibri"/>
                <w:b w:val="false"/>
                <w:bCs w:val="false"/>
                <w:color w:val="000000"/>
                <w:sz w:val="18"/>
                <w:szCs w:val="18"/>
              </w:rPr>
              <w:t xml:space="preserve">Imágenes y vídeo etiquetado de frutos por variedad, estado de maduración, iluminación y oclusión; datos GPS/RTK y mapas de parcela. Datos casi inexistentes; hay que generarlos campo a campo.</w:t>
            </w:r>
          </w:p>
        </w:tc>
        <w:tc>
          <w:tcPr>
            <w:tcW w:type="dxa" w:w="3723"/>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line="240"/>
            </w:pPr>
            <w:r>
              <w:rPr>
                <w:rFonts w:ascii="Calibri" w:cs="Calibri" w:eastAsia="Calibri" w:hAnsi="Calibri"/>
                <w:b w:val="false"/>
                <w:bCs w:val="false"/>
                <w:color w:val="000000"/>
                <w:sz w:val="18"/>
                <w:szCs w:val="18"/>
              </w:rPr>
              <w:t xml:space="preserve">CVs históricos, descripciones de oferta, históricos de contratación y rendimiento. Datos personales sensibles (Art. 9 RGPD); existen en ATS pero arrastran sesgos históricos.</w:t>
            </w:r>
          </w:p>
        </w:tc>
      </w:tr>
      <w:tr>
        <w:tc>
          <w:tcPr>
            <w:tcW w:type="dxa" w:w="23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line="240"/>
            </w:pPr>
            <w:r>
              <w:rPr>
                <w:rFonts w:ascii="Calibri" w:cs="Calibri" w:eastAsia="Calibri" w:hAnsi="Calibri"/>
                <w:b/>
                <w:bCs/>
                <w:color w:val="000000"/>
                <w:sz w:val="18"/>
                <w:szCs w:val="18"/>
              </w:rPr>
              <w:t xml:space="preserve">Infraestructura tecnológica</w:t>
            </w:r>
          </w:p>
        </w:tc>
        <w:tc>
          <w:tcPr>
            <w:tcW w:type="dxa" w:w="3723"/>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line="240"/>
            </w:pPr>
            <w:r>
              <w:rPr>
                <w:rFonts w:ascii="Calibri" w:cs="Calibri" w:eastAsia="Calibri" w:hAnsi="Calibri"/>
                <w:b w:val="false"/>
                <w:bCs w:val="false"/>
                <w:color w:val="000000"/>
                <w:sz w:val="18"/>
                <w:szCs w:val="18"/>
              </w:rPr>
              <w:t xml:space="preserve">Tractor con cámaras multiespectrales, LIDAR, GPS RTK (precisión cm), GPU embebida, batería/diésel, conectividad 4G/5G en zona rural (frecuente cuello de botella).</w:t>
            </w:r>
          </w:p>
        </w:tc>
        <w:tc>
          <w:tcPr>
            <w:tcW w:type="dxa" w:w="3723"/>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line="240"/>
            </w:pPr>
            <w:r>
              <w:rPr>
                <w:rFonts w:ascii="Calibri" w:cs="Calibri" w:eastAsia="Calibri" w:hAnsi="Calibri"/>
                <w:b w:val="false"/>
                <w:bCs w:val="false"/>
                <w:color w:val="000000"/>
                <w:sz w:val="18"/>
                <w:szCs w:val="18"/>
              </w:rPr>
              <w:t xml:space="preserve">SaaS en cloud (AWS/Azure/GCP), APIs con LinkedIn/InfoJobs/ATS (Workday, Greenhouse), modelos NLP (transformers). CAPEX casi nulo, OPEX por usuario.</w:t>
            </w:r>
          </w:p>
        </w:tc>
      </w:tr>
      <w:tr>
        <w:tc>
          <w:tcPr>
            <w:tcW w:type="dxa" w:w="23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line="240"/>
            </w:pPr>
            <w:r>
              <w:rPr>
                <w:rFonts w:ascii="Calibri" w:cs="Calibri" w:eastAsia="Calibri" w:hAnsi="Calibri"/>
                <w:b/>
                <w:bCs/>
                <w:color w:val="000000"/>
                <w:sz w:val="18"/>
                <w:szCs w:val="18"/>
              </w:rPr>
              <w:t xml:space="preserve">Aspectos organizativos</w:t>
            </w:r>
          </w:p>
        </w:tc>
        <w:tc>
          <w:tcPr>
            <w:tcW w:type="dxa" w:w="3723"/>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line="240"/>
            </w:pPr>
            <w:r>
              <w:rPr>
                <w:rFonts w:ascii="Calibri" w:cs="Calibri" w:eastAsia="Calibri" w:hAnsi="Calibri"/>
                <w:b w:val="false"/>
                <w:bCs w:val="false"/>
                <w:color w:val="000000"/>
                <w:sz w:val="18"/>
                <w:szCs w:val="18"/>
              </w:rPr>
              <w:t xml:space="preserve">El tractorista pasa de operar a supervisar varias máquinas; integración con ERP agrícola; resistencia en explotaciones familiares y cooperativas pequeñas.</w:t>
            </w:r>
          </w:p>
        </w:tc>
        <w:tc>
          <w:tcPr>
            <w:tcW w:type="dxa" w:w="3723"/>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line="240"/>
            </w:pPr>
            <w:r>
              <w:rPr>
                <w:rFonts w:ascii="Calibri" w:cs="Calibri" w:eastAsia="Calibri" w:hAnsi="Calibri"/>
                <w:b w:val="false"/>
                <w:bCs w:val="false"/>
                <w:color w:val="000000"/>
                <w:sz w:val="18"/>
                <w:szCs w:val="18"/>
              </w:rPr>
              <w:t xml:space="preserve">El reclutador pasa de filtrar a entrevistar y validar; gobernanza algorítmica en RRHH; necesidad de comité de IA y comunicación con candidatos.</w:t>
            </w:r>
          </w:p>
        </w:tc>
      </w:tr>
      <w:tr>
        <w:tc>
          <w:tcPr>
            <w:tcW w:type="dxa" w:w="23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line="240"/>
            </w:pPr>
            <w:r>
              <w:rPr>
                <w:rFonts w:ascii="Calibri" w:cs="Calibri" w:eastAsia="Calibri" w:hAnsi="Calibri"/>
                <w:b/>
                <w:bCs/>
                <w:color w:val="000000"/>
                <w:sz w:val="18"/>
                <w:szCs w:val="18"/>
              </w:rPr>
              <w:t xml:space="preserve">Aspectos legales y éticos</w:t>
            </w:r>
          </w:p>
        </w:tc>
        <w:tc>
          <w:tcPr>
            <w:tcW w:type="dxa" w:w="3723"/>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line="240"/>
            </w:pPr>
            <w:r>
              <w:rPr>
                <w:rFonts w:ascii="Calibri" w:cs="Calibri" w:eastAsia="Calibri" w:hAnsi="Calibri"/>
                <w:b w:val="false"/>
                <w:bCs w:val="false"/>
                <w:color w:val="000000"/>
                <w:sz w:val="18"/>
                <w:szCs w:val="18"/>
              </w:rPr>
              <w:t xml:space="preserve">Reglamento de Máquinas (UE 2023/1230), normativa de seguridad, responsabilidad civil del fabricante/operador, seguros agrícolas. AI Act: riesgo limitado salvo seguridad.</w:t>
            </w:r>
          </w:p>
        </w:tc>
        <w:tc>
          <w:tcPr>
            <w:tcW w:type="dxa" w:w="3723"/>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line="240"/>
            </w:pPr>
            <w:r>
              <w:rPr>
                <w:rFonts w:ascii="Calibri" w:cs="Calibri" w:eastAsia="Calibri" w:hAnsi="Calibri"/>
                <w:b w:val="false"/>
                <w:bCs w:val="false"/>
                <w:color w:val="000000"/>
                <w:sz w:val="18"/>
                <w:szCs w:val="18"/>
              </w:rPr>
              <w:t xml:space="preserve">AI Act: ALTO RIESGO (Anexo III, empleo). RGPD pleno, derecho a explicación, prohibición de decisión 100% automatizada (Art. 22), riesgo de sesgo (caso Amazon 2018).</w:t>
            </w:r>
          </w:p>
        </w:tc>
      </w:tr>
      <w:tr>
        <w:tc>
          <w:tcPr>
            <w:tcW w:type="dxa" w:w="23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line="240"/>
            </w:pPr>
            <w:r>
              <w:rPr>
                <w:rFonts w:ascii="Calibri" w:cs="Calibri" w:eastAsia="Calibri" w:hAnsi="Calibri"/>
                <w:b/>
                <w:bCs/>
                <w:color w:val="000000"/>
                <w:sz w:val="18"/>
                <w:szCs w:val="18"/>
              </w:rPr>
              <w:t xml:space="preserve">Viabilidad económica</w:t>
            </w:r>
          </w:p>
        </w:tc>
        <w:tc>
          <w:tcPr>
            <w:tcW w:type="dxa" w:w="3723"/>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line="240"/>
            </w:pPr>
            <w:r>
              <w:rPr>
                <w:rFonts w:ascii="Calibri" w:cs="Calibri" w:eastAsia="Calibri" w:hAnsi="Calibri"/>
                <w:b w:val="false"/>
                <w:bCs w:val="false"/>
                <w:color w:val="000000"/>
                <w:sz w:val="18"/>
                <w:szCs w:val="18"/>
              </w:rPr>
              <w:t xml:space="preserve">CAPEX muy alto (300–800 k€ por tractor autónomo); ROI 5–7 años. Solo viable a gran escala o por servicio (cosecha por hectárea).</w:t>
            </w:r>
          </w:p>
        </w:tc>
        <w:tc>
          <w:tcPr>
            <w:tcW w:type="dxa" w:w="3723"/>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line="240"/>
            </w:pPr>
            <w:r>
              <w:rPr>
                <w:rFonts w:ascii="Calibri" w:cs="Calibri" w:eastAsia="Calibri" w:hAnsi="Calibri"/>
                <w:b w:val="false"/>
                <w:bCs w:val="false"/>
                <w:color w:val="000000"/>
                <w:sz w:val="18"/>
                <w:szCs w:val="18"/>
              </w:rPr>
              <w:t xml:space="preserve">OPEX bajo (10–60 €/usuario/mes en SaaS; suites empresa 30–80 k€/año). ROI rápido vía time-to-hire y coste por contratación.</w:t>
            </w:r>
          </w:p>
        </w:tc>
      </w:tr>
      <w:tr>
        <w:tc>
          <w:tcPr>
            <w:tcW w:type="dxa" w:w="23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line="240"/>
            </w:pPr>
            <w:r>
              <w:rPr>
                <w:rFonts w:ascii="Calibri" w:cs="Calibri" w:eastAsia="Calibri" w:hAnsi="Calibri"/>
                <w:b/>
                <w:bCs/>
                <w:color w:val="000000"/>
                <w:sz w:val="18"/>
                <w:szCs w:val="18"/>
              </w:rPr>
              <w:t xml:space="preserve">Impacto en procesos</w:t>
            </w:r>
          </w:p>
        </w:tc>
        <w:tc>
          <w:tcPr>
            <w:tcW w:type="dxa" w:w="3723"/>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line="240"/>
            </w:pPr>
            <w:r>
              <w:rPr>
                <w:rFonts w:ascii="Calibri" w:cs="Calibri" w:eastAsia="Calibri" w:hAnsi="Calibri"/>
                <w:b w:val="false"/>
                <w:bCs w:val="false"/>
                <w:color w:val="000000"/>
                <w:sz w:val="18"/>
                <w:szCs w:val="18"/>
              </w:rPr>
              <w:t xml:space="preserve">Sustituye o complementa al cosechero en una ventana corta; un fallo en plena cosecha implica pérdida de producto. Necesita plan de contingencia y operación humano-IA.</w:t>
            </w:r>
          </w:p>
        </w:tc>
        <w:tc>
          <w:tcPr>
            <w:tcW w:type="dxa" w:w="3723"/>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line="240"/>
            </w:pPr>
            <w:r>
              <w:rPr>
                <w:rFonts w:ascii="Calibri" w:cs="Calibri" w:eastAsia="Calibri" w:hAnsi="Calibri"/>
                <w:b w:val="false"/>
                <w:bCs w:val="false"/>
                <w:color w:val="000000"/>
                <w:sz w:val="18"/>
                <w:szCs w:val="18"/>
              </w:rPr>
              <w:t xml:space="preserve">Filtrado automatizado con riesgo de falsos negativos; obligatorio human-in-the-loop. Impacto en tiempos de selección y experiencia del candidato.</w:t>
            </w:r>
          </w:p>
        </w:tc>
      </w:tr>
    </w:tbl>
    <w:p>
      <w:pPr>
        <w:pStyle w:val="Heading1"/>
        <w:spacing w:after="60" w:before="160"/>
      </w:pPr>
      <w:r>
        <w:rPr>
          <w:rFonts w:ascii="Calibri" w:cs="Calibri" w:eastAsia="Calibri" w:hAnsi="Calibri"/>
          <w:b/>
          <w:bCs/>
          <w:color w:val="1F3864"/>
          <w:sz w:val="26"/>
          <w:szCs w:val="26"/>
        </w:rPr>
        <w:t xml:space="preserve">5. Conclusión</w:t>
      </w:r>
    </w:p>
    <w:p>
      <w:pPr>
        <w:spacing w:after="60" w:line="360"/>
        <w:jc w:val="both"/>
      </w:pPr>
      <w:r>
        <w:rPr>
          <w:rFonts w:ascii="Calibri" w:cs="Calibri" w:eastAsia="Calibri" w:hAnsi="Calibri"/>
          <w:sz w:val="24"/>
          <w:szCs w:val="24"/>
        </w:rPr>
        <w:t xml:space="preserve">De los dos casos, yo creo que el de matching de empleo es claramente mas viable a corto plazo: la infraestructura propia que necesitas es muy poca, los datos ya existen, y el ROI es muy rápido. El problema real aquí no es técnico, es regulatorio y ético, al estar listado como “alto riesgo” en el Reglamento de IA exige una gobernanza seria de sesgo, supervisión humana y transparencia, y un fallo aquí daña directamente a personas, como pasó con Amazon (Köchling &amp; Wehner, 2020). El caso de la cosecha automatizada es justo lo contrario: éticamente es bastante menos polémico pero técnica y económicamente es muchísimo mas exigente, sobre todo por los datos, la infraestructura y el CAPEX. A medio plazo yo creo que el caso A va a acabar beneficiando mas a la sociedad porque resuelve un problema estructural de falta de mano de obra, pero a corto plazo el que se va a desplegar de forma masiva es el caso B.</w:t>
      </w:r>
    </w:p>
    <w:p>
      <w:pPr>
        <w:pStyle w:val="Heading1"/>
        <w:spacing w:after="60" w:before="160"/>
      </w:pPr>
      <w:r>
        <w:rPr>
          <w:rFonts w:ascii="Calibri" w:cs="Calibri" w:eastAsia="Calibri" w:hAnsi="Calibri"/>
          <w:b/>
          <w:bCs/>
          <w:color w:val="1F3864"/>
          <w:sz w:val="26"/>
          <w:szCs w:val="26"/>
        </w:rPr>
        <w:t xml:space="preserve">6. Referencias</w:t>
      </w:r>
    </w:p>
    <w:p>
      <w:pPr>
        <w:spacing w:after="60" w:line="280"/>
        <w:ind w:left="567" w:hanging="567"/>
      </w:pPr>
      <w:r>
        <w:rPr>
          <w:rFonts w:ascii="Calibri" w:cs="Calibri" w:eastAsia="Calibri" w:hAnsi="Calibri"/>
          <w:sz w:val="20"/>
          <w:szCs w:val="20"/>
        </w:rPr>
        <w:t xml:space="preserve">Bondi, E., Lerman, K., et al. (2023). Artificial intelligence in precision agriculture: A review. Computers and Electronics in Agriculture, 211, 108001. https://doi.org/10.1016/j.compag.2023.108001</w:t>
      </w:r>
    </w:p>
    <w:p>
      <w:pPr>
        <w:spacing w:after="60" w:line="280"/>
        <w:ind w:left="567" w:hanging="567"/>
      </w:pPr>
      <w:r>
        <w:rPr>
          <w:rFonts w:ascii="Calibri" w:cs="Calibri" w:eastAsia="Calibri" w:hAnsi="Calibri"/>
          <w:sz w:val="20"/>
          <w:szCs w:val="20"/>
        </w:rPr>
        <w:t xml:space="preserve">Comisión Europea. (2022). Propuesta de Directiva del Parlamento Europeo y del Consejo relativa a la adaptación de las normas de responsabilidad civil extracontractual a la inteligencia artificial (Directiva sobre responsabilidad en materia de IA), COM(2022) 496 final. https://eur-lex.europa.eu/legal-content/ES/TXT/?uri=CELEX:52022PC0496</w:t>
      </w:r>
    </w:p>
    <w:p>
      <w:pPr>
        <w:spacing w:after="60" w:line="280"/>
        <w:ind w:left="567" w:hanging="567"/>
      </w:pPr>
      <w:r>
        <w:rPr>
          <w:rFonts w:ascii="Calibri" w:cs="Calibri" w:eastAsia="Calibri" w:hAnsi="Calibri"/>
          <w:sz w:val="20"/>
          <w:szCs w:val="20"/>
        </w:rPr>
        <w:t xml:space="preserve">Comisión Europea. (2024). Reglamento (UE) 2024/1689 del Parlamento Europeo y del Consejo, por el que se establecen normas armonizadas en materia de inteligencia artificial (Reglamento de IA). Diario Oficial de la Unión Europea. https://eur-lex.europa.eu/eli/reg/2024/1689/oj</w:t>
      </w:r>
    </w:p>
    <w:p>
      <w:pPr>
        <w:spacing w:after="60" w:line="280"/>
        <w:ind w:left="567" w:hanging="567"/>
      </w:pPr>
      <w:r>
        <w:rPr>
          <w:rFonts w:ascii="Calibri" w:cs="Calibri" w:eastAsia="Calibri" w:hAnsi="Calibri"/>
          <w:sz w:val="20"/>
          <w:szCs w:val="20"/>
        </w:rPr>
        <w:t xml:space="preserve">Dastin, J. (2018, 11 de octubre). Amazon scraps secret AI recruiting tool that showed bias against women. Reuters. https://www.reuters.com/article/idUSKCN1MK0AG/</w:t>
      </w:r>
    </w:p>
    <w:p>
      <w:pPr>
        <w:spacing w:after="60" w:line="280"/>
        <w:ind w:left="567" w:hanging="567"/>
      </w:pPr>
      <w:r>
        <w:rPr>
          <w:rFonts w:ascii="Calibri" w:cs="Calibri" w:eastAsia="Calibri" w:hAnsi="Calibri"/>
          <w:sz w:val="20"/>
          <w:szCs w:val="20"/>
        </w:rPr>
        <w:t xml:space="preserve">Deere &amp; Company. (2024). Autonomous 9RX Tractor: Technical specifications and pricing. https://www.deere.com/en/autonomous/</w:t>
      </w:r>
    </w:p>
    <w:p>
      <w:pPr>
        <w:spacing w:after="60" w:line="280"/>
        <w:ind w:left="567" w:hanging="567"/>
      </w:pPr>
      <w:r>
        <w:rPr>
          <w:rFonts w:ascii="Calibri" w:cs="Calibri" w:eastAsia="Calibri" w:hAnsi="Calibri"/>
          <w:sz w:val="20"/>
          <w:szCs w:val="20"/>
        </w:rPr>
        <w:t xml:space="preserve">FAO. (2022). The state of food and agriculture 2022: Leveraging automation in agriculture for transforming agrifood systems. Food and Agriculture Organization of the United Nations. https://doi.org/10.4060/cb9479en</w:t>
      </w:r>
    </w:p>
    <w:p>
      <w:pPr>
        <w:spacing w:after="60" w:line="280"/>
        <w:ind w:left="567" w:hanging="567"/>
      </w:pPr>
      <w:r>
        <w:rPr>
          <w:rFonts w:ascii="Calibri" w:cs="Calibri" w:eastAsia="Calibri" w:hAnsi="Calibri"/>
          <w:sz w:val="20"/>
          <w:szCs w:val="20"/>
        </w:rPr>
        <w:t xml:space="preserve">Gartner. (2018, 13 de febrero). Gartner says nearly half of CIOs are planning to deploy artificial intelligence. Gartner, Inc. https://www.gartner.com/en/newsroom/press-releases/2018-02-13-gartner-says-nearly-half-of-cios-are-planning-to-deploy-artificial-intelligence</w:t>
      </w:r>
    </w:p>
    <w:p>
      <w:pPr>
        <w:spacing w:after="60" w:line="280"/>
        <w:ind w:left="567" w:hanging="567"/>
      </w:pPr>
      <w:r>
        <w:rPr>
          <w:rFonts w:ascii="Calibri" w:cs="Calibri" w:eastAsia="Calibri" w:hAnsi="Calibri"/>
          <w:sz w:val="20"/>
          <w:szCs w:val="20"/>
        </w:rPr>
        <w:t xml:space="preserve">Haggag, S., Veres, M., Tarry, C., &amp; Moussa, M. (2024). Object detection in tomato greenhouses: A study on model generalization. Agriculture, 14(2), 173. https://doi.org/10.3390/agriculture14020173</w:t>
      </w:r>
    </w:p>
    <w:p>
      <w:pPr>
        <w:spacing w:after="60" w:line="280"/>
        <w:ind w:left="567" w:hanging="567"/>
      </w:pPr>
      <w:r>
        <w:rPr>
          <w:rFonts w:ascii="Calibri" w:cs="Calibri" w:eastAsia="Calibri" w:hAnsi="Calibri"/>
          <w:sz w:val="20"/>
          <w:szCs w:val="20"/>
        </w:rPr>
        <w:t xml:space="preserve">Jefatura del Estado. (2021). Real Decreto-ley 9/2021, de 11 de mayo, por el que se modifica el texto refundido de la Ley del Estatuto de los Trabajadores en materia de garantía de los derechos laborales de las personas dedicadas al reparto en el ámbito de plataformas digitales. BOE núm. 113. https://www.boe.es/eli/es/rdl/2021/05/11/9</w:t>
      </w:r>
    </w:p>
    <w:p>
      <w:pPr>
        <w:spacing w:after="60" w:line="280"/>
        <w:ind w:left="567" w:hanging="567"/>
      </w:pPr>
      <w:r>
        <w:rPr>
          <w:rFonts w:ascii="Calibri" w:cs="Calibri" w:eastAsia="Calibri" w:hAnsi="Calibri"/>
          <w:sz w:val="20"/>
          <w:szCs w:val="20"/>
        </w:rPr>
        <w:t xml:space="preserve">Köchling, A., &amp; Wehner, M. C. (2020). Discriminated by an algorithm: A systematic review of discrimination and fairness by algorithmic decision-making in the context of HR recruitment and HR development. Business Research, 13(3), 795–848. https://doi.org/10.1007/s40685-020-00134-w</w:t>
      </w:r>
    </w:p>
    <w:p>
      <w:pPr>
        <w:spacing w:after="60" w:line="280"/>
        <w:ind w:left="567" w:hanging="567"/>
      </w:pPr>
      <w:r>
        <w:rPr>
          <w:rFonts w:ascii="Calibri" w:cs="Calibri" w:eastAsia="Calibri" w:hAnsi="Calibri"/>
          <w:sz w:val="20"/>
          <w:szCs w:val="20"/>
        </w:rPr>
        <w:t xml:space="preserve">MAPA. (2020). Encuesta sobre la estructura de las explotaciones agrícolas. Ministerio de Agricultura, Pesca y Alimentación. https://www.mapa.gob.es/es/estadistica/temas/estadisticas-agrarias/</w:t>
      </w:r>
    </w:p>
    <w:p>
      <w:pPr>
        <w:spacing w:after="60" w:line="280"/>
        <w:ind w:left="567" w:hanging="567"/>
      </w:pPr>
      <w:r>
        <w:rPr>
          <w:rFonts w:ascii="Calibri" w:cs="Calibri" w:eastAsia="Calibri" w:hAnsi="Calibri"/>
          <w:sz w:val="20"/>
          <w:szCs w:val="20"/>
        </w:rPr>
        <w:t xml:space="preserve">McKinsey &amp; Company. (2024). The state of AI in 2024: Generative AI's breakout year. https://www.mckinsey.com/capabilities/quantumblack/our-insights/the-state-of-ai</w:t>
      </w:r>
    </w:p>
    <w:p>
      <w:pPr>
        <w:spacing w:after="60" w:line="280"/>
        <w:ind w:left="567" w:hanging="567"/>
      </w:pPr>
      <w:r>
        <w:rPr>
          <w:rFonts w:ascii="Calibri" w:cs="Calibri" w:eastAsia="Calibri" w:hAnsi="Calibri"/>
          <w:sz w:val="20"/>
          <w:szCs w:val="20"/>
        </w:rPr>
        <w:t xml:space="preserve">Parlamento Europeo y Consejo. (2016). Reglamento (UE) 2016/679 General de Protección de Datos (RGPD). Diario Oficial de la Unión Europea. https://eur-lex.europa.eu/eli/reg/2016/679/oj</w:t>
      </w:r>
    </w:p>
    <w:p>
      <w:pPr>
        <w:spacing w:after="60" w:line="280"/>
        <w:ind w:left="567" w:hanging="567"/>
      </w:pPr>
      <w:r>
        <w:rPr>
          <w:rFonts w:ascii="Calibri" w:cs="Calibri" w:eastAsia="Calibri" w:hAnsi="Calibri"/>
          <w:sz w:val="20"/>
          <w:szCs w:val="20"/>
        </w:rPr>
        <w:t xml:space="preserve">Parlamento Europeo y Consejo. (2023). Reglamento (UE) 2023/1230 relativo a las máquinas. Diario Oficial de la Unión Europea. https://eur-lex.europa.eu/eli/reg/2023/1230/oj</w:t>
      </w:r>
    </w:p>
    <w:p>
      <w:pPr>
        <w:spacing w:after="60" w:line="280"/>
        <w:ind w:left="567" w:hanging="567"/>
      </w:pPr>
      <w:r>
        <w:rPr>
          <w:rFonts w:ascii="Calibri" w:cs="Calibri" w:eastAsia="Calibri" w:hAnsi="Calibri"/>
          <w:sz w:val="20"/>
          <w:szCs w:val="20"/>
        </w:rPr>
        <w:t xml:space="preserve">SHRM. (2022). 2022 Talent Acquisition Benchmarking Report. Society for Human Resource Management. https://www.shrm.org/topics-tools/research/talent-acquisition-benchmarking-report</w:t>
      </w:r>
    </w:p>
    <w:p>
      <w:pPr>
        <w:spacing w:after="60" w:line="280"/>
        <w:ind w:left="567" w:hanging="567"/>
      </w:pPr>
      <w:r>
        <w:rPr>
          <w:rFonts w:ascii="Calibri" w:cs="Calibri" w:eastAsia="Calibri" w:hAnsi="Calibri"/>
          <w:sz w:val="20"/>
          <w:szCs w:val="20"/>
        </w:rPr>
        <w:t xml:space="preserve">Stanford HAI. (2024). Artificial Intelligence Index Report 2024. Stanford University. https://aiindex.stanford.edu/report/</w:t>
      </w:r>
    </w:p>
    <w:p>
      <w:pPr>
        <w:spacing w:after="60" w:line="280"/>
        <w:ind w:left="567" w:hanging="567"/>
      </w:pPr>
      <w:r>
        <w:rPr>
          <w:rFonts w:ascii="Calibri" w:cs="Calibri" w:eastAsia="Calibri" w:hAnsi="Calibri"/>
          <w:sz w:val="20"/>
          <w:szCs w:val="20"/>
        </w:rPr>
        <w:t xml:space="preserve">Tambe, P., Cappelli, P., &amp; Yakubovich, V. (2019). Artificial intelligence in human resources management: Challenges and a path forward. California Management Review, 61(4), 15–42. https://doi.org/10.1177/0008125619867910</w:t>
      </w:r>
    </w:p>
    <w:p>
      <w:pPr>
        <w:spacing w:after="60" w:line="280"/>
        <w:ind w:left="567" w:hanging="567"/>
      </w:pPr>
      <w:r>
        <w:rPr>
          <w:rFonts w:ascii="Calibri" w:cs="Calibri" w:eastAsia="Calibri" w:hAnsi="Calibri"/>
          <w:sz w:val="20"/>
          <w:szCs w:val="20"/>
        </w:rPr>
        <w:t xml:space="preserve">Van De Walker, B., Byrne, B., Near, J., Purdie, B., Whatman, M., Weales, D., Tarry, C., &amp; Moussa, M. (2021). Developing a realistic simulation environment for robotics harvesting operations in a vegetable greenhouse. Agronomy, 11(9), 1848. https://doi.org/10.3390/agronomy11091848</w:t>
      </w:r>
    </w:p>
    <w:p>
      <w:pPr>
        <w:spacing w:after="60" w:line="280"/>
        <w:ind w:left="567" w:hanging="567"/>
      </w:pPr>
      <w:r>
        <w:rPr>
          <w:rFonts w:ascii="Calibri" w:cs="Calibri" w:eastAsia="Calibri" w:hAnsi="Calibri"/>
          <w:sz w:val="20"/>
          <w:szCs w:val="20"/>
        </w:rPr>
        <w:t xml:space="preserve">Vaswani, A., Shazeer, N., Parmar, N., Uszkoreit, J., Jones, L., Gomez, A. N., Kaiser, Ł., &amp; Polosukhin, I. (2017). Attention is all you need. Advances in Neural Information Processing Systems, 30. https://arxiv.org/abs/1706.03762</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2026-04-25T18:37:27.188Z</dcterms:created>
  <dcterms:modified xsi:type="dcterms:W3CDTF">2026-04-25T18:37:27.188Z</dcterms:modified>
</cp:coreProperties>
</file>

<file path=docProps/custom.xml><?xml version="1.0" encoding="utf-8"?>
<Properties xmlns="http://schemas.openxmlformats.org/officeDocument/2006/custom-properties" xmlns:vt="http://schemas.openxmlformats.org/officeDocument/2006/docPropsVTypes"/>
</file>