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4"/>
              <w:left w:val="single" w:color="CCCCCC" w:sz="4"/>
              <w:bottom w:val="single" w:color="CCCCCC" w:sz="4"/>
              <w:right w:val="single" w:color="CCCCCC" w:sz="4"/>
            </w:tcBorders>
            <w:shd w:fill="1F3864" w:val="clear"/>
            <w:tcMar>
              <w:top w:type="dxa" w:w="100"/>
              <w:left w:type="dxa" w:w="160"/>
              <w:bottom w:type="dxa" w:w="100"/>
              <w:right w:type="dxa" w:w="160"/>
            </w:tcMar>
          </w:tcPr>
          <w:p>
            <w:r>
              <w:rPr>
                <w:rFonts w:ascii="Calibri" w:cs="Calibri" w:eastAsia="Calibri" w:hAnsi="Calibri"/>
                <w:b/>
                <w:bCs/>
                <w:color w:val="FFFFFF"/>
                <w:sz w:val="18"/>
                <w:szCs w:val="18"/>
              </w:rPr>
              <w:t xml:space="preserve">ASIGNATURA</w:t>
            </w:r>
          </w:p>
        </w:tc>
        <w:tc>
          <w:tcPr>
            <w:tcW w:type="dxa" w:w="6746"/>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sz w:val="20"/>
                <w:szCs w:val="20"/>
              </w:rPr>
              <w:t xml:space="preserve">Inteligencia Artificial Aplicada a CC</w:t>
            </w:r>
          </w:p>
        </w:tc>
      </w:tr>
      <w:tr>
        <w:tc>
          <w:tcPr>
            <w:tcW w:type="dxa" w:w="3000"/>
            <w:tcBorders>
              <w:top w:val="single" w:color="CCCCCC" w:sz="4"/>
              <w:left w:val="single" w:color="CCCCCC" w:sz="4"/>
              <w:bottom w:val="single" w:color="CCCCCC" w:sz="4"/>
              <w:right w:val="single" w:color="CCCCCC" w:sz="4"/>
            </w:tcBorders>
            <w:shd w:fill="2E74B5" w:val="clear"/>
            <w:tcMar>
              <w:top w:type="dxa" w:w="100"/>
              <w:left w:type="dxa" w:w="160"/>
              <w:bottom w:type="dxa" w:w="100"/>
              <w:right w:type="dxa" w:w="160"/>
            </w:tcMar>
          </w:tcPr>
          <w:p>
            <w:r>
              <w:rPr>
                <w:rFonts w:ascii="Calibri" w:cs="Calibri" w:eastAsia="Calibri" w:hAnsi="Calibri"/>
                <w:b/>
                <w:bCs/>
                <w:color w:val="FFFFFF"/>
                <w:sz w:val="18"/>
                <w:szCs w:val="18"/>
              </w:rPr>
              <w:t xml:space="preserve">ALUMNO/A</w:t>
            </w:r>
          </w:p>
        </w:tc>
        <w:tc>
          <w:tcPr>
            <w:tcW w:type="dxa" w:w="6746"/>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sz w:val="20"/>
                <w:szCs w:val="20"/>
              </w:rPr>
              <w:t xml:space="preserve">Apellidos: ________________  Nombre: ________________</w:t>
            </w:r>
          </w:p>
        </w:tc>
      </w:tr>
      <w:tr>
        <w:tc>
          <w:tcPr>
            <w:tcW w:type="dxa" w:w="3000"/>
            <w:tcBorders>
              <w:top w:val="single" w:color="CCCCCC" w:sz="4"/>
              <w:left w:val="single" w:color="CCCCCC" w:sz="4"/>
              <w:bottom w:val="single" w:color="CCCCCC" w:sz="4"/>
              <w:right w:val="single" w:color="CCCCCC" w:sz="4"/>
            </w:tcBorders>
            <w:shd w:fill="2E74B5" w:val="clear"/>
            <w:tcMar>
              <w:top w:type="dxa" w:w="100"/>
              <w:left w:type="dxa" w:w="160"/>
              <w:bottom w:type="dxa" w:w="100"/>
              <w:right w:type="dxa" w:w="160"/>
            </w:tcMar>
          </w:tcPr>
          <w:p>
            <w:r>
              <w:rPr>
                <w:rFonts w:ascii="Calibri" w:cs="Calibri" w:eastAsia="Calibri" w:hAnsi="Calibri"/>
                <w:b/>
                <w:bCs/>
                <w:color w:val="FFFFFF"/>
                <w:sz w:val="18"/>
                <w:szCs w:val="18"/>
              </w:rPr>
              <w:t xml:space="preserve">FECHA</w:t>
            </w:r>
          </w:p>
        </w:tc>
        <w:tc>
          <w:tcPr>
            <w:tcW w:type="dxa" w:w="6746"/>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sz w:val="20"/>
                <w:szCs w:val="20"/>
              </w:rPr>
              <w:t xml:space="preserve">_____ / _____ / 2026</w:t>
            </w:r>
          </w:p>
        </w:tc>
      </w:tr>
    </w:tbl>
    <w:p>
      <w:pPr>
        <w:spacing w:after="40" w:before="160"/>
        <w:jc w:val="center"/>
      </w:pPr>
      <w:r>
        <w:rPr>
          <w:rFonts w:ascii="Calibri" w:cs="Calibri" w:eastAsia="Calibri" w:hAnsi="Calibri"/>
          <w:b/>
          <w:bCs/>
          <w:color w:val="1F3864"/>
          <w:sz w:val="32"/>
          <w:szCs w:val="32"/>
        </w:rPr>
        <w:t xml:space="preserve">Actividad 2</w:t>
      </w:r>
    </w:p>
    <w:p>
      <w:pPr>
        <w:spacing w:after="120"/>
        <w:jc w:val="center"/>
      </w:pPr>
      <w:r>
        <w:rPr>
          <w:rFonts w:ascii="Calibri" w:cs="Calibri" w:eastAsia="Calibri" w:hAnsi="Calibri"/>
          <w:color w:val="2E74B5"/>
          <w:sz w:val="22"/>
          <w:szCs w:val="22"/>
        </w:rPr>
        <w:t xml:space="preserve">Análisis de requisitos para la aplicabilidad de la IA</w:t>
      </w:r>
    </w:p>
    <w:p>
      <w:pPr>
        <w:pStyle w:val="Heading1"/>
        <w:spacing w:after="60" w:before="160"/>
      </w:pPr>
      <w:r>
        <w:rPr>
          <w:rFonts w:ascii="Calibri" w:cs="Calibri" w:eastAsia="Calibri" w:hAnsi="Calibri"/>
          <w:b/>
          <w:bCs/>
          <w:color w:val="1F3864"/>
          <w:sz w:val="26"/>
          <w:szCs w:val="26"/>
        </w:rPr>
        <w:t xml:space="preserve">1. Introducción</w:t>
      </w:r>
    </w:p>
    <w:p>
      <w:pPr>
        <w:spacing w:after="60" w:line="360"/>
        <w:jc w:val="both"/>
      </w:pPr>
      <w:r>
        <w:rPr>
          <w:rFonts w:ascii="Calibri" w:cs="Calibri" w:eastAsia="Calibri" w:hAnsi="Calibri"/>
          <w:sz w:val="24"/>
          <w:szCs w:val="24"/>
        </w:rPr>
        <w:t xml:space="preserve">Cuando hablamos de los requisitos de aplicabilidad de un sistema de IA, en el fondo nos referimos a todas las condiciones que se tienen que dar para que el sistema funcione de verdad en producción y no se quede en un experimento bonito. Estamos hablando de cosas muy distintas: tener los datos, tener la infraestructura, que la organización este preparada, que sea rentable y por supuesto que cumpla con la regulación. Es importante analizarlos antes porque la mayoría de los proyectos empresariales de ia no llega ni a producción, McKinsey calcula que solo un tercio de las organizaciones saca valor de verdad de sus iniciativas (McKinsey &amp; Company, 2024) y Gartner ya avisaba en 2018 de que el 85% de los proyectos se quedaban por el camino. En esta actividad miro dos casos bastante distintos, uno mas físico y otro puramente software, para ver cómo cambian los requisitos según el contexto.</w:t>
      </w:r>
    </w:p>
    <w:p>
      <w:pPr>
        <w:pStyle w:val="Heading1"/>
        <w:spacing w:after="60" w:before="160"/>
      </w:pPr>
      <w:r>
        <w:rPr>
          <w:rFonts w:ascii="Calibri" w:cs="Calibri" w:eastAsia="Calibri" w:hAnsi="Calibri"/>
          <w:b/>
          <w:bCs/>
          <w:color w:val="1F3864"/>
          <w:sz w:val="26"/>
          <w:szCs w:val="26"/>
        </w:rPr>
        <w:t xml:space="preserve">2. Descripción de los casos de uso</w:t>
      </w:r>
    </w:p>
    <w:p>
      <w:pPr>
        <w:pStyle w:val="Heading2"/>
        <w:spacing w:after="40" w:before="120"/>
      </w:pPr>
      <w:r>
        <w:rPr>
          <w:rFonts w:ascii="Calibri" w:cs="Calibri" w:eastAsia="Calibri" w:hAnsi="Calibri"/>
          <w:b/>
          <w:bCs/>
          <w:color w:val="2E74B5"/>
          <w:sz w:val="24"/>
          <w:szCs w:val="24"/>
        </w:rPr>
        <w:t xml:space="preserve">Caso A: Cosecha automatizada de frutos maduros con tractor</w:t>
      </w:r>
    </w:p>
    <w:p>
      <w:pPr>
        <w:spacing w:after="60" w:line="360"/>
        <w:jc w:val="both"/>
      </w:pPr>
      <w:r>
        <w:rPr>
          <w:rFonts w:ascii="Calibri" w:cs="Calibri" w:eastAsia="Calibri" w:hAnsi="Calibri"/>
          <w:sz w:val="24"/>
          <w:szCs w:val="24"/>
        </w:rPr>
        <w:t xml:space="preserve">Aquí lo que tenemos es un tractor o una plataforma móvil autónoma con visión por computador, LIDAR y GPS RTK, que va por las hileras del cultivo, va viendo qué frutos están ya maduros y los recoge con un brazo robótico, sin tractorista subido encima. Lo que se intenta resolver son básicamente dos problemas que tiene el sector: que cada vez es mas difícil encontrar gente para la temporada de cosecha, especialmente en la Europa del sur (FAO, 2022), y que cuando se te pasa el punto óptimo de maduración pierdes producto y dinero. Empresas como John Deere ya tienen al mercado tractores totalmente autónomos (Deere &amp; Company, 2024) y hay grupos de investigación, como el de la Universidad de Guelph, que están demostrando que la cosecha robótica funciona ya bastante bien en invernaderos de tomate (Haggag et al., 2024).</w:t>
      </w:r>
    </w:p>
    <w:p>
      <w:pPr>
        <w:pStyle w:val="Heading2"/>
        <w:spacing w:after="40" w:before="120"/>
      </w:pPr>
      <w:r>
        <w:rPr>
          <w:rFonts w:ascii="Calibri" w:cs="Calibri" w:eastAsia="Calibri" w:hAnsi="Calibri"/>
          <w:b/>
          <w:bCs/>
          <w:color w:val="2E74B5"/>
          <w:sz w:val="24"/>
          <w:szCs w:val="24"/>
        </w:rPr>
        <w:t xml:space="preserve">Caso B: Sistema de matching entre candidatos y oferta de empleo</w:t>
      </w:r>
    </w:p>
    <w:p>
      <w:pPr>
        <w:spacing w:after="60" w:line="360"/>
        <w:jc w:val="both"/>
      </w:pPr>
      <w:r>
        <w:rPr>
          <w:rFonts w:ascii="Calibri" w:cs="Calibri" w:eastAsia="Calibri" w:hAnsi="Calibri"/>
          <w:sz w:val="24"/>
          <w:szCs w:val="24"/>
        </w:rPr>
        <w:t xml:space="preserve">En este caso lo que hace el sistema es una cosa puramente software: coge la descripción de una oferta de empleo, la cruza con una base de datos enorme de cvs y perfiles profesionales y le devuelve al recruiter una lista de candidatos ordenados por lo bien que encajan, con su score y todo. Lo usa la empresa, normalmente RRHH, y el problema que resuelve es básicamente reducir el tiempo y el coste por contratación, ademas de poder ver muchos mas candidatos de los que un humano vería a mano (SHRM, 2022). Hay un montón de productos comerciales como LinkedIn Recruiter, HireVue, iCIMS o Pymetrics, que utilizan modelos de procesamiento de lenguaje natural junto con modelos de ranking (Tambe et al., 2019).</w:t>
      </w:r>
    </w:p>
    <w:p>
      <w:pPr>
        <w:pStyle w:val="Heading1"/>
        <w:spacing w:after="60" w:before="160"/>
      </w:pPr>
      <w:r>
        <w:rPr>
          <w:rFonts w:ascii="Calibri" w:cs="Calibri" w:eastAsia="Calibri" w:hAnsi="Calibri"/>
          <w:b/>
          <w:bCs/>
          <w:color w:val="1F3864"/>
          <w:sz w:val="26"/>
          <w:szCs w:val="26"/>
        </w:rPr>
        <w:t xml:space="preserve">3. Análisis de requisitos por dimensiones</w:t>
      </w:r>
    </w:p>
    <w:p>
      <w:pPr>
        <w:pStyle w:val="Heading2"/>
        <w:spacing w:after="40" w:before="120"/>
      </w:pPr>
      <w:r>
        <w:rPr>
          <w:rFonts w:ascii="Calibri" w:cs="Calibri" w:eastAsia="Calibri" w:hAnsi="Calibri"/>
          <w:b/>
          <w:bCs/>
          <w:color w:val="2E74B5"/>
          <w:sz w:val="24"/>
          <w:szCs w:val="24"/>
        </w:rPr>
        <w:t xml:space="preserve">3.1. Datos necesarios</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El modelo de visión necesita una cantidad bestial de imágenes y vídeo etiquetado del fruto concreto en sus distintos estados de maduración, con luz de mañana, de tarde, contraluz, hojas tapando, distintas variedades, etc. Hay estudios recientes que muestran que en cuanto cambias el ángulo de la cámara o la iluminación el modelo deja de generalizar bien y se cae mucho la precisión, así que toca ir a la finca a recolectar datos casi para cada caso (Haggag et al., 2024). Estos datos publicos directamente no existen y los tienes que generar tu campo a campo, que es probablemente el cuello de botella mas grande de todos. Y aparte de las imágenes hace falta la telemetría del tractor (GPS RTK, IMU), los mapas de la parcela e información agronómica básica para que el sistema sepa por dónde ir y qué priorizar.</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lo que se entrena son CVs históricos, descripciones de oferta, históricos de contrataciones y, en las versiones mas serias, también evaluaciones de rendimiento de la gente que ya esta dentro. La mayoría de estos datos si existen, los tienen las empresas en sus ATS o los saca la herramienta de LinkedIn, pero son datos personales y en muchos casos sensibles (Art. 9 RGPD) y arrastran muchos sesgos historicos: si tu empresa siempre ha contratado hombres para ingeniería, el modelo lo aprende y lo reproduce sin darse cuenta, que es justo lo que le pasó a Amazon (Dastin, 2018).</w:t>
      </w:r>
    </w:p>
    <w:p>
      <w:pPr>
        <w:pStyle w:val="Heading2"/>
        <w:spacing w:after="40" w:before="120"/>
      </w:pPr>
      <w:r>
        <w:rPr>
          <w:rFonts w:ascii="Calibri" w:cs="Calibri" w:eastAsia="Calibri" w:hAnsi="Calibri"/>
          <w:b/>
          <w:bCs/>
          <w:color w:val="2E74B5"/>
          <w:sz w:val="24"/>
          <w:szCs w:val="24"/>
        </w:rPr>
        <w:t xml:space="preserve">3.2. Infraestructura tecnológica requerida</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Hace falta hardware bastante específico y caro: cámaras RGB y multiespectrales, LIDAR, GPS RTK con precisión de centímetros, IMU, una GPU embebida que sea capaz de hacer inferencia en tiempo real, baterías o un motor híbrido y los brazos robóticos con sensores de fuerza para no destrozar la fruta (Bondi et al., 2023). El otro problema gordo es la conectividad 4G o 5G en el campo, que muchas veces es donde se cae todo, la cobertura en zona rural es bastante desigual incluso en países desarrollados. Y todo esto necesita ademas un back-office en cloud para reentrenar los modelos y mandar las actualizaciones OTA a la flota.</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la infraestructura es prácticamente toda software y casi siempre en cloud (AWS, Azure o GCP). Lo que se necesita son modelos de NLP basados en transformers, que son la base de casi todo lo de IA generativa de hoy (Vaswani et al., 2017), un buscador vectorial para los embeddings, bases de datos de perfiles y oferta, y luego sobre todo APIs de integración con LinkedIn, InfoJobs, Indeed y con los ATS de las empresas tipo Workday, Greenhouse o SAP SuccessFactors. El CAPEX es prácticamente cero y el OPEX se queda en coste por usuario al mes.</w:t>
      </w:r>
    </w:p>
    <w:p>
      <w:pPr>
        <w:pStyle w:val="Heading2"/>
        <w:spacing w:after="40" w:before="120"/>
      </w:pPr>
      <w:r>
        <w:rPr>
          <w:rFonts w:ascii="Calibri" w:cs="Calibri" w:eastAsia="Calibri" w:hAnsi="Calibri"/>
          <w:b/>
          <w:bCs/>
          <w:color w:val="2E74B5"/>
          <w:sz w:val="24"/>
          <w:szCs w:val="24"/>
        </w:rPr>
        <w:t xml:space="preserve">3.3. Aspectos organizativos y de negocio</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Lo que cambia organizativamente es bastante: el tractorista deja de manejar la máquina y pasa a supervisar varias en remoto, eso exige formación nueva y un perfil mas técnico que el que hay habitualmente en el campo. Ademas hay que integrar la cosa con el ERP agrícola y con la planificación de la campaña, y aquí está el problema: la mayoría de las explotaciones agrarias en España son pequeñas y familiares, lo que hace que el CAPEX se les haga muy cuesta arriba y la adopción tecnológica vaya muy lenta (MAPA, 2020). Por eso lo que se está imponiendo realmente no es la compra del tractor, es el modelo de cosecha como servicio, pagas por hectárea cosechada.</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El reclutador pasa de filtrar cvs a mano a validar y entrevistar, en teoría su trabajo se vuelve mas interesante y de mayor valor añadido, pero a la vez obliga a redefinir los KPIs de RRHH (tiempo de contratación, calidad de la contratación, diversidad). La organización tiene que montar un comité de IA, definir políticas de gobernanza, avisar a los candidatos de que se usa IA en el proceso y ademas formar a RRHH en alfabetización algorítmica, que es algo que el Reglamento de IA exige por escrito en su articulo 4 (Comisión Europea, 2024).</w:t>
      </w:r>
    </w:p>
    <w:p>
      <w:pPr>
        <w:pStyle w:val="Heading2"/>
        <w:spacing w:after="40" w:before="120"/>
      </w:pPr>
      <w:r>
        <w:rPr>
          <w:rFonts w:ascii="Calibri" w:cs="Calibri" w:eastAsia="Calibri" w:hAnsi="Calibri"/>
          <w:b/>
          <w:bCs/>
          <w:color w:val="2E74B5"/>
          <w:sz w:val="24"/>
          <w:szCs w:val="24"/>
        </w:rPr>
        <w:t xml:space="preserve">3.4. Aspectos legales y éticos</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Aquí lo primero que aplica es el nuevo Reglamento de Máquinas, que justo regula la maquinaria con comportamiento autónomo y obliga a una evaluación de conformidad para los componentes de seguridad que lleven IA dentro (Parlamento Europeo y Consejo, 2023). La responsabilidad civil cuando la máquina causa un accidente es un tema delicado, no esta del todo claro si responde el operador, el fabricante o el integrador, y la propuesta de Directiva de responsabilidad por IA mete presunciones de causalidad para que al perjudicado le resulte mas fácil reclamar. En el Reglamento de IA este caso por defecto no es de alto riesgo, pero la maquinaria autónoma cuando hace funciones de seguridad si entra en el Anexo I. Y luego está el debate ético, que aquí es básicamente el efecto que esto tiene sobre el empleo agrícola estacional (FAO, 2022).</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Este caso es el ejemplo de manual de “alto riesgo” en el Reglamento de IA, está literalmente en el Anexo III, punto 4: empleo y gestión de trabajadores, lo que significa que obliga a evaluación de conformidad, registro en la base de datos europea, gestión del riesgo y supervisión humana (Comisión Europea, 2024). Y por encima de eso aplica el RGPD: hace falta una base legal, minimización de datos y, sobre todo, ojo con el articulo 22 que prohíbe en general las decisiones íntegramente automatizadas. En España ademas hay que tener en cuenta las obligaciones de información del Estatuto de los Trabajadores tras la Ley Rider (Jefatura del Estado, 2021). El caso clásico de lo que puede salir mal es el de Amazon en 2018, que tuvo que retirar su sistema interno de cribado de cvs porque estaba discriminando a las mujeres en perfiles técnicos.</w:t>
      </w:r>
    </w:p>
    <w:p>
      <w:pPr>
        <w:pStyle w:val="Heading2"/>
        <w:spacing w:after="40" w:before="120"/>
      </w:pPr>
      <w:r>
        <w:rPr>
          <w:rFonts w:ascii="Calibri" w:cs="Calibri" w:eastAsia="Calibri" w:hAnsi="Calibri"/>
          <w:b/>
          <w:bCs/>
          <w:color w:val="2E74B5"/>
          <w:sz w:val="24"/>
          <w:szCs w:val="24"/>
        </w:rPr>
        <w:t xml:space="preserve">3.5. Viabilidad económica</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Aquí el CAPEX es muy alto, un tractor autónomo de gama alta tipo John Deere 9RX se va por encima de los 700.000 dólares según el precio publico del fabricante (Deere &amp; Company, 2024). El ahorro está sobre todo en la mano de obra estacional, que cada vez es mas cara y mas escasa en la UE, y en cosechar en el momento óptimo, que reduce las pérdidas postcosecha. El ROI siendo realistas está entre 5 y 7 años y solo cierra los números en explotaciones grandes, para una pyme agrícola lo único que cuadra es el modelo de cosecha como servicio pagado por hectárea.</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la viabilidad económica es muchísimo mejor. El modelo típico es SaaS, se paga por usuario al mes o por puesto, y el ROI se nota en semanas o pocos meses por la reducción del coste por contratación y del time-to-hire (SHRM, 2022). La adopción de la IA generativa en RRHH se está acelerando justo por eso, porque el CAPEX inicial es bajísimo y ademas los beneficios económicos ya están bastante bien documentados en la literatura de gestión de personas con IA (Tambe et al., 2019).</w:t>
      </w:r>
    </w:p>
    <w:p>
      <w:pPr>
        <w:pStyle w:val="Heading2"/>
        <w:spacing w:after="40" w:before="120"/>
      </w:pPr>
      <w:r>
        <w:rPr>
          <w:rFonts w:ascii="Calibri" w:cs="Calibri" w:eastAsia="Calibri" w:hAnsi="Calibri"/>
          <w:b/>
          <w:bCs/>
          <w:color w:val="2E74B5"/>
          <w:sz w:val="24"/>
          <w:szCs w:val="24"/>
        </w:rPr>
        <w:t xml:space="preserve">3.6. Impacto en los procesos existentes</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La cosecha es un proceso con una ventana de tiempo muy corta, si el sistema te falla justo en plena campaña la pérdida de producto puede ser muy bestia, casi total (Van De Walker et al., 2021). Por eso el despliegue realista no es uno de sustitución total, es mas bien de convivencia entre humanos y IA durante bastantes campañas, con cuadrillas humanas de respaldo y con el operador haciendo de supervisor remoto de varias máquinas a la vez.</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el riesgo operativo principal son los falsos negativos: candidatos buenos que el sistema descarta por sesgo o por una palabra clave que no aparece en el cv, sin que el recruiter llegue a ver el cv siquiera (Köchling &amp; Wehner, 2020). Por eso, y porque ademas lo exige el articulo 14 del Reglamento de IA, el diseño correcto siempre es human-in-the-loop, la IA propone un ranking y una explicación pero la decisión final tiene que ser humana, y luego hay que hacer auditorías periódicas de equidad (Comisión Europea, 2024).</w:t>
      </w:r>
    </w:p>
    <w:p>
      <w:pPr>
        <w:pStyle w:val="Heading1"/>
        <w:spacing w:after="60" w:before="160"/>
      </w:pPr>
      <w:r>
        <w:rPr>
          <w:rFonts w:ascii="Calibri" w:cs="Calibri" w:eastAsia="Calibri" w:hAnsi="Calibri"/>
          <w:b/>
          <w:bCs/>
          <w:color w:val="1F3864"/>
          <w:sz w:val="26"/>
          <w:szCs w:val="26"/>
        </w:rPr>
        <w:t xml:space="preserve">4. Tabla comparativa resumen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23"/>
        <w:gridCol w:w="3723"/>
      </w:tblGrid>
      <w:tr>
        <w:tc>
          <w:tcPr>
            <w:tcW w:type="dxa" w:w="23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spacing w:line="240"/>
            </w:pPr>
            <w:r>
              <w:rPr>
                <w:rFonts w:ascii="Calibri" w:cs="Calibri" w:eastAsia="Calibri" w:hAnsi="Calibri"/>
                <w:b/>
                <w:bCs/>
                <w:color w:val="FFFFFF"/>
                <w:sz w:val="18"/>
                <w:szCs w:val="18"/>
              </w:rPr>
              <w:t xml:space="preserve">Dimensión</w:t>
            </w:r>
          </w:p>
        </w:tc>
        <w:tc>
          <w:tcPr>
            <w:tcW w:type="dxa" w:w="3723"/>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spacing w:line="240"/>
            </w:pPr>
            <w:r>
              <w:rPr>
                <w:rFonts w:ascii="Calibri" w:cs="Calibri" w:eastAsia="Calibri" w:hAnsi="Calibri"/>
                <w:b/>
                <w:bCs/>
                <w:color w:val="FFFFFF"/>
                <w:sz w:val="18"/>
                <w:szCs w:val="18"/>
              </w:rPr>
              <w:t xml:space="preserve">Caso A: Cosecha automatizada</w:t>
            </w:r>
          </w:p>
        </w:tc>
        <w:tc>
          <w:tcPr>
            <w:tcW w:type="dxa" w:w="3723"/>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spacing w:line="240"/>
            </w:pPr>
            <w:r>
              <w:rPr>
                <w:rFonts w:ascii="Calibri" w:cs="Calibri" w:eastAsia="Calibri" w:hAnsi="Calibri"/>
                <w:b/>
                <w:bCs/>
                <w:color w:val="FFFFFF"/>
                <w:sz w:val="18"/>
                <w:szCs w:val="18"/>
              </w:rPr>
              <w:t xml:space="preserve">Caso B: Matching de empleo</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Datos necesarios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Imágenes y vídeo etiquetado de frutos por variedad, estado de maduración, iluminación y oclusión; datos GPS/RTK y mapas de parcela. Datos casi inexistentes; hay que generarlos campo a campo.</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CVs históricos, descripciones de oferta, históricos de contratación y rendimiento. Datos personales sensibles (Art. 9 RGPD); existen en ATS pero arrastran sesgos históricos.</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Infraestructura tecnológica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Tractor con cámaras multiespectrales, LIDAR, GPS RTK (precisión cm), GPU embebida, batería/diésel, conectividad 4G/5G en zona rural (frecuente cuello de botella).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SaaS en cloud (AWS/Azure/GCP), APIs con LinkedIn/InfoJobs/ATS (Workday, Greenhouse), modelos NLP (transformers). CAPEX casi nulo, OPEX por usuario.</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Aspectos organizativos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El tractorista pasa de operar a supervisar varias máquinas; integración con ERP agrícola; resistencia en explotaciones familiares y cooperativas pequeñas.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El reclutador pasa de filtrar a entrevistar y validar; gobernanza algorítmica en RRHH; necesidad de comité de IA y comunicación con candidatos.</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Aspectos legales y éticos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Reglamento de Máquinas (UE 2023/1230), normativa de seguridad, responsabilidad civil del fabricante/operador, seguros agrícolas. AI Act: riesgo limitado salvo seguridad.</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AI Act: ALTO RIESGO (Anexo III, empleo). RGPD pleno, derecho a explicación, prohibición de decisión 100% automatizada (Art. 22), riesgo de sesgo (caso Amazon 2018).</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Viabilidad económica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CAPEX muy alto (300–800 k€ por tractor autónomo); ROI 5–7 años. Solo viable a gran escala o por servicio (cosecha por hectárea).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OPEX bajo (10–60 €/usuario/mes en SaaS; suites empresa 30–80 k€/año). ROI rápido vía time-to-hire y coste por contratación.</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Impacto en procesos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Sustituye o complementa al cosechero en una ventana corta; un fallo en plena cosecha implica pérdida de producto. Necesita plan de contingencia y operación humano-IA.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Filtrado automatizado con riesgo de falsos negativos; obligatorio human-in-the-loop. Impacto en tiempos de selección y experiencia del candidato.</w:t>
            </w:r>
          </w:p>
        </w:tc>
      </w:tr>
    </w:tbl>
    <w:p>
      <w:pPr>
        <w:pStyle w:val="Heading1"/>
        <w:spacing w:after="60" w:before="160"/>
      </w:pPr>
      <w:r>
        <w:rPr>
          <w:rFonts w:ascii="Calibri" w:cs="Calibri" w:eastAsia="Calibri" w:hAnsi="Calibri"/>
          <w:b/>
          <w:bCs/>
          <w:color w:val="1F3864"/>
          <w:sz w:val="26"/>
          <w:szCs w:val="26"/>
        </w:rPr>
        <w:t xml:space="preserve">5. Conclusión</w:t>
      </w:r>
    </w:p>
    <w:p>
      <w:pPr>
        <w:spacing w:after="60" w:line="360"/>
        <w:jc w:val="both"/>
      </w:pPr>
      <w:r>
        <w:rPr>
          <w:rFonts w:ascii="Calibri" w:cs="Calibri" w:eastAsia="Calibri" w:hAnsi="Calibri"/>
          <w:sz w:val="24"/>
          <w:szCs w:val="24"/>
        </w:rPr>
        <w:t xml:space="preserve">De los dos casos, yo creo que el de matching de empleo es claramente mas viable a corto plazo: la infraestructura propia que necesitas es muy poca, los datos ya existen, y el ROI es muy rápido. El problema real aquí no es técnico, es regulatorio y ético, al estar listado como “alto riesgo” en el Reglamento de IA exige una gobernanza seria de sesgo, supervisión humana y transparencia, y un fallo aquí daña directamente a personas, como pasó con Amazon (Köchling &amp; Wehner, 2020). El caso de la cosecha automatizada es justo lo contrario: éticamente es bastante menos polémico pero técnica y económicamente es muchísimo mas exigente, sobre todo por los datos, la infraestructura y el CAPEX. A medio plazo yo creo que el caso A va a acabar beneficiando mas a la sociedad porque resuelve un problema estructural de falta de mano de obra, pero a corto plazo el que se va a desplegar de forma masiva es el caso B.</w:t>
      </w:r>
    </w:p>
    <w:p>
      <w:pPr>
        <w:pStyle w:val="Heading1"/>
        <w:spacing w:after="60" w:before="160"/>
      </w:pPr>
      <w:r>
        <w:rPr>
          <w:rFonts w:ascii="Calibri" w:cs="Calibri" w:eastAsia="Calibri" w:hAnsi="Calibri"/>
          <w:b/>
          <w:bCs/>
          <w:color w:val="1F3864"/>
          <w:sz w:val="26"/>
          <w:szCs w:val="26"/>
        </w:rPr>
        <w:t xml:space="preserve">6. Referencias</w:t>
      </w:r>
    </w:p>
    <w:p>
      <w:pPr>
        <w:spacing w:after="60" w:line="280"/>
        <w:ind w:left="567" w:hanging="567"/>
      </w:pPr>
      <w:r>
        <w:rPr>
          <w:rFonts w:ascii="Calibri" w:cs="Calibri" w:eastAsia="Calibri" w:hAnsi="Calibri"/>
          <w:sz w:val="20"/>
          <w:szCs w:val="20"/>
        </w:rPr>
        <w:t xml:space="preserve">Bondi, E., Lerman, K., et al. (2023). Artificial intelligence in precision agriculture: A review. Computers and Electronics in Agriculture, 211, 108001. https://doi.org/10.1016/j.compag.2023.108001</w:t>
      </w:r>
    </w:p>
    <w:p>
      <w:pPr>
        <w:spacing w:after="60" w:line="280"/>
        <w:ind w:left="567" w:hanging="567"/>
      </w:pPr>
      <w:r>
        <w:rPr>
          <w:rFonts w:ascii="Calibri" w:cs="Calibri" w:eastAsia="Calibri" w:hAnsi="Calibri"/>
          <w:sz w:val="20"/>
          <w:szCs w:val="20"/>
        </w:rPr>
        <w:t xml:space="preserve">Comisión Europea. (2022). Propuesta de Directiva del Parlamento Europeo y del Consejo relativa a la adaptación de las normas de responsabilidad civil extracontractual a la inteligencia artificial (Directiva sobre responsabilidad en materia de IA), COM(2022) 496 final. https://eur-lex.europa.eu/legal-content/ES/TXT/?uri=CELEX:52022PC0496</w:t>
      </w:r>
    </w:p>
    <w:p>
      <w:pPr>
        <w:spacing w:after="60" w:line="280"/>
        <w:ind w:left="567" w:hanging="567"/>
      </w:pPr>
      <w:r>
        <w:rPr>
          <w:rFonts w:ascii="Calibri" w:cs="Calibri" w:eastAsia="Calibri" w:hAnsi="Calibri"/>
          <w:sz w:val="20"/>
          <w:szCs w:val="20"/>
        </w:rPr>
        <w:t xml:space="preserve">Comisión Europea. (2024). Reglamento (UE) 2024/1689 del Parlamento Europeo y del Consejo, por el que se establecen normas armonizadas en materia de inteligencia artificial (Reglamento de IA). Diario Oficial de la Unión Europea. https://eur-lex.europa.eu/eli/reg/2024/1689/oj</w:t>
      </w:r>
    </w:p>
    <w:p>
      <w:pPr>
        <w:spacing w:after="60" w:line="280"/>
        <w:ind w:left="567" w:hanging="567"/>
      </w:pPr>
      <w:r>
        <w:rPr>
          <w:rFonts w:ascii="Calibri" w:cs="Calibri" w:eastAsia="Calibri" w:hAnsi="Calibri"/>
          <w:sz w:val="20"/>
          <w:szCs w:val="20"/>
        </w:rPr>
        <w:t xml:space="preserve">Dastin, J. (2018, 11 de octubre). Amazon scraps secret AI recruiting tool that showed bias against women. Reuters. https://www.reuters.com/article/idUSKCN1MK0AG/</w:t>
      </w:r>
    </w:p>
    <w:p>
      <w:pPr>
        <w:spacing w:after="60" w:line="280"/>
        <w:ind w:left="567" w:hanging="567"/>
      </w:pPr>
      <w:r>
        <w:rPr>
          <w:rFonts w:ascii="Calibri" w:cs="Calibri" w:eastAsia="Calibri" w:hAnsi="Calibri"/>
          <w:sz w:val="20"/>
          <w:szCs w:val="20"/>
        </w:rPr>
        <w:t xml:space="preserve">Deere &amp; Company. (2024). Autonomous 9RX Tractor: Technical specifications and pricing. https://www.deere.com/en/autonomous/</w:t>
      </w:r>
    </w:p>
    <w:p>
      <w:pPr>
        <w:spacing w:after="60" w:line="280"/>
        <w:ind w:left="567" w:hanging="567"/>
      </w:pPr>
      <w:r>
        <w:rPr>
          <w:rFonts w:ascii="Calibri" w:cs="Calibri" w:eastAsia="Calibri" w:hAnsi="Calibri"/>
          <w:sz w:val="20"/>
          <w:szCs w:val="20"/>
        </w:rPr>
        <w:t xml:space="preserve">FAO. (2022). The state of food and agriculture 2022: Leveraging automation in agriculture for transforming agrifood systems. Food and Agriculture Organization of the United Nations. https://doi.org/10.4060/cb9479en</w:t>
      </w:r>
    </w:p>
    <w:p>
      <w:pPr>
        <w:spacing w:after="60" w:line="280"/>
        <w:ind w:left="567" w:hanging="567"/>
      </w:pPr>
      <w:r>
        <w:rPr>
          <w:rFonts w:ascii="Calibri" w:cs="Calibri" w:eastAsia="Calibri" w:hAnsi="Calibri"/>
          <w:sz w:val="20"/>
          <w:szCs w:val="20"/>
        </w:rPr>
        <w:t xml:space="preserve">Gartner. (2018, 13 de febrero). Gartner says nearly half of CIOs are planning to deploy artificial intelligence. Gartner, Inc. https://www.gartner.com/en/newsroom/press-releases/2018-02-13-gartner-says-nearly-half-of-cios-are-planning-to-deploy-artificial-intelligence</w:t>
      </w:r>
    </w:p>
    <w:p>
      <w:pPr>
        <w:spacing w:after="60" w:line="280"/>
        <w:ind w:left="567" w:hanging="567"/>
      </w:pPr>
      <w:r>
        <w:rPr>
          <w:rFonts w:ascii="Calibri" w:cs="Calibri" w:eastAsia="Calibri" w:hAnsi="Calibri"/>
          <w:sz w:val="20"/>
          <w:szCs w:val="20"/>
        </w:rPr>
        <w:t xml:space="preserve">Haggag, S., Veres, M., Tarry, C., &amp; Moussa, M. (2024). Object detection in tomato greenhouses: A study on model generalization. Agriculture, 14(2), 173. https://doi.org/10.3390/agriculture14020173</w:t>
      </w:r>
    </w:p>
    <w:p>
      <w:pPr>
        <w:spacing w:after="60" w:line="280"/>
        <w:ind w:left="567" w:hanging="567"/>
      </w:pPr>
      <w:r>
        <w:rPr>
          <w:rFonts w:ascii="Calibri" w:cs="Calibri" w:eastAsia="Calibri" w:hAnsi="Calibri"/>
          <w:sz w:val="20"/>
          <w:szCs w:val="20"/>
        </w:rPr>
        <w:t xml:space="preserve">Jefatura del Estado. (2021). Real Decreto-ley 9/2021, de 11 de mayo, por el que se modifica el texto refundido de la Ley del Estatuto de los Trabajadores en materia de garantía de los derechos laborales de las personas dedicadas al reparto en el ámbito de plataformas digitales. BOE núm. 113. https://www.boe.es/eli/es/rdl/2021/05/11/9</w:t>
      </w:r>
    </w:p>
    <w:p>
      <w:pPr>
        <w:spacing w:after="60" w:line="280"/>
        <w:ind w:left="567" w:hanging="567"/>
      </w:pPr>
      <w:r>
        <w:rPr>
          <w:rFonts w:ascii="Calibri" w:cs="Calibri" w:eastAsia="Calibri" w:hAnsi="Calibri"/>
          <w:sz w:val="20"/>
          <w:szCs w:val="20"/>
        </w:rPr>
        <w:t xml:space="preserve">Köchling, A., &amp; Wehner, M. C. (2020). Discriminated by an algorithm: A systematic review of discrimination and fairness by algorithmic decision-making in the context of HR recruitment and HR development. Business Research, 13(3), 795–848. https://doi.org/10.1007/s40685-020-00134-w</w:t>
      </w:r>
    </w:p>
    <w:p>
      <w:pPr>
        <w:spacing w:after="60" w:line="280"/>
        <w:ind w:left="567" w:hanging="567"/>
      </w:pPr>
      <w:r>
        <w:rPr>
          <w:rFonts w:ascii="Calibri" w:cs="Calibri" w:eastAsia="Calibri" w:hAnsi="Calibri"/>
          <w:sz w:val="20"/>
          <w:szCs w:val="20"/>
        </w:rPr>
        <w:t xml:space="preserve">MAPA. (2020). Encuesta sobre la estructura de las explotaciones agrícolas. Ministerio de Agricultura, Pesca y Alimentación. https://www.mapa.gob.es/es/estadistica/temas/estadisticas-agrarias/</w:t>
      </w:r>
    </w:p>
    <w:p>
      <w:pPr>
        <w:spacing w:after="60" w:line="280"/>
        <w:ind w:left="567" w:hanging="567"/>
      </w:pPr>
      <w:r>
        <w:rPr>
          <w:rFonts w:ascii="Calibri" w:cs="Calibri" w:eastAsia="Calibri" w:hAnsi="Calibri"/>
          <w:sz w:val="20"/>
          <w:szCs w:val="20"/>
        </w:rPr>
        <w:t xml:space="preserve">McKinsey &amp; Company. (2024). The state of AI in 2024: Generative AI's breakout year. https://www.mckinsey.com/capabilities/quantumblack/our-insights/the-state-of-ai</w:t>
      </w:r>
    </w:p>
    <w:p>
      <w:pPr>
        <w:spacing w:after="60" w:line="280"/>
        <w:ind w:left="567" w:hanging="567"/>
      </w:pPr>
      <w:r>
        <w:rPr>
          <w:rFonts w:ascii="Calibri" w:cs="Calibri" w:eastAsia="Calibri" w:hAnsi="Calibri"/>
          <w:sz w:val="20"/>
          <w:szCs w:val="20"/>
        </w:rPr>
        <w:t xml:space="preserve">Parlamento Europeo y Consejo. (2016). Reglamento (UE) 2016/679 General de Protección de Datos (RGPD). Diario Oficial de la Unión Europea. https://eur-lex.europa.eu/eli/reg/2016/679/oj</w:t>
      </w:r>
    </w:p>
    <w:p>
      <w:pPr>
        <w:spacing w:after="60" w:line="280"/>
        <w:ind w:left="567" w:hanging="567"/>
      </w:pPr>
      <w:r>
        <w:rPr>
          <w:rFonts w:ascii="Calibri" w:cs="Calibri" w:eastAsia="Calibri" w:hAnsi="Calibri"/>
          <w:sz w:val="20"/>
          <w:szCs w:val="20"/>
        </w:rPr>
        <w:t xml:space="preserve">Parlamento Europeo y Consejo. (2023). Reglamento (UE) 2023/1230 relativo a las máquinas. Diario Oficial de la Unión Europea. https://eur-lex.europa.eu/eli/reg/2023/1230/oj</w:t>
      </w:r>
    </w:p>
    <w:p>
      <w:pPr>
        <w:spacing w:after="60" w:line="280"/>
        <w:ind w:left="567" w:hanging="567"/>
      </w:pPr>
      <w:r>
        <w:rPr>
          <w:rFonts w:ascii="Calibri" w:cs="Calibri" w:eastAsia="Calibri" w:hAnsi="Calibri"/>
          <w:sz w:val="20"/>
          <w:szCs w:val="20"/>
        </w:rPr>
        <w:t xml:space="preserve">SHRM. (2022). 2022 Talent Acquisition Benchmarking Report. Society for Human Resource Management. https://www.shrm.org/topics-tools/research/talent-acquisition-benchmarking-report</w:t>
      </w:r>
    </w:p>
    <w:p>
      <w:pPr>
        <w:spacing w:after="60" w:line="280"/>
        <w:ind w:left="567" w:hanging="567"/>
      </w:pPr>
      <w:r>
        <w:rPr>
          <w:rFonts w:ascii="Calibri" w:cs="Calibri" w:eastAsia="Calibri" w:hAnsi="Calibri"/>
          <w:sz w:val="20"/>
          <w:szCs w:val="20"/>
        </w:rPr>
        <w:t xml:space="preserve">Stanford HAI. (2024). Artificial Intelligence Index Report 2024. Stanford University. https://aiindex.stanford.edu/report/</w:t>
      </w:r>
    </w:p>
    <w:p>
      <w:pPr>
        <w:spacing w:after="60" w:line="280"/>
        <w:ind w:left="567" w:hanging="567"/>
      </w:pPr>
      <w:r>
        <w:rPr>
          <w:rFonts w:ascii="Calibri" w:cs="Calibri" w:eastAsia="Calibri" w:hAnsi="Calibri"/>
          <w:sz w:val="20"/>
          <w:szCs w:val="20"/>
        </w:rPr>
        <w:t xml:space="preserve">Tambe, P., Cappelli, P., &amp; Yakubovich, V. (2019). Artificial intelligence in human resources management: Challenges and a path forward. California Management Review, 61(4), 15–42. https://doi.org/10.1177/0008125619867910</w:t>
      </w:r>
    </w:p>
    <w:p>
      <w:pPr>
        <w:spacing w:after="60" w:line="280"/>
        <w:ind w:left="567" w:hanging="567"/>
      </w:pPr>
      <w:r>
        <w:rPr>
          <w:rFonts w:ascii="Calibri" w:cs="Calibri" w:eastAsia="Calibri" w:hAnsi="Calibri"/>
          <w:sz w:val="20"/>
          <w:szCs w:val="20"/>
        </w:rPr>
        <w:t xml:space="preserve">Van De Walker, B., Byrne, B., Near, J., Purdie, B., Whatman, M., Weales, D., Tarry, C., &amp; Moussa, M. (2021). Developing a realistic simulation environment for robotics harvesting operations in a vegetable greenhouse. Agronomy, 11(9), 1848. https://doi.org/10.3390/agronomy11091848</w:t>
      </w:r>
    </w:p>
    <w:p>
      <w:pPr>
        <w:spacing w:after="60" w:line="280"/>
        <w:ind w:left="567" w:hanging="567"/>
      </w:pPr>
      <w:r>
        <w:rPr>
          <w:rFonts w:ascii="Calibri" w:cs="Calibri" w:eastAsia="Calibri" w:hAnsi="Calibri"/>
          <w:sz w:val="20"/>
          <w:szCs w:val="20"/>
        </w:rPr>
        <w:t xml:space="preserve">Vaswani, A., Shazeer, N., Parmar, N., Uszkoreit, J., Jones, L., Gomez, A. N., Kaiser, Ł., &amp; Polosukhin, I. (2017). Attention is all you need. Advances in Neural Information Processing Systems, 30. https://arxiv.org/abs/1706.03762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2026-04-25T18:37:27.188Z</dcterms:created>
  <dcterms:modified xsi:type="dcterms:W3CDTF">2026-04-25T18:37:27.188Z</dcterms:modified>
</cp:coreProperties>
</file>

<file path=docProps/custom.xml><?xml version="1.0" encoding="utf-8"?>
<Properties xmlns="http://schemas.openxmlformats.org/officeDocument/2006/custom-properties" xmlns:vt="http://schemas.openxmlformats.org/officeDocument/2006/docPropsVTypes"/>
</file>