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df" ContentType="application/pdf"/>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ection"/>
    <w:p>
      <w:pPr>
        <w:pStyle w:val="Heading1"/>
      </w:pPr>
    </w:p>
    <w:tbl>
      <w:tblPr>
        <w:tblStyle w:val="Table"/>
        <w:tblW w:type="auto" w:w="0"/>
        <w:tblLook w:firstRow="0" w:lastRow="0" w:firstColumn="0" w:lastColumn="0" w:noHBand="0" w:noVBand="0" w:val="0000"/>
      </w:tblPr>
      <w:tblGrid>
        <w:gridCol w:w="3960"/>
        <w:gridCol w:w="3960"/>
      </w:tblGrid>
      <w:tr>
        <w:tc>
          <w:tcPr/>
          <w:p>
            <w:pPr>
              <w:pStyle w:val="Compact"/>
            </w:pPr>
          </w:p>
        </w:tc>
        <w:tc>
          <w:tcPr/>
          <w:p>
            <w:pPr>
              <w:pStyle w:val="Compact"/>
            </w:pPr>
          </w:p>
        </w:tc>
      </w:tr>
      <w:tr>
        <w:tc>
          <w:tcPr/>
          <w:p>
            <w:pPr>
              <w:pStyle w:val="Compact"/>
            </w:pPr>
          </w:p>
        </w:tc>
        <w:tc>
          <w:tcPr/>
          <w:p>
            <w:pPr>
              <w:pStyle w:val="Compact"/>
              <w:jc w:val="right"/>
            </w:pPr>
            <w:r>
              <w:t xml:space="preserve">*</w:t>
            </w:r>
            <w:r>
              <w:drawing>
                <wp:inline>
                  <wp:extent cx="2087999" cy="791999"/>
                  <wp:effectExtent b="0" l="0" r="0" t="0"/>
                  <wp:docPr descr="image" title="" id="10" name="Picture"/>
                  <a:graphic>
                    <a:graphicData uri="http://schemas.openxmlformats.org/drawingml/2006/picture">
                      <pic:pic>
                        <pic:nvPicPr>
                          <pic:cNvPr descr="SciencePGLOGO.pdf" id="11" name="Picture"/>
                          <pic:cNvPicPr>
                            <a:picLocks noChangeArrowheads="1" noChangeAspect="1"/>
                          </pic:cNvPicPr>
                        </pic:nvPicPr>
                        <pic:blipFill>
                          <a:blip r:embed="rId9"/>
                          <a:stretch>
                            <a:fillRect/>
                          </a:stretch>
                        </pic:blipFill>
                        <pic:spPr bwMode="auto">
                          <a:xfrm>
                            <a:off x="0" y="0"/>
                            <a:ext cx="2087999" cy="791999"/>
                          </a:xfrm>
                          <a:prstGeom prst="rect">
                            <a:avLst/>
                          </a:prstGeom>
                          <a:noFill/>
                          <a:ln w="9525">
                            <a:noFill/>
                            <a:headEnd/>
                            <a:tailEnd/>
                          </a:ln>
                        </pic:spPr>
                      </pic:pic>
                    </a:graphicData>
                  </a:graphic>
                </wp:inline>
              </w:drawing>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br/>
      </w:r>
    </w:p>
    <w:p>
      <w:r>
        <w:pict>
          <v:rect style="width:0;height:1.5pt" o:hralign="center" o:hrstd="t" o:hr="t"/>
        </w:pict>
      </w:r>
    </w:p>
    <w:p>
      <w:r>
        <w:pict>
          <v:rect style="width:0;height:1.5pt" o:hralign="center" o:hrstd="t" o:hr="t"/>
        </w:pict>
      </w:r>
    </w:p>
    <w:p>
      <w:pPr>
        <w:pStyle w:val="FirstParagraph"/>
      </w:pPr>
      <w:r>
        <w:t xml:space="preserve">2</w:t>
      </w:r>
    </w:p>
    <w:bookmarkStart w:id="12" w:name="introduction"/>
    <w:p>
      <w:pPr>
        <w:pStyle w:val="Heading2"/>
      </w:pPr>
      <w:r>
        <w:t xml:space="preserve">Introduction</w:t>
      </w:r>
    </w:p>
    <w:p>
      <w:pPr>
        <w:pStyle w:val="FirstParagraph"/>
      </w:pPr>
      <w:r>
        <w:t xml:space="preserve">This template, created in MS Word 2000/2007/2010 and saved as “Word 97-2000 &amp; 6.0/95 ¨C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journal publication. Margins, column widths, line spacing, and type styles are built-in; examples of the type styles are provided throughout this document. Some components, such as multi-leveled equations, graphics, and tables are not prescribed, although the various table text styles are provided. The formatter will need to create these components, incorporating the applicable criteria that follow.</w:t>
      </w:r>
    </w:p>
    <w:bookmarkEnd w:id="12"/>
    <w:bookmarkStart w:id="18" w:name="X78178a15028499b6d7be7b99ab13df8870daf3f"/>
    <w:p>
      <w:pPr>
        <w:pStyle w:val="Heading2"/>
      </w:pPr>
      <w:r>
        <w:t xml:space="preserve">Custom Title</w:t>
      </w:r>
      <w:r>
        <w:br/>
      </w:r>
      <w:r>
        <w:t xml:space="preserve">(SciencePG-Level1-Multiple-line)</w:t>
      </w:r>
    </w:p>
    <w:bookmarkStart w:id="13" w:name="sciencepg-level2-single-line"/>
    <w:p>
      <w:pPr>
        <w:pStyle w:val="Heading3"/>
      </w:pPr>
      <w:r>
        <w:t xml:space="preserve">SciencePG-Level2-Single-line</w:t>
      </w:r>
    </w:p>
    <w:p>
      <w:pPr>
        <w:pStyle w:val="FirstParagraph"/>
      </w:pPr>
      <w:r>
        <w:t xml:space="preserve">First, confirm that you have the correct template for your paper size. This template has been tailored for output on the A4 paper size.</w:t>
      </w:r>
    </w:p>
    <w:bookmarkEnd w:id="13"/>
    <w:bookmarkStart w:id="17" w:name="sciencepg-level2-single-line-1"/>
    <w:p>
      <w:pPr>
        <w:pStyle w:val="Heading3"/>
      </w:pPr>
      <w:r>
        <w:t xml:space="preserve">SciencePG-Level2-Single-line</w:t>
      </w:r>
    </w:p>
    <w:p>
      <w:pPr>
        <w:pStyle w:val="FirstParagraph"/>
      </w:pPr>
      <w: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w:t>
      </w:r>
    </w:p>
    <w:bookmarkStart w:id="14" w:name="sciencepg-level3-single-line"/>
    <w:p>
      <w:pPr>
        <w:pStyle w:val="Heading4"/>
      </w:pPr>
      <w:r>
        <w:t xml:space="preserve">SciencePG-Level3-Single-line</w:t>
      </w:r>
    </w:p>
    <w:p>
      <w:pPr>
        <w:pStyle w:val="FirstParagraph"/>
      </w:pPr>
      <w: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bookmarkEnd w:id="14"/>
    <w:bookmarkStart w:id="15" w:name="X6eeac5fd1c41b85701a95bb8bd117f9527aacdf"/>
    <w:p>
      <w:pPr>
        <w:pStyle w:val="Heading4"/>
      </w:pPr>
      <w:r>
        <w:t xml:space="preserve">Abbreviations (SciencePG-Level3-Single-line)</w:t>
      </w:r>
    </w:p>
    <w:p>
      <w:pPr>
        <w:pStyle w:val="FirstParagraph"/>
      </w:pPr>
      <w: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bookmarkEnd w:id="15"/>
    <w:bookmarkStart w:id="16" w:name="Xc6cdbd1c0d436c096a20b4c87e1b4abae76c8c0"/>
    <w:p>
      <w:pPr>
        <w:pStyle w:val="Heading4"/>
      </w:pPr>
      <w:r>
        <w:t xml:space="preserve">Abbreviations (SciencePG-Level3-Single-line)</w:t>
      </w:r>
    </w:p>
    <w:p>
      <w:pPr>
        <w:pStyle w:val="FirstParagraph"/>
      </w:pPr>
      <w: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pPr>
      <w:r>
        <w:t xml:space="preserve">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pPr>
        <w:pStyle w:val="BodyText"/>
      </w:pPr>
      <m:oMathPara>
        <m:oMathParaPr>
          <m:jc m:val="center"/>
        </m:oMathParaPr>
        <m:oMath>
          <m:m>
            <m:mPr>
              <m:baseJc m:val="center"/>
              <m:plcHide m:val="on"/>
              <m:mcs>
                <m:mc>
                  <m:mcPr>
                    <m:mcJc m:val="right"/>
                    <m:count m:val="1"/>
                  </m:mcPr>
                </m:mc>
              </m:mcs>
            </m:mPr>
            <m:mr>
              <m:e>
                <m:r>
                  <m:t>c</m:t>
                </m:r>
                <m:r>
                  <m:t>X</m:t>
                </m:r>
                <m:r>
                  <m:rPr>
                    <m:sty m:val="p"/>
                  </m:rPr>
                  <m:t>+</m:t>
                </m:r>
                <m:r>
                  <m:t>Y</m:t>
                </m:r>
                <m:r>
                  <m:rPr>
                    <m:sty m:val="p"/>
                  </m:rPr>
                  <m:t>=</m:t>
                </m:r>
                <m:r>
                  <m:t>Z</m:t>
                </m:r>
              </m:e>
            </m:mr>
            <m:mr>
              <m:e>
                <m:r>
                  <m:t>X</m:t>
                </m:r>
                <m:r>
                  <m:t>1</m:t>
                </m:r>
                <m:r>
                  <m:rPr>
                    <m:sty m:val="p"/>
                  </m:rPr>
                  <m:t>−</m:t>
                </m:r>
                <m:r>
                  <m:t>Y</m:t>
                </m:r>
                <m:r>
                  <m:t>2</m:t>
                </m:r>
                <m:r>
                  <m:rPr>
                    <m:sty m:val="p"/>
                  </m:rPr>
                  <m:t>=</m:t>
                </m:r>
                <m:sSup>
                  <m:e>
                    <m:r>
                      <m:t>R</m:t>
                    </m:r>
                  </m:e>
                  <m:sup>
                    <m:r>
                      <m:rPr>
                        <m:sty m:val="p"/>
                      </m:rPr>
                      <m:t>*</m:t>
                    </m:r>
                  </m:sup>
                </m:sSup>
              </m:e>
            </m:mr>
          </m:m>
        </m:oMath>
      </m:oMathPara>
    </w:p>
    <w:p>
      <w:pPr>
        <w:pStyle w:val="FirstParagraph"/>
      </w:pPr>
      <w:r>
        <w:t xml:space="preserve">Note that the equation is centered using a center tab stop. Be sure that the symbols in your equation have been defined before or immediately following the equation. Use “(1)", not “Eq. (1)" or “equation (1)", except at the beginning of a sentence: “Equation (1) is . . ."</w:t>
      </w:r>
    </w:p>
    <w:bookmarkEnd w:id="16"/>
    <w:bookmarkEnd w:id="17"/>
    <w:bookmarkEnd w:id="18"/>
    <w:bookmarkStart w:id="21" w:name="sciencepg-level1-single-line"/>
    <w:p>
      <w:pPr>
        <w:pStyle w:val="Heading2"/>
      </w:pPr>
      <w:r>
        <w:t xml:space="preserve">SciencePG-Level1-Single-line</w:t>
      </w:r>
    </w:p>
    <w:bookmarkStart w:id="19" w:name="figure-sciencepg-level2-single-line"/>
    <w:p>
      <w:pPr>
        <w:pStyle w:val="Heading3"/>
      </w:pPr>
      <w:r>
        <w:t xml:space="preserve">Figure (SciencePG-Level2-Single-line)</w:t>
      </w:r>
    </w:p>
    <w:p>
      <w:pPr>
        <w:pStyle w:val="FirstParagraph"/>
      </w:pPr>
      <w:r>
        <w:t xml:space="preserve">Figure is as follows: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“Figure 1", even at the beginning of a sentence.</w:t>
      </w:r>
    </w:p>
    <w:bookmarkEnd w:id="19"/>
    <w:bookmarkStart w:id="20" w:name="table-sciencepg-level2-single-line"/>
    <w:p>
      <w:pPr>
        <w:pStyle w:val="Heading3"/>
      </w:pPr>
      <w:r>
        <w:t xml:space="preserve">Table (SciencePG-Level2-Single-line)</w:t>
      </w:r>
    </w:p>
    <w:p>
      <w:pPr>
        <w:pStyle w:val="FirstParagraph"/>
      </w:pPr>
      <w:r>
        <w:t xml:space="preserve">Table is as follows: Use words rather than symbols or abbreviations when writing Figure axis labels to avoid confusing the reader. As an example, write the quantity “Magnetization", or “Magnetization, M", not just “M".</w:t>
      </w:r>
    </w:p>
    <w:bookmarkEnd w:id="20"/>
    <w:bookmarkEnd w:id="21"/>
    <w:bookmarkStart w:id="26" w:name="sciencepg-level1-single-line-1"/>
    <w:p>
      <w:pPr>
        <w:pStyle w:val="Heading2"/>
      </w:pPr>
      <w:r>
        <w:t xml:space="preserve">SciencePG-Level1-Single-line</w:t>
      </w:r>
    </w:p>
    <w:p>
      <w:pPr>
        <w:pStyle w:val="FirstParagraph"/>
      </w:pPr>
      <w: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bookmarkStart w:id="25" w:name="This is the picture style in $LaTeX$"/>
    <w:p>
      <w:pPr>
        <w:pStyle w:val="CaptionedFigure"/>
      </w:pPr>
      <w:r>
        <w:drawing>
          <wp:inline>
            <wp:extent cx="5334000" cy="2376144"/>
            <wp:effectExtent b="0" l="0" r="0" t="0"/>
            <wp:docPr descr="" title="" id="23" name="Picture"/>
            <a:graphic>
              <a:graphicData uri="http://schemas.openxmlformats.org/drawingml/2006/picture">
                <pic:pic>
                  <pic:nvPicPr>
                    <pic:cNvPr descr="picture-LaTeX.png" id="24" name="Picture"/>
                    <pic:cNvPicPr>
                      <a:picLocks noChangeArrowheads="1" noChangeAspect="1"/>
                    </pic:cNvPicPr>
                  </pic:nvPicPr>
                  <pic:blipFill>
                    <a:blip r:embed="rId22"/>
                    <a:stretch>
                      <a:fillRect/>
                    </a:stretch>
                  </pic:blipFill>
                  <pic:spPr bwMode="auto">
                    <a:xfrm>
                      <a:off x="0" y="0"/>
                      <a:ext cx="5334000" cy="2376144"/>
                    </a:xfrm>
                    <a:prstGeom prst="rect">
                      <a:avLst/>
                    </a:prstGeom>
                    <a:noFill/>
                    <a:ln w="9525">
                      <a:noFill/>
                      <a:headEnd/>
                      <a:tailEnd/>
                    </a:ln>
                  </pic:spPr>
                </pic:pic>
              </a:graphicData>
            </a:graphic>
          </wp:inline>
        </w:drawing>
      </w:r>
    </w:p>
    <w:p>
      <w:pPr>
        <w:pStyle w:val="ImageCaption"/>
      </w:pPr>
      <w:r>
        <w:rPr>
          <w:i/>
          <w:iCs/>
        </w:rPr>
        <w:t xml:space="preserve">This is the picture style in LaTeX</w:t>
      </w:r>
    </w:p>
    <w:bookmarkEnd w:id="25"/>
    <w:bookmarkEnd w:id="26"/>
    <w:p>
      <w:pPr>
        <w:pStyle w:val="TableCaption"/>
      </w:pPr>
      <w:r>
        <w:rPr>
          <w:i/>
          <w:iCs/>
        </w:rPr>
        <w:t xml:space="preserve">This is the table style in LaTeX</w:t>
      </w:r>
    </w:p>
    <w:tbl>
      <w:tblPr>
        <w:tblStyle w:val="Table"/>
        <w:tblW w:type="auto" w:w="0"/>
        <w:tblLook w:firstRow="1" w:lastRow="0" w:firstColumn="0" w:lastColumn="0" w:noHBand="0" w:noVBand="0" w:val="0020"/>
        <w:tblCaption w:val="This is the table style in LaTeX"/>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r>
      <w:tr>
        <w:tc>
          <w:tcPr/>
          <w:p>
            <w:pPr>
              <w:pStyle w:val="Compact"/>
              <w:jc w:val="left"/>
            </w:pPr>
            <w:r>
              <w:t xml:space="preserve">A=10</w:t>
            </w:r>
          </w:p>
        </w:tc>
        <w:tc>
          <w:tcPr/>
          <w:p>
            <w:pPr>
              <w:pStyle w:val="Compact"/>
              <w:jc w:val="left"/>
            </w:pPr>
            <w:r>
              <w:t xml:space="preserve">B=11</w:t>
            </w:r>
          </w:p>
        </w:tc>
        <w:tc>
          <w:tcPr/>
          <w:p>
            <w:pPr>
              <w:pStyle w:val="Compact"/>
              <w:jc w:val="left"/>
            </w:pPr>
            <w:r>
              <w:t xml:space="preserve">C=12</w:t>
            </w:r>
          </w:p>
        </w:tc>
        <w:tc>
          <w:tcPr/>
          <w:p>
            <w:pPr>
              <w:pStyle w:val="Compact"/>
              <w:jc w:val="left"/>
            </w:pPr>
            <w:r>
              <w:t xml:space="preserve">D=13</w:t>
            </w:r>
          </w:p>
        </w:tc>
        <w:tc>
          <w:tcPr/>
          <w:p>
            <w:pPr>
              <w:pStyle w:val="Compact"/>
              <w:jc w:val="left"/>
            </w:pPr>
            <w:r>
              <w:t xml:space="preserve">E=14</w:t>
            </w:r>
          </w:p>
        </w:tc>
        <w:tc>
          <w:tcPr/>
          <w:p>
            <w:pPr>
              <w:pStyle w:val="Compact"/>
              <w:jc w:val="left"/>
            </w:pPr>
            <w:r>
              <w:t xml:space="preserve">F=15</w:t>
            </w:r>
          </w:p>
        </w:tc>
        <w:tc>
          <w:tcPr/>
          <w:p>
            <w:pPr>
              <w:pStyle w:val="Compact"/>
              <w:jc w:val="left"/>
            </w:pPr>
            <w:r>
              <w:t xml:space="preserve">G=16</w:t>
            </w:r>
          </w:p>
        </w:tc>
        <w:tc>
          <w:tcPr/>
          <w:p>
            <w:pPr>
              <w:pStyle w:val="Compact"/>
              <w:jc w:val="left"/>
            </w:pPr>
            <w:r>
              <w:t xml:space="preserve">H=17</w:t>
            </w:r>
          </w:p>
        </w:tc>
        <w:tc>
          <w:tcPr/>
          <w:p>
            <w:pPr>
              <w:pStyle w:val="Compact"/>
              <w:jc w:val="left"/>
            </w:pPr>
            <w:r>
              <w:t xml:space="preserve">J=18</w:t>
            </w:r>
          </w:p>
        </w:tc>
        <w:tc>
          <w:tcPr/>
          <w:p>
            <w:pPr>
              <w:pStyle w:val="Compact"/>
              <w:jc w:val="left"/>
            </w:pPr>
            <w:r>
              <w:t xml:space="preserve">K=19</w:t>
            </w:r>
          </w:p>
        </w:tc>
      </w:tr>
      <w:tr>
        <w:tc>
          <w:tcPr/>
          <w:p>
            <w:pPr>
              <w:pStyle w:val="Compact"/>
              <w:jc w:val="left"/>
            </w:pPr>
            <w:r>
              <w:t xml:space="preserve">L=20</w:t>
            </w:r>
          </w:p>
        </w:tc>
        <w:tc>
          <w:tcPr/>
          <w:p>
            <w:pPr>
              <w:pStyle w:val="Compact"/>
              <w:jc w:val="left"/>
            </w:pPr>
            <w:r>
              <w:t xml:space="preserve">M=21</w:t>
            </w:r>
          </w:p>
        </w:tc>
        <w:tc>
          <w:tcPr/>
          <w:p>
            <w:pPr>
              <w:pStyle w:val="Compact"/>
              <w:jc w:val="left"/>
            </w:pPr>
            <w:r>
              <w:t xml:space="preserve">N=22</w:t>
            </w:r>
          </w:p>
        </w:tc>
        <w:tc>
          <w:tcPr/>
          <w:p>
            <w:pPr>
              <w:pStyle w:val="Compact"/>
              <w:jc w:val="left"/>
            </w:pPr>
            <w:r>
              <w:t xml:space="preserve">P=23</w:t>
            </w:r>
          </w:p>
        </w:tc>
        <w:tc>
          <w:tcPr/>
          <w:p>
            <w:pPr>
              <w:pStyle w:val="Compact"/>
              <w:jc w:val="left"/>
            </w:pPr>
            <w:r>
              <w:t xml:space="preserve">Q=24</w:t>
            </w:r>
          </w:p>
        </w:tc>
        <w:tc>
          <w:tcPr/>
          <w:p>
            <w:pPr>
              <w:pStyle w:val="Compact"/>
              <w:jc w:val="left"/>
            </w:pPr>
            <w:r>
              <w:t xml:space="preserve">R=25</w:t>
            </w:r>
          </w:p>
        </w:tc>
        <w:tc>
          <w:tcPr/>
          <w:p>
            <w:pPr>
              <w:pStyle w:val="Compact"/>
              <w:jc w:val="left"/>
            </w:pPr>
            <w:r>
              <w:t xml:space="preserve">S=26</w:t>
            </w:r>
          </w:p>
        </w:tc>
        <w:tc>
          <w:tcPr/>
          <w:p>
            <w:pPr>
              <w:pStyle w:val="Compact"/>
              <w:jc w:val="left"/>
            </w:pPr>
            <w:r>
              <w:t xml:space="preserve">T=27</w:t>
            </w:r>
          </w:p>
        </w:tc>
        <w:tc>
          <w:tcPr/>
          <w:p>
            <w:pPr>
              <w:pStyle w:val="Compact"/>
              <w:jc w:val="left"/>
            </w:pPr>
            <w:r>
              <w:t xml:space="preserve">U=28</w:t>
            </w:r>
          </w:p>
        </w:tc>
        <w:tc>
          <w:tcPr/>
          <w:p>
            <w:pPr>
              <w:pStyle w:val="Compact"/>
              <w:jc w:val="left"/>
            </w:pPr>
            <w:r>
              <w:t xml:space="preserve">V=29</w:t>
            </w:r>
          </w:p>
        </w:tc>
      </w:tr>
    </w:tbl>
    <w:p>
      <w:pPr>
        <w:pStyle w:val="BodyText"/>
      </w:pPr>
      <w:r>
        <w:t xml:space="preserve">2</w:t>
      </w:r>
    </w:p>
    <w:bookmarkStart w:id="27" w:name="sciencepg-level1-single-line-2"/>
    <w:p>
      <w:pPr>
        <w:pStyle w:val="Heading2"/>
      </w:pPr>
      <w:r>
        <w:t xml:space="preserve">SciencePG-Level1-Single-line</w:t>
      </w:r>
    </w:p>
    <w:p>
      <w:pPr>
        <w:pStyle w:val="FirstParagraph"/>
      </w:pPr>
      <w:r>
        <w:t xml:space="preserve">The template will number citations consecutively within brackets [1] . The sentence punctuation follows the bracket [2]. Refer simply to the reference number, as in [3]¡ªdo not use “Ref. [3]" or “reference [3]" except at the beginning of a sentence: “Reference [3] was the first . . ."</w:t>
      </w:r>
    </w:p>
    <w:p>
      <w:pPr>
        <w:pStyle w:val="BodyText"/>
      </w:pPr>
      <w:r>
        <w:t xml:space="preserve">Number footnotes separately in superscripts. Place the actual footnote at the bottom of the column in which it was cited. Do not put footnotes in the reference list. Use letters for table footnotes.</w:t>
      </w:r>
    </w:p>
    <w:p>
      <w:pPr>
        <w:pStyle w:val="BodyText"/>
      </w:pPr>
      <w: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pPr>
      <w:r>
        <w:t xml:space="preserve">For papers published in translation journals, please give the English citation first, followed by the original foreign-language citation [6].</w:t>
      </w:r>
    </w:p>
    <w:p>
      <w:pPr>
        <w:pStyle w:val="BodyText"/>
      </w:pPr>
      <w:r>
        <w:t xml:space="preserve">If the square-shaped pixel size in our images was</w:t>
      </w:r>
      <w:r>
        <w:t xml:space="preserve"> </w:t>
      </w:r>
      <m:oMath>
        <m:r>
          <m:t>8</m:t>
        </m:r>
        <m:r>
          <m:rPr>
            <m:sty m:val="p"/>
          </m:rPr>
          <m:t>×</m:t>
        </m:r>
        <m:r>
          <m:t>8</m:t>
        </m:r>
      </m:oMath>
      <w:r>
        <w:t xml:space="preserve"> </w:t>
      </w:r>
      <w:r>
        <w:t xml:space="preserve">screen-pixels, this amounted to about 21 pixels per face quantization (an equivalent of about 10.5 cycles/face). With this level of image detail, all three basic varieties of configural information (hange of spatial quantization between 11 pixels/face and 6 pixels/face levels altogether indicate that this ERP- component is especially sensitive to the first-order configural cues. Some other works have supported both of these ideas [6, 16, 25].</w:t>
      </w:r>
    </w:p>
    <w:p>
      <w:pPr>
        <w:pStyle w:val="BodyText"/>
      </w:pPr>
      <w: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bookmarkEnd w:id="27"/>
    <w:bookmarkStart w:id="28" w:name="acknowledgements"/>
    <w:p>
      <w:pPr>
        <w:pStyle w:val="Heading2"/>
      </w:pPr>
      <w:r>
        <w:t xml:space="preserve">Acknowledgements</w:t>
      </w:r>
    </w:p>
    <w:p>
      <w:pPr>
        <w:pStyle w:val="FirstParagraph"/>
      </w:pPr>
      <w:r>
        <w:t xml:space="preserve">The preferred spelling of the word ‘acknowledgment" in America is without an “e" after the “g". Avoid the stilted expression, “One of us (R. B. G.) thanks . . ." Instead, try “R. B. G. thanks". Put sponsor acknowledgments in the unnum-bered footnote on the first page.</w:t>
      </w:r>
    </w:p>
    <w:p>
      <w:r>
        <w:pict>
          <v:rect style="width:0;height:1.5pt" o:hralign="center" o:hrstd="t" o:hr="t"/>
        </w:pict>
      </w:r>
    </w:p>
    <w:p>
      <w:pPr>
        <w:pStyle w:val="FirstParagraph"/>
      </w:pPr>
      <w:r>
        <w:t xml:space="preserve">[]</w:t>
      </w:r>
      <w:r>
        <w:t xml:space="preserve"> </w:t>
      </w:r>
      <w:r>
        <w:t xml:space="preserve"> </w:t>
      </w:r>
      <w:r>
        <w:t xml:space="preserve">G. Eason, B. Noble, and I. N. Sneddon,</w:t>
      </w:r>
      <w:r>
        <w:t xml:space="preserve"> </w:t>
      </w:r>
      <w:r>
        <w:t xml:space="preserve">“On certain integrals of Lipschitz-Hankel type involving products of Bessel functions,”</w:t>
      </w:r>
      <w:r>
        <w:t xml:space="preserve"> </w:t>
      </w:r>
      <w:r>
        <w:t xml:space="preserve">Phil. Trans. Roy. Soc. London, vol. A247, pp. 529¨C551, April 1955. (references)</w:t>
      </w:r>
      <w:r>
        <w:t xml:space="preserve"> </w:t>
      </w:r>
      <w:r>
        <w:t xml:space="preserve">J. Clerk Maxwell, A Treatise on Electricity and Magnetism, 3rd ed., vol. 2. Oxford: Clarendon, 1892, pp. 68¨C73.</w:t>
      </w:r>
      <w:r>
        <w:t xml:space="preserve"> </w:t>
      </w:r>
      <w:r>
        <w:t xml:space="preserve">I. S. Jacobs and C. P. Bean,</w:t>
      </w:r>
      <w:r>
        <w:t xml:space="preserve"> </w:t>
      </w:r>
      <w:r>
        <w:t xml:space="preserve">“Fine particles, thin films and exchange anisotropy,”</w:t>
      </w:r>
      <w:r>
        <w:t xml:space="preserve"> </w:t>
      </w:r>
      <w:r>
        <w:t xml:space="preserve">in Magnetism, vol. III, G. T. Rado and H. Suhl, Eds. New York: Academic, 1963, pp. 271¨C350.</w:t>
      </w:r>
      <w:r>
        <w:t xml:space="preserve"> </w:t>
      </w:r>
      <w:r>
        <w:t xml:space="preserve">K. Elissa,</w:t>
      </w:r>
      <w:r>
        <w:t xml:space="preserve"> </w:t>
      </w:r>
      <w:r>
        <w:t xml:space="preserve">“Title of paper if known,”</w:t>
      </w:r>
      <w:r>
        <w:t xml:space="preserve"> </w:t>
      </w:r>
      <w:r>
        <w:t xml:space="preserve">unpublished.</w:t>
      </w:r>
      <w:r>
        <w:t xml:space="preserve"> </w:t>
      </w:r>
      <w:r>
        <w:t xml:space="preserve">R. Nicole,</w:t>
      </w:r>
      <w:r>
        <w:t xml:space="preserve"> </w:t>
      </w:r>
      <w:r>
        <w:t xml:space="preserve">“Title of paper with only first word capitalized,”</w:t>
      </w:r>
      <w:r>
        <w:t xml:space="preserve"> </w:t>
      </w:r>
      <w:r>
        <w:t xml:space="preserve">J. Name Stand. Abbrev., in press.</w:t>
      </w:r>
      <w:r>
        <w:t xml:space="preserve"> </w:t>
      </w:r>
      <w:r>
        <w:t xml:space="preserve">Y. Yorozu, M. Hirano, K. Oka, and Y. Tagawa,</w:t>
      </w:r>
      <w:r>
        <w:t xml:space="preserve"> </w:t>
      </w:r>
      <w:r>
        <w:t xml:space="preserve">“Electron spectroscopy studies on magneto-optical media and plastic substrate interface,”</w:t>
      </w:r>
      <w:r>
        <w:t xml:space="preserve"> </w:t>
      </w:r>
      <w:r>
        <w:t xml:space="preserve">IEEE Transl. J. Magn. Japan, vol. 2, pp. 740¨C741, August 1987 [Digests 9th Annual Conf. Magnetics Japan, p. 301, 1982].</w:t>
      </w:r>
      <w:r>
        <w:t xml:space="preserve"> </w:t>
      </w:r>
      <w:r>
        <w:t xml:space="preserve">M. Young, The Technical Writer’s Handbook. Mill Valley, CA: University Science, 198.</w:t>
      </w:r>
      <w:r>
        <w:t xml:space="preserve"> </w:t>
      </w:r>
      <w:r>
        <w:t xml:space="preserve">Krejcie, R. V. and D. W. Morgan (1970) Determining Sample Sizes for Research Activities. Educational and Psychological Measurement 30, 607-610.</w:t>
      </w:r>
      <w:r>
        <w:t xml:space="preserve"> </w:t>
      </w:r>
      <w:r>
        <w:t xml:space="preserve">Kass, R. E. and A. E. Raftery (1995). Bayes Factors. Journal of the American Statistical Association 90, 773¨C794.</w:t>
      </w:r>
      <w:r>
        <w:t xml:space="preserve"> </w:t>
      </w:r>
      <w:r>
        <w:t xml:space="preserve">Spiegelhalter, D. J., N. G. Best, B. P. Carlin, and A. van der Linde (2002). Bayesian Measures of Model Complexity and Fit (with discussion). Journal of the Royal Statistical Society: Series B 64, 583¨C639.</w:t>
      </w:r>
      <w:r>
        <w:t xml:space="preserve"> </w:t>
      </w:r>
      <w:r>
        <w:t xml:space="preserve">Ebenebe, C. I., Anigbogu, C. C., Anizoba, M. A. and Ufele, A. N. (2013). Effect of various levels of Moringa Leaf Meal on the Egg Quality of Isa Brown Breed of Layers. Advances in Life Sciences and Technology 14: 45-49.</w:t>
      </w:r>
      <w:r>
        <w:t xml:space="preserve"> </w:t>
      </w:r>
      <w:r>
        <w:t xml:space="preserve">Fahey, J. W., Zakmann, A. T., and Talalay, P. (2001). The chemical diversity and distribution of glucosinolates and Isothiocyanates among plants. Corrigendum Phytochemistry, 59: 200-237.</w:t>
      </w:r>
      <w:r>
        <w:t xml:space="preserve"> </w:t>
      </w:r>
      <w:r>
        <w:t xml:space="preserve">Greg, M. E. (2008). Effect of enzymes on cellulose, European Journal of Applied Microbiology Biotechnology, 40: 167-171.</w:t>
      </w:r>
      <w:r>
        <w:t xml:space="preserve"> </w:t>
      </w:r>
      <w:r>
        <w:t xml:space="preserve">Onunkwo, D. N and George, O. S (2015). Effects of Moringaoleifera leaf meal on the growth performance and carcass characteristics of broiler birds. IOSR Journal of Agriculture and Veterinary Science, 8(3II): 63-66.</w:t>
      </w:r>
      <w:r>
        <w:t xml:space="preserve"> </w:t>
      </w:r>
      <w:r>
        <w:t xml:space="preserve">El Tazi, S. M. A. (2014). Effect of feeding different levels of Moringaoleifera leaf meal on the performance and carcass quality of broiler chicks. International Journal of Science and Research, 3(5): 147-151.</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df"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2026-04-23T07:02:12Z</dcterms:created>
  <dcterms:modified xsi:type="dcterms:W3CDTF">2026-04-23T07:02:12Z</dcterms:modified>
</cp:coreProperties>
</file>

<file path=docProps/custom.xml><?xml version="1.0" encoding="utf-8"?>
<Properties xmlns="http://schemas.openxmlformats.org/officeDocument/2006/custom-properties" xmlns:vt="http://schemas.openxmlformats.org/officeDocument/2006/docPropsVTypes"/>
</file>