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b/>
          <w:color w:val="000000"/>
          <w:sz w:val="32"/>
        </w:rPr>
        <w:t>Post 9 — Container carrier deployment, Brazilian ports 2025</w:t>
      </w:r>
    </w:p>
    <w:p>
      <w:pPr>
        <w:spacing w:after="80"/>
      </w:pPr>
      <w:r>
        <w:rPr>
          <w:rFonts w:ascii="Arial" w:hAnsi="Arial"/>
          <w:i/>
          <w:color w:val="5A5A5A"/>
          <w:sz w:val="20"/>
        </w:rPr>
        <w:t>Three versions for LinkedIn — EN, PT, Hybrid  •  choose one, edit if needed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Base numbers used across all versions:</w:t>
      </w:r>
    </w:p>
    <w:p>
      <w:pPr>
        <w:spacing w:after="80"/>
      </w:pPr>
      <w:r>
        <w:rPr>
          <w:rFonts w:ascii="Arial" w:hAnsi="Arial"/>
          <w:b w:val="0"/>
          <w:i/>
          <w:color w:val="5A5A5A"/>
          <w:sz w:val="20"/>
        </w:rPr>
        <w:t>4.226 container vessel calls  •  433 unique IMOs  •  9 Brazilian ports  •  15 container terminals  •  74,5% carrier-identified  •  Source: ANTAQ 2025 + VesselFinder</w:t>
      </w:r>
    </w:p>
    <w:p>
      <w:pPr>
        <w:spacing w:before="200" w:after="200"/>
        <w:jc w:val="center"/>
      </w:pPr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Arial" w:hAnsi="Arial"/>
          <w:b/>
          <w:color w:val="000000"/>
          <w:sz w:val="36"/>
        </w:rPr>
        <w:t>A — English  (global reach, Trade Lane Manager tone)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4"/>
        </w:rPr>
        <w:t>Nine Brazilian container ports. Two very different worlds for procurement.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  <w:t>I pulled every 2025 international container call from ANTAQ, cross-checked vessel names on VesselFinder, and grouped carriers by parent and by alliance (Feb 2025 config). The Herfindahl index tells the story cleanly: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Five ports — highly concentrated  (HHI ≥ 2500)</w:t>
      </w:r>
    </w:p>
    <w:p>
      <w:pPr>
        <w:pStyle w:val="ListBullet"/>
      </w:pPr>
      <w:r>
        <w:rPr>
          <w:rFonts w:ascii="Arial" w:hAnsi="Arial"/>
          <w:sz w:val="22"/>
        </w:rPr>
        <w:t>Manaus 3.707  •  Itajaí 3.390  •  Pecém 2.970  •  Rio Grande 2.607  •  Salvador 2.564</w:t>
      </w:r>
    </w:p>
    <w:p>
      <w:pPr>
        <w:pStyle w:val="ListBullet"/>
      </w:pPr>
      <w:r>
        <w:rPr>
          <w:rFonts w:ascii="Arial" w:hAnsi="Arial"/>
          <w:sz w:val="22"/>
        </w:rPr>
        <w:t>These are single-carrier or duopoly markets. MSC alone runs 40-48% of calls in four of them.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Four ports — moderately concentrated  (HHI &lt; 2300)</w:t>
      </w:r>
    </w:p>
    <w:p>
      <w:pPr>
        <w:pStyle w:val="ListBullet"/>
      </w:pPr>
      <w:r>
        <w:rPr>
          <w:rFonts w:ascii="Arial" w:hAnsi="Arial"/>
          <w:sz w:val="22"/>
        </w:rPr>
        <w:t>Rio de Janeiro 2.292  •  Santos 1.983  •  Paranaguá 1.895  •  Portonave 1.726</w:t>
      </w:r>
    </w:p>
    <w:p>
      <w:pPr>
        <w:pStyle w:val="ListBullet"/>
      </w:pPr>
      <w:r>
        <w:rPr>
          <w:rFonts w:ascii="Arial" w:hAnsi="Arial"/>
          <w:sz w:val="22"/>
        </w:rPr>
        <w:t>Real optionality here. Santos alone has 8 carriers above 2% share.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Three findings a procurement model tends to miss:</w:t>
      </w:r>
    </w:p>
    <w:p>
      <w:pPr>
        <w:pStyle w:val="ListBullet"/>
      </w:pPr>
      <w:r>
        <w:rPr>
          <w:rFonts w:ascii="Arial" w:hAnsi="Arial"/>
          <w:sz w:val="22"/>
        </w:rPr>
        <w:t>MSC is #1 in 9 of 9 ports — no exception. That is not competition, that is a plateau.</w:t>
      </w:r>
    </w:p>
    <w:p>
      <w:pPr>
        <w:pStyle w:val="ListBullet"/>
      </w:pPr>
      <w:r>
        <w:rPr>
          <w:rFonts w:ascii="Arial" w:hAnsi="Arial"/>
          <w:sz w:val="22"/>
        </w:rPr>
        <w:t>Gemini Cooperation captured 21,9% of calls in five months (Feb-Jul 2025). Fast materialisation of the 2025 realignment.</w:t>
      </w:r>
    </w:p>
    <w:p>
      <w:pPr>
        <w:pStyle w:val="ListBullet"/>
      </w:pPr>
      <w:r>
        <w:rPr>
          <w:rFonts w:ascii="Arial" w:hAnsi="Arial"/>
          <w:sz w:val="22"/>
        </w:rPr>
        <w:t>Portonave is the only port where Premier Alliance (ONE / HMM / YM) shows real presence. Everywhere else, ONE is a footnote.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 w:val="0"/>
          <w:i/>
          <w:color w:val="000000"/>
          <w:sz w:val="22"/>
        </w:rPr>
        <w:t>One number worth keeping: the alliance-level HHI on identified carriers is 2.875. That is textbook "highly concentrated". Which means the negotiation surface for a Brazil-China Trade Lane Manager is not 12 carriers — it is 3 alliance blocks plus MSC standalone.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 w:val="0"/>
          <w:i w:val="0"/>
          <w:color w:val="5A5A5A"/>
          <w:sz w:val="20"/>
        </w:rPr>
        <w:t>Method note: 74,5% of calls identified via vessel-name pattern matching + known-fleet enrichment. Non-identified are mostly charter tonnage without a carrier brand in the name. HHI reported both with and without UNKNOWN — conclusions hold under both. Full-year 2025 dataset used because ANTAQ 2026 is not yet consolidated; a 2026 refresh is planned once the data lands.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 w:val="0"/>
          <w:i w:val="0"/>
          <w:color w:val="5A5A5A"/>
          <w:sz w:val="20"/>
        </w:rPr>
        <w:t>Full data, code and methodology on GitHub → [link]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Question for the shipping side: what would you look at that this analysis is not capturing?</w:t>
      </w:r>
    </w:p>
    <w:p>
      <w:pPr>
        <w:spacing w:before="200" w:after="200"/>
        <w:jc w:val="center"/>
      </w:pPr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Arial" w:hAnsi="Arial"/>
          <w:b/>
          <w:color w:val="000000"/>
          <w:sz w:val="36"/>
        </w:rPr>
        <w:t>B — Português  (direto ao ponto, tom BR/PT)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4"/>
        </w:rPr>
        <w:t>Nove portos brasileiros de contentor. Dois mundos completamente diferentes para quem faz procurement.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  <w:t>Puxei todas as atracações de longo curso container da ANTAQ 2025, cruzei com nomes de navios da VesselFinder, e agrupei por armador, por grupo e por aliança (config Feb 2025). O índice de Herfindahl (HHI) mostra: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Cinco portos altamente concentrados  (HHI ≥ 2500)</w:t>
      </w:r>
    </w:p>
    <w:p>
      <w:pPr>
        <w:pStyle w:val="ListBullet"/>
      </w:pPr>
      <w:r>
        <w:rPr>
          <w:rFonts w:ascii="Arial" w:hAnsi="Arial"/>
          <w:sz w:val="22"/>
        </w:rPr>
        <w:t>Manaus 3.707  •  Itajaí 3.390  •  Pecém 2.970  •  Rio Grande 2.607  •  Salvador 2.564</w:t>
      </w:r>
    </w:p>
    <w:p>
      <w:pPr>
        <w:pStyle w:val="ListBullet"/>
      </w:pPr>
      <w:r>
        <w:rPr>
          <w:rFonts w:ascii="Arial" w:hAnsi="Arial"/>
          <w:sz w:val="22"/>
        </w:rPr>
        <w:t>Aqui o mercado é de um armador só ou de duopólio. MSC sozinha faz 40-48% das escalas em quatro destes portos.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Quatro portos moderadamente concentrados  (HHI &lt; 2300)</w:t>
      </w:r>
    </w:p>
    <w:p>
      <w:pPr>
        <w:pStyle w:val="ListBullet"/>
      </w:pPr>
      <w:r>
        <w:rPr>
          <w:rFonts w:ascii="Arial" w:hAnsi="Arial"/>
          <w:sz w:val="22"/>
        </w:rPr>
        <w:t>Rio de Janeiro 2.292  •  Santos 1.983  •  Paranaguá 1.895  •  Portonave 1.726</w:t>
      </w:r>
    </w:p>
    <w:p>
      <w:pPr>
        <w:pStyle w:val="ListBullet"/>
      </w:pPr>
      <w:r>
        <w:rPr>
          <w:rFonts w:ascii="Arial" w:hAnsi="Arial"/>
          <w:sz w:val="22"/>
        </w:rPr>
        <w:t>Aqui há alternativas. Santos tem 8 armadores acima de 2% de share.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Três leituras que um modelo padrão de procurement costuma ignorar:</w:t>
      </w:r>
    </w:p>
    <w:p>
      <w:pPr>
        <w:pStyle w:val="ListBullet"/>
      </w:pPr>
      <w:r>
        <w:rPr>
          <w:rFonts w:ascii="Arial" w:hAnsi="Arial"/>
          <w:sz w:val="22"/>
        </w:rPr>
        <w:t>MSC é #1 em 9 de 9 portos. Não é concorrência — é dominância estrutural.</w:t>
      </w:r>
    </w:p>
    <w:p>
      <w:pPr>
        <w:pStyle w:val="ListBullet"/>
      </w:pPr>
      <w:r>
        <w:rPr>
          <w:rFonts w:ascii="Arial" w:hAnsi="Arial"/>
          <w:sz w:val="22"/>
        </w:rPr>
        <w:t>A Gemini Cooperation ganhou 21,9% do mercado aliança-level em 5 meses (Feb-Jul 2025). A reconfiguração de 2025 materializou-se rápido no Brasil.</w:t>
      </w:r>
    </w:p>
    <w:p>
      <w:pPr>
        <w:pStyle w:val="ListBullet"/>
      </w:pPr>
      <w:r>
        <w:rPr>
          <w:rFonts w:ascii="Arial" w:hAnsi="Arial"/>
          <w:sz w:val="22"/>
        </w:rPr>
        <w:t>Portonave é o único porto onde a Premier Alliance (ONE / HMM / YM) tem presença real. Nos outros portos, é resíduo.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 w:val="0"/>
          <w:i/>
          <w:color w:val="000000"/>
          <w:sz w:val="22"/>
        </w:rPr>
        <w:t>Um número que vale reter: HHI aliança-level nos armadores identificados = 2.875. "Altamente concentrado" pela regra do DOJ/FTC. Ou seja, quem faz Trade Lane China-Brasil não está a negociar com 12 armadores — está a negociar com 3 blocos de aliança e a MSC em separado.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 w:val="0"/>
          <w:i w:val="0"/>
          <w:color w:val="5A5A5A"/>
          <w:sz w:val="20"/>
        </w:rPr>
        <w:t>Nota metodológica: 74,5% das escalas identificadas via pattern matching de nome de navio + enriquecimento com base de frotas conhecidas. Os não-identificados são sobretudo charter sem marca de armador no nome. HHI reportado com e sem UNKNOWN — as conclusões aguentam nos dois cenários. Uso o dataset completo de 2025 porque os dados ANTAQ 2026 ainda não estão consolidados; um refresh 2026 está previsto quando os dados sairem.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 w:val="0"/>
          <w:i w:val="0"/>
          <w:color w:val="5A5A5A"/>
          <w:sz w:val="20"/>
        </w:rPr>
        <w:t>Dados completos, código e methodology no GitHub → [link]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Pergunta para quem trabalha shipping: o que é que esta análise está a deixar de fora?</w:t>
      </w:r>
    </w:p>
    <w:p>
      <w:pPr>
        <w:spacing w:before="200" w:after="200"/>
        <w:jc w:val="center"/>
      </w:pPr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Arial" w:hAnsi="Arial"/>
          <w:b/>
          <w:color w:val="000000"/>
          <w:sz w:val="36"/>
        </w:rPr>
        <w:t>C — Hybrid  (EN core + PT punchline, targeting BR-based shipping lines with global HQ)</w:t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4"/>
        </w:rPr>
        <w:t>Nine Brazilian container ports. Two very different procurement markets.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  <w:t>Herfindahl-Hirschman by port, all 2025 international container calls (ANTAQ + VesselFinder):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Highly concentrated  →  Manaus, Itajaí, Pecém, Rio Grande, Salvador</w:t>
      </w:r>
    </w:p>
    <w:p>
      <w:pPr>
        <w:pStyle w:val="ListBullet"/>
      </w:pPr>
      <w:r>
        <w:rPr>
          <w:rFonts w:ascii="Arial" w:hAnsi="Arial"/>
          <w:sz w:val="22"/>
        </w:rPr>
        <w:t>HHI 2.564 – 3.707. Single-carrier markets. MSC 40-48% share in most.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Moderately concentrated  →  Rio de Janeiro, Santos, Paranaguá, Portonave</w:t>
      </w:r>
    </w:p>
    <w:p>
      <w:pPr>
        <w:pStyle w:val="ListBullet"/>
      </w:pPr>
      <w:r>
        <w:rPr>
          <w:rFonts w:ascii="Arial" w:hAnsi="Arial"/>
          <w:sz w:val="22"/>
        </w:rPr>
        <w:t>HHI 1.726 – 2.292. Real optionality. Santos: 8 carriers &gt;2%.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What the numbers say — three findings that matter for procurement:</w:t>
      </w:r>
    </w:p>
    <w:p>
      <w:pPr>
        <w:pStyle w:val="ListBullet"/>
      </w:pPr>
      <w:r>
        <w:rPr>
          <w:rFonts w:ascii="Arial" w:hAnsi="Arial"/>
          <w:sz w:val="22"/>
        </w:rPr>
        <w:t>MSC leads all 9 ports (25-48% share). Not competition. Structural dominance.</w:t>
      </w:r>
    </w:p>
    <w:p>
      <w:pPr>
        <w:pStyle w:val="ListBullet"/>
      </w:pPr>
      <w:r>
        <w:rPr>
          <w:rFonts w:ascii="Arial" w:hAnsi="Arial"/>
          <w:sz w:val="22"/>
        </w:rPr>
        <w:t>Gemini Cooperation grabbed 21,9% alliance-level share in 5 months post-launch.</w:t>
      </w:r>
    </w:p>
    <w:p>
      <w:pPr>
        <w:pStyle w:val="ListBullet"/>
      </w:pPr>
      <w:r>
        <w:rPr>
          <w:rFonts w:ascii="Arial" w:hAnsi="Arial"/>
          <w:sz w:val="22"/>
        </w:rPr>
        <w:t>Portonave is the only port where the Premier Alliance is materially visible. Elsewhere, residual.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 w:val="0"/>
          <w:i/>
          <w:color w:val="000000"/>
          <w:sz w:val="22"/>
        </w:rPr>
        <w:t>Alliance-level HHI (identified carriers) = 2.875. "Highly concentrated" by DOJ/FTC rule of thumb. The negotiation is not 12 carriers, it's 3 alliance blocks plus MSC standalone.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/>
          <w:i w:val="0"/>
          <w:color w:val="000000"/>
          <w:sz w:val="22"/>
        </w:rPr>
        <w:t>Um dado extra que salta ao olho: Portonave é a excepção brasileira. Único porto onde as 4 alianças têm presença significativa em simultâneo. Alguém aí do lado operacional consegue confirmar se isto reflete o mix de serviços feeders ou algo mais estrutural?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 w:val="0"/>
          <w:i w:val="0"/>
          <w:color w:val="5A5A5A"/>
          <w:sz w:val="20"/>
        </w:rPr>
        <w:t>Method: 74,5% of calls identified via vessel-name pattern matching + known-fleet enrichment. Non-identified = mostly charter tonnage without carrier brand. HHI reported with and without UNKNOWN — conclusions robust. Full-year 2025 used because ANTAQ 2026 is not yet consolidated; a 2026 refresh is planned.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2"/>
        </w:rPr>
      </w:r>
    </w:p>
    <w:p>
      <w:pPr>
        <w:spacing w:after="80"/>
      </w:pPr>
      <w:r>
        <w:rPr>
          <w:rFonts w:ascii="Arial" w:hAnsi="Arial"/>
          <w:b w:val="0"/>
          <w:i w:val="0"/>
          <w:color w:val="5A5A5A"/>
          <w:sz w:val="20"/>
        </w:rPr>
        <w:t>Full analysis, code, chart, methodology → GitHub [link]</w:t>
      </w:r>
    </w:p>
    <w:p>
      <w:pPr>
        <w:spacing w:before="200" w:after="200"/>
        <w:jc w:val="center"/>
      </w:pPr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Arial" w:hAnsi="Arial"/>
          <w:b/>
          <w:color w:val="000000"/>
          <w:sz w:val="26"/>
        </w:rPr>
        <w:t>Editorial notes for Hugo</w:t>
      </w:r>
    </w:p>
    <w:p>
      <w:pPr>
        <w:pStyle w:val="ListBullet"/>
      </w:pPr>
      <w:r>
        <w:rPr>
          <w:rFonts w:ascii="Arial" w:hAnsi="Arial"/>
          <w:sz w:val="22"/>
        </w:rPr>
        <w:t>All 3 versions open with the same hook: 9 ports split into 2 concentration groups.</w:t>
      </w:r>
    </w:p>
    <w:p>
      <w:pPr>
        <w:pStyle w:val="ListBullet"/>
      </w:pPr>
      <w:r>
        <w:rPr>
          <w:rFonts w:ascii="Arial" w:hAnsi="Arial"/>
          <w:sz w:val="22"/>
        </w:rPr>
        <w:t>Version A is the safest for global shipping-line reach.</w:t>
      </w:r>
    </w:p>
    <w:p>
      <w:pPr>
        <w:pStyle w:val="ListBullet"/>
      </w:pPr>
      <w:r>
        <w:rPr>
          <w:rFonts w:ascii="Arial" w:hAnsi="Arial"/>
          <w:sz w:val="22"/>
        </w:rPr>
        <w:t>Version B is more direct — good if you want to test the BR/PT market specifically.</w:t>
      </w:r>
    </w:p>
    <w:p>
      <w:pPr>
        <w:pStyle w:val="ListBullet"/>
      </w:pPr>
      <w:r>
        <w:rPr>
          <w:rFonts w:ascii="Arial" w:hAnsi="Arial"/>
          <w:sz w:val="22"/>
        </w:rPr>
        <w:t>Version C ends with a question in PT — invites Brazilian ops folks to comment. Highest engagement bet.</w:t>
      </w:r>
    </w:p>
    <w:p>
      <w:pPr>
        <w:pStyle w:val="ListBullet"/>
      </w:pPr>
      <w:r>
        <w:rPr>
          <w:rFonts w:ascii="Arial" w:hAnsi="Arial"/>
          <w:sz w:val="22"/>
        </w:rPr>
        <w:t>Hero number is HHI alliance = 2.875 — repeat it in comments if the post gains traction.</w:t>
      </w:r>
    </w:p>
    <w:p>
      <w:pPr>
        <w:pStyle w:val="ListBullet"/>
      </w:pPr>
      <w:r>
        <w:rPr>
          <w:rFonts w:ascii="Arial" w:hAnsi="Arial"/>
          <w:sz w:val="22"/>
        </w:rPr>
        <w:t>Replace [link] with the real GitHub URL once the repo commit lands.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