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tom deste documento foca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viabilidade, baixo custo de implementação (engenharia e financeiro) e clareza nos critérios de sucesso</w:t>
      </w:r>
      <w:r w:rsidDel="00000000" w:rsidR="00000000" w:rsidRPr="00000000">
        <w:rPr>
          <w:color w:val="1f1f1f"/>
          <w:rtl w:val="0"/>
        </w:rPr>
        <w:t xml:space="preserve">, traduzindo a complexidade dos grafos para o valor de negócio.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zysxn8zfp9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Design de experimento: validação de influência em rede (IMM-IC)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4pqmngi1o1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Contexto e objetivo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experimento é provar a eficácia do algoritmo IMM-IC (Influence Maximization via Independent Cascade) em identificar os investidores com maior poder de difusão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orgânica</w:t>
      </w:r>
      <w:r w:rsidDel="00000000" w:rsidR="00000000" w:rsidRPr="00000000">
        <w:rPr>
          <w:color w:val="1f1f1f"/>
          <w:rtl w:val="0"/>
        </w:rPr>
        <w:t xml:space="preserve"> dentro da base.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contornar limitações jurídicas e orçamentárias de campanhas tradicionais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Member Get Member</w:t>
      </w:r>
      <w:r w:rsidDel="00000000" w:rsidR="00000000" w:rsidRPr="00000000">
        <w:rPr>
          <w:color w:val="1f1f1f"/>
          <w:rtl w:val="0"/>
        </w:rPr>
        <w:t xml:space="preserve"> (MGM), o teste será focado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difusão de conteúdo/status</w:t>
      </w:r>
      <w:r w:rsidDel="00000000" w:rsidR="00000000" w:rsidRPr="00000000">
        <w:rPr>
          <w:color w:val="1f1f1f"/>
          <w:rtl w:val="0"/>
        </w:rPr>
        <w:t xml:space="preserve"> de alto valor percebido, sem incentivos financeiros. Queremos responder a duas perguntas: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grupo selecionado pelo modelo gera uma cascata de conversão/acesso estatisticamente superior a um grupo de perfil semelhante escolhido ao acaso?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score de centralidade calculado reflete a capacidade real de influência dos indivíduos do grupo selecionado?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gtjhumjc1z1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Mecânica da campanha - Estímulo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parceria com Growth e Comunicação, utilizaremos um ativo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custo marginal zero</w:t>
      </w:r>
      <w:r w:rsidDel="00000000" w:rsidR="00000000" w:rsidRPr="00000000">
        <w:rPr>
          <w:color w:val="1f1f1f"/>
          <w:rtl w:val="0"/>
        </w:rPr>
        <w:t xml:space="preserve">, mas com alta percepção de exclusividade.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Isca:</w:t>
      </w:r>
      <w:r w:rsidDel="00000000" w:rsidR="00000000" w:rsidRPr="00000000">
        <w:rPr>
          <w:color w:val="1f1f1f"/>
          <w:rtl w:val="0"/>
        </w:rPr>
        <w:t xml:space="preserve"> Liberação de um conteúdo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feature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restrita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(Sugestão: Um relatório exclusivo da Itaú Asset/BBA sobre alocação estratégica ou acesso antecipado a uma nova funcionalidade do app Íon).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Abordagem:</w:t>
      </w:r>
      <w:r w:rsidDel="00000000" w:rsidR="00000000" w:rsidRPr="00000000">
        <w:rPr>
          <w:color w:val="1f1f1f"/>
          <w:rtl w:val="0"/>
        </w:rPr>
        <w:t xml:space="preserve"> A comunicação (e-mail/push) focará 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reconhecimento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"Por ser um dos nossos investidores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mais engajados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liberamos este acesso exclusivo para você. Sinta-se à vontade para compartilhar com quem você acha que também tomaria boas decisões com isso."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Fricção zero:</w:t>
      </w:r>
      <w:r w:rsidDel="00000000" w:rsidR="00000000" w:rsidRPr="00000000">
        <w:rPr>
          <w:color w:val="1f1f1f"/>
          <w:rtl w:val="0"/>
        </w:rPr>
        <w:t xml:space="preserve"> Não haverá necessidade de geração de links únicos (UTMs parametrizadas por usuário) no front-end, economizando tempo de desenvolvimento da squad. O compartilhamento será orgânico.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7wf91lbiuh0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Definição dos grupos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isolar o efeito da "posição na rede" (topologia) e provar o valor do modelo, o Grupo Controle deve ser comportamentalmente e financeiramente semelhante ao Grupo Tratamento. Utilizaremos um pareamento exato baseado em três dimensões: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Variável 1: Tamanho da Rede (Out-degree)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Métrica:</w:t>
      </w:r>
      <w:r w:rsidDel="00000000" w:rsidR="00000000" w:rsidRPr="00000000">
        <w:rPr>
          <w:color w:val="1f1f1f"/>
          <w:rtl w:val="0"/>
        </w:rPr>
        <w:t xml:space="preserve"> Número de arestas de saída do nó.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Discretização:</w:t>
      </w:r>
      <w:r w:rsidDel="00000000" w:rsidR="00000000" w:rsidRPr="00000000">
        <w:rPr>
          <w:color w:val="1f1f1f"/>
          <w:rtl w:val="0"/>
        </w:rPr>
        <w:t xml:space="preserve"> Decis da distribuição de graus da base.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Variável 2: Engajamento Recente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Métrica:</w:t>
      </w:r>
      <w:r w:rsidDel="00000000" w:rsidR="00000000" w:rsidRPr="00000000">
        <w:rPr>
          <w:color w:val="1f1f1f"/>
          <w:rtl w:val="0"/>
        </w:rPr>
        <w:t xml:space="preserve"> Volume de movimentações de captação líquida nos últimos 60 dias.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Discretização:</w:t>
      </w:r>
      <w:r w:rsidDel="00000000" w:rsidR="00000000" w:rsidRPr="00000000">
        <w:rPr>
          <w:color w:val="1f1f1f"/>
          <w:rtl w:val="0"/>
        </w:rPr>
        <w:t xml:space="preserve"> Decis da distribuição de frequência.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Variável 3: Capacidade de Investimento (AUM)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Métrica:</w:t>
      </w:r>
      <w:r w:rsidDel="00000000" w:rsidR="00000000" w:rsidRPr="00000000">
        <w:rPr>
          <w:color w:val="1f1f1f"/>
          <w:rtl w:val="0"/>
        </w:rPr>
        <w:t xml:space="preserve"> Segmentação comercial do cliente.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Discretização:</w:t>
      </w:r>
      <w:r w:rsidDel="00000000" w:rsidR="00000000" w:rsidRPr="00000000">
        <w:rPr>
          <w:color w:val="1f1f1f"/>
          <w:rtl w:val="0"/>
        </w:rPr>
        <w:t xml:space="preserve"> Categorias exatas (Varejo, Uniclass, Personnalité, Private).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Processo de Seleção: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(k sementes):</w:t>
      </w:r>
      <w:r w:rsidDel="00000000" w:rsidR="00000000" w:rsidRPr="00000000">
        <w:rPr>
          <w:color w:val="1f1f1f"/>
          <w:rtl w:val="0"/>
        </w:rPr>
        <w:t xml:space="preserve"> Selecionado via algoritmo IMM-IC e escorado via nível de influência seguindo as métricas de centralidade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Controle (k sementes):</w:t>
      </w:r>
      <w:r w:rsidDel="00000000" w:rsidR="00000000" w:rsidRPr="00000000">
        <w:rPr>
          <w:color w:val="1f1f1f"/>
          <w:rtl w:val="0"/>
        </w:rPr>
        <w:t xml:space="preserve"> Para cada cliente do Tratamento, sorteia-se aleatoriamente na base um cliente que pertença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exatamente</w:t>
      </w:r>
      <w:r w:rsidDel="00000000" w:rsidR="00000000" w:rsidRPr="00000000">
        <w:rPr>
          <w:color w:val="1f1f1f"/>
          <w:rtl w:val="0"/>
        </w:rPr>
        <w:t xml:space="preserve"> aos mesmos decis de grau/engajamento/segmentação, mas que não foi priorizado pelo modelo.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af5gn3az2zh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Rastreabilidade (baixo esforço técnico)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o compartilhamento será orgânico (sem link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referral</w:t>
      </w:r>
      <w:r w:rsidDel="00000000" w:rsidR="00000000" w:rsidRPr="00000000">
        <w:rPr>
          <w:color w:val="1f1f1f"/>
          <w:rtl w:val="0"/>
        </w:rPr>
        <w:t xml:space="preserve"> dinâmico), a inferência da influência será feita via processamento de dados no back-end, cruzando os logs de acesso com o nosso grafo de relacionamento pré-existente. Para isso, vamos precisar saber apenas quem acessou/converteu e a que horas.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de caminhos temporais: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Registramos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timestamp</w:t>
      </w:r>
      <w:r w:rsidDel="00000000" w:rsidR="00000000" w:rsidRPr="00000000">
        <w:rPr>
          <w:color w:val="1f1f1f"/>
          <w:rtl w:val="0"/>
        </w:rPr>
        <w:t xml:space="preserve"> de acesso/conversão da semente (t_0).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Monitoramos os vizinhos diretos (1-salto) no grafo direcional. Se um vizinho v_1 acessa a campanha/produto em t_1 (onde t_1 &gt; t_0 dentro de uma janela de até 60 dias), contabilizamos como uma conversão influenciada.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O processo se repete em profundidade (2-saltos, 3-saltos) se o vizinho v_2 acessar em t_2 (t_2 &gt; t_1 e t_2 - t_1 &lt;= 60).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jp66qm9kzp3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Critérios de sucesso e KPIs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KPI primário (eficácia do modelo):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Taxa de ativação da vizinhança:</w:t>
      </w:r>
      <w:r w:rsidDel="00000000" w:rsidR="00000000" w:rsidRPr="00000000">
        <w:rPr>
          <w:color w:val="1f1f1f"/>
          <w:rtl w:val="0"/>
        </w:rPr>
        <w:t xml:space="preserve"> Volume total de acessos/conversões indiretas geradas na sub-rede do Grupo Tratamento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vs.</w:t>
      </w:r>
      <w:r w:rsidDel="00000000" w:rsidR="00000000" w:rsidRPr="00000000">
        <w:rPr>
          <w:color w:val="1f1f1f"/>
          <w:rtl w:val="0"/>
        </w:rPr>
        <w:t xml:space="preserve"> Grupo Controle após 60 dias. O teste será considerado vitorioso se a diferença for estatisticamente significativa (teste de hipótese).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KPI secundário (validação técnica interna):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Correlação score vs. realidade:</w:t>
      </w:r>
      <w:r w:rsidDel="00000000" w:rsidR="00000000" w:rsidRPr="00000000">
        <w:rPr>
          <w:color w:val="1f1f1f"/>
          <w:rtl w:val="0"/>
        </w:rPr>
        <w:t xml:space="preserve"> Dentro do Grupo Tratamento, mediremos o quanto a influência propagada real dos nós se correlaciona com o score de influência.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