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Entornos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1047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 el error que se produce al usar los modificadores de acceso en atributos o métodos y cuando no se  puede acceder a ellos: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Privado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Protegido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Indica la causa del error.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81875" cy="2463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7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Accediendo a un miembro público: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miembro es público, se puede acceder a él desde cualquier parte del programa. Si ocurre un error, el mensaje de error puede ser: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error: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&lt;miembro&gt; has public access in &lt;clase&gt;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significa que el miembro es público y no hay restricciones de acceso. El error puede deberse a un problema con el nombre del miembro o con la clase que lo contiene.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Accediendo a un miembro privado: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miembro es privado, solo se puede acceder a él desde dentro de la misma clase. Si ocurre un error, el mensaje de error puede ser: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error: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&lt;miembro&gt; has private access in &lt;clase&gt;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significa que el miembro es privado y no se puede acceder a él desde fuera de la clase. El error puede deberse a que se intenta acceder al miembro desde fuera de la clase que lo contiene.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Accediendo a un miembro protegido: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miembro es protegido, se puede acceder a él desde dentro de la misma clase, de sus subclases o de otras clases del mismo paquete. Si ocurre un error, el mensaje de error puede ser: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error: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&lt;miembro&gt; has protected access in &lt;clase&gt;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significa que el miembro es protegido y solo se puede acceder a él desde dentro de la misma clase, de sus subclases o de otras clases del mismo paquete. El error puede deberse a que se intenta acceder al miembro desde fuera de la clase, de una subclase que no lo contiene o de una clase que no pertenece al mismo paquete.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