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Lenguaje de Marcas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Obtén el patrón de: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Teléfono con prefijo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Matrícula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Cuenta Bancaria trasferencia nacional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82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DNI: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[0-9] [0-9] [0-9] [0-9] [0-9] [0-9] [0-9] [0-9] [A-Z]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TELÉFONO CON PREFIJO: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(+) [0-9] [0-9] [0-9] - [0-9] [0-9] [0-9] [0-9] [0-9] [0-9] [0-9] [0-9] [0-9]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MATRÍCULA: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[0-9] [0-9] [0-9] [0-9] [A-Z] [A-Z] [A-Z] [A-Z]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CUENTA BANCARIA (TRANSFERENCIA NACIONAL):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[A-Z] [A-Z] [0-9] [0-9] - [0-9] [0-9] [0-9] [0-9] - [0-9] [0-9] [0-9] [0-9] - [0-9] [0-9] [0-9] [0-9] - [0-9] [0-9] [0-9] [0-9] 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