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rtl w:val="0"/>
        </w:rPr>
      </w:r>
    </w:p>
    <w:tbl>
      <w:tblPr>
        <w:tblStyle w:val="Table1"/>
        <w:tblW w:w="11820.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20"/>
        <w:tblGridChange w:id="0">
          <w:tblGrid>
            <w:gridCol w:w="11820"/>
          </w:tblGrid>
        </w:tblGridChange>
      </w:tblGrid>
      <w:tr>
        <w:trPr>
          <w:cantSplit w:val="0"/>
          <w:trHeight w:val="2873.686523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Lenguaje de Marcas</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Jorge César Montoya Valero</w:t>
            </w:r>
            <w:r w:rsidDel="00000000" w:rsidR="00000000" w:rsidRPr="00000000">
              <w:rPr>
                <w:rtl w:val="0"/>
              </w:rPr>
              <w:t xml:space="preserve">.</w:t>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35.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35"/>
        <w:tblGridChange w:id="0">
          <w:tblGrid>
            <w:gridCol w:w="11835"/>
          </w:tblGrid>
        </w:tblGridChange>
      </w:tblGrid>
      <w:tr>
        <w:trPr>
          <w:cantSplit w:val="0"/>
          <w:trHeight w:val="2201.8066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ENUNCIADO</w:t>
            </w:r>
          </w:p>
          <w:p w:rsidR="00000000" w:rsidDel="00000000" w:rsidP="00000000" w:rsidRDefault="00000000" w:rsidRPr="00000000" w14:paraId="00000020">
            <w:pPr>
              <w:widowControl w:val="0"/>
              <w:spacing w:line="240" w:lineRule="auto"/>
              <w:jc w:val="both"/>
              <w:rPr>
                <w:b w:val="1"/>
              </w:rPr>
            </w:pPr>
            <w:r w:rsidDel="00000000" w:rsidR="00000000" w:rsidRPr="00000000">
              <w:rPr>
                <w:rtl w:val="0"/>
              </w:rPr>
            </w:r>
          </w:p>
          <w:p w:rsidR="00000000" w:rsidDel="00000000" w:rsidP="00000000" w:rsidRDefault="00000000" w:rsidRPr="00000000" w14:paraId="00000021">
            <w:pPr>
              <w:widowControl w:val="0"/>
              <w:spacing w:after="240" w:before="240" w:line="240" w:lineRule="auto"/>
              <w:ind w:left="720" w:firstLine="0"/>
              <w:jc w:val="left"/>
              <w:rPr/>
            </w:pPr>
            <w:r w:rsidDel="00000000" w:rsidR="00000000" w:rsidRPr="00000000">
              <w:rPr>
                <w:rtl w:val="0"/>
              </w:rPr>
              <w:t xml:space="preserve">Indica dos programas uno gratuito y otro de pago para realizar consultas XQUERY sobre un archivo XML .</w:t>
            </w:r>
          </w:p>
          <w:p w:rsidR="00000000" w:rsidDel="00000000" w:rsidP="00000000" w:rsidRDefault="00000000" w:rsidRPr="00000000" w14:paraId="00000022">
            <w:pPr>
              <w:widowControl w:val="0"/>
              <w:spacing w:after="240" w:before="240"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26">
      <w:pPr>
        <w:widowControl w:val="0"/>
        <w:spacing w:line="240" w:lineRule="auto"/>
        <w:ind w:left="0" w:firstLine="0"/>
        <w:jc w:val="both"/>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7">
      <w:pPr>
        <w:widowControl w:val="0"/>
        <w:spacing w:after="240" w:before="240" w:line="240" w:lineRule="auto"/>
        <w:jc w:val="center"/>
        <w:rPr>
          <w:b w:val="1"/>
        </w:rPr>
      </w:pPr>
      <w:r w:rsidDel="00000000" w:rsidR="00000000" w:rsidRPr="00000000">
        <w:rPr>
          <w:b w:val="1"/>
          <w:rtl w:val="0"/>
        </w:rPr>
        <w:t xml:space="preserve">CÓDIGO XML PROPUESTO: </w:t>
      </w:r>
    </w:p>
    <w:p w:rsidR="00000000" w:rsidDel="00000000" w:rsidP="00000000" w:rsidRDefault="00000000" w:rsidRPr="00000000" w14:paraId="00000028">
      <w:pPr>
        <w:widowControl w:val="0"/>
        <w:numPr>
          <w:ilvl w:val="0"/>
          <w:numId w:val="1"/>
        </w:numPr>
        <w:spacing w:after="0" w:afterAutospacing="0" w:before="240" w:line="240" w:lineRule="auto"/>
        <w:ind w:left="720" w:hanging="360"/>
        <w:jc w:val="both"/>
        <w:rPr>
          <w:u w:val="none"/>
        </w:rPr>
      </w:pPr>
      <w:r w:rsidDel="00000000" w:rsidR="00000000" w:rsidRPr="00000000">
        <w:rPr>
          <w:rtl w:val="0"/>
        </w:rPr>
        <w:t xml:space="preserve">Un ejemplo de un programa gratuito para realizar consultas XQuery sobre un archivo XML es "BaseX". Es una base de datos XML ligera, de código abierto y multiplataforma que incluye una interfaz gráfica de usuario para escribir y ejecutar consultas XQuery. Puedes descargarlo de forma gratuita en la página oficial: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https://basex.org/</w:t>
        </w:r>
      </w:hyperlink>
      <w:r w:rsidDel="00000000" w:rsidR="00000000" w:rsidRPr="00000000">
        <w:rPr>
          <w:rtl w:val="0"/>
        </w:rPr>
        <w:t xml:space="preserve">.</w:t>
      </w:r>
    </w:p>
    <w:p w:rsidR="00000000" w:rsidDel="00000000" w:rsidP="00000000" w:rsidRDefault="00000000" w:rsidRPr="00000000" w14:paraId="00000029">
      <w:pPr>
        <w:widowControl w:val="0"/>
        <w:numPr>
          <w:ilvl w:val="0"/>
          <w:numId w:val="1"/>
        </w:numPr>
        <w:spacing w:after="240" w:before="0" w:beforeAutospacing="0" w:line="240" w:lineRule="auto"/>
        <w:ind w:left="720" w:hanging="360"/>
        <w:jc w:val="both"/>
        <w:rPr>
          <w:u w:val="none"/>
        </w:rPr>
      </w:pPr>
      <w:r w:rsidDel="00000000" w:rsidR="00000000" w:rsidRPr="00000000">
        <w:rPr>
          <w:rtl w:val="0"/>
        </w:rPr>
        <w:t xml:space="preserve">Un ejemplo de un programa de pago para realizar consultas XQuery sobre un archivo XML es "oXygen XML Editor". Es una herramienta de edición de XML que incluye un editor de texto con resaltado de sintaxis, una vista de árbol del documento XML y una herramienta de depuración de XQuery. oXygen XML Editor tiene un precio de licencia, pero también ofrece una versión de prueba gratuita para descargar en su página oficial:</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https://www.oxygenxml.com/</w:t>
        </w:r>
      </w:hyperlink>
      <w:r w:rsidDel="00000000" w:rsidR="00000000" w:rsidRPr="00000000">
        <w:rPr>
          <w:rtl w:val="0"/>
        </w:rPr>
        <w:t xml:space="preserve">.</w:t>
      </w:r>
    </w:p>
    <w:p w:rsidR="00000000" w:rsidDel="00000000" w:rsidP="00000000" w:rsidRDefault="00000000" w:rsidRPr="00000000" w14:paraId="0000002A">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2B">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sz w:val="32"/>
          <w:szCs w:val="32"/>
        </w:rPr>
      </w:pPr>
      <w:r w:rsidDel="00000000" w:rsidR="00000000" w:rsidRPr="00000000">
        <w:rPr>
          <w:rtl w:val="0"/>
        </w:rPr>
      </w:r>
    </w:p>
    <w:p w:rsidR="00000000" w:rsidDel="00000000" w:rsidP="00000000" w:rsidRDefault="00000000" w:rsidRPr="00000000" w14:paraId="0000003B">
      <w:pPr>
        <w:widowControl w:val="0"/>
        <w:spacing w:line="240" w:lineRule="auto"/>
        <w:ind w:left="0" w:firstLine="0"/>
        <w:jc w:val="both"/>
        <w:rPr>
          <w:sz w:val="24"/>
          <w:szCs w:val="24"/>
        </w:rPr>
      </w:pPr>
      <w:r w:rsidDel="00000000" w:rsidR="00000000" w:rsidRPr="00000000">
        <w:rPr>
          <w:rtl w:val="0"/>
        </w:rPr>
      </w:r>
    </w:p>
    <w:sectPr>
      <w:headerReference r:id="rId10" w:type="default"/>
      <w:headerReference r:id="rId11" w:type="first"/>
      <w:footerReference r:id="rId12"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oxygenxml.com/" TargetMode="External"/><Relationship Id="rId5" Type="http://schemas.openxmlformats.org/officeDocument/2006/relationships/styles" Target="styles.xml"/><Relationship Id="rId6" Type="http://schemas.openxmlformats.org/officeDocument/2006/relationships/hyperlink" Target="https://basex.org/" TargetMode="External"/><Relationship Id="rId7" Type="http://schemas.openxmlformats.org/officeDocument/2006/relationships/hyperlink" Target="https://basex.org/" TargetMode="External"/><Relationship Id="rId8" Type="http://schemas.openxmlformats.org/officeDocument/2006/relationships/hyperlink" Target="https://www.oxygenx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