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RESEARCH REPORT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Another Model, Another SaaSpocalypse:</w:t>
      </w:r>
    </w:p>
    <w:p>
      <w:pPr>
        <w:spacing w:after="480" w:before="4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Heterogeneous Capital Market Reactions to the Anthropic Claude Opus 4.6 Release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Rio Giuliana Fitzgerald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25341807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Programme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MSc Finance — BU7530-202526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Institution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Trinity College Dublin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Supervisor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Prof. Constantin Gurdgiev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Report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 May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Strategy Phase Approved (90/100)</w:t>
            </w:r>
          </w:p>
        </w:tc>
      </w:tr>
    </w:tbl>
    <w:p>
      <w:pPr>
        <w:spacing w:before="48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consolidates all outputs generated by the clo-author research scaffold, including the approved strategy memo, robustness plan, falsification tests, annotated bibliography, and literature positioning statement.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Research Journal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section records all phases completed to date in chronological order.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Another Model, Another SaaSpocalypse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Focal Event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Opus 4.6 release — 5 February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Finance / Event Study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 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FF5 Event Study + DiD + Bond Event Study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Blocked on Bloomberg Terminal pull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Log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2026-05-19 — Project Initialisation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CLAUDE.md filled with project title, institution, supervisor, student ID, field, and project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Bibliography_base.bib populated with 29 BibTeX methodology 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Directory structure created: quality_reports/literature/saaspocalypse/, quality_reports/strategy/saaspocalypse/, scripts/R/saaspocalypse/, and supporting subdirectories.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Tracking files initialised: research_journal.md and pipeline_state.json.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2026-05-19 — Literature Review (Round 2 — Approved)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Score: 68/100 (Round 1) — revised and approved after Round 2 fixes.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Bibliography covers 35+ papers across 6 clusters.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 identified 2 critical gaps (Kolari-Pynnonen unannotated; Cluster 6 empty) and 3 major issues; all fixed in Round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Three UNVERIFIED citations demoted to DO NOT CITE pending Trinity institutional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HTML literature report generated: quality_reports/lit_review_saaspocalypse.html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2026-05-19 — Strategy Phase (Round 2 — Approved 90/100)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Round 1 score: 76/100 — three MAJOR issues identified.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Round 2 score: 90/100 — all issues resolved; four carry-forward items also applied.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Outputs: strategy_memo.md, pseudo_code.md, robustness_plan.md, falsification_tests.md.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 now blocked on Bloomberg Terminal data pull.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Pipeline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CLAUDE.md, bib, directories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Literature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 (90+)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35+ papers, 6 clusters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Approved 90/100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Four-pillar architecture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Collection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BLOCKED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Bloomberg Terminal pull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Analysis (R)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Awaiting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Pending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Awaiting analysis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Literature Positioning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Contribution Statement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This dissertation makes four contributions to the literature on AI model releases and financial markets.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First, </w:t>
      </w:r>
      <w:r>
        <w:rPr>
          <w:rFonts w:ascii="Arial" w:cs="Arial" w:eastAsia="Arial" w:hAnsi="Arial"/>
          <w:sz w:val="22"/>
          <w:szCs w:val="22"/>
        </w:rPr>
        <w:t xml:space="preserve">it provides the first equity event study that explicitly contrasts SaaS firms against matched non-SaaS software firms around a single, precisely dated large-language-model release — the Anthropic Claude Opus 4.6 launch of February 5, 2026.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Second, </w:t>
      </w:r>
      <w:r>
        <w:rPr>
          <w:rFonts w:ascii="Arial" w:cs="Arial" w:eastAsia="Arial" w:hAnsi="Arial"/>
          <w:sz w:val="22"/>
          <w:szCs w:val="22"/>
        </w:rPr>
        <w:t xml:space="preserve">it tests the three-phase price dynamics predicted by Pástor and Veronesi (2009) against the actual event-time return history of SaaS firms, providing the first direct application of the technological-revolutions framework to the generative AI shock and its corporate software incumbents.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Third, </w:t>
      </w:r>
      <w:r>
        <w:rPr>
          <w:rFonts w:ascii="Arial" w:cs="Arial" w:eastAsia="Arial" w:hAnsi="Arial"/>
          <w:sz w:val="22"/>
          <w:szCs w:val="22"/>
        </w:rPr>
        <w:t xml:space="preserve">it implements a matched-sample difference-in-differences design using the Goldsmith-Pinkham and Lyu (2025) synthetic control framework.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Fourth, </w:t>
      </w:r>
      <w:r>
        <w:rPr>
          <w:rFonts w:ascii="Arial" w:cs="Arial" w:eastAsia="Arial" w:hAnsi="Arial"/>
          <w:sz w:val="22"/>
          <w:szCs w:val="22"/>
        </w:rPr>
        <w:t xml:space="preserve">it extends the analysis to the corporate bond market using the Bessembinder-Kahle-Maxwell-Xu (2009) matched-portfolio framework with Ederington-Guan-Yang (2015) standardization.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Differentiation from Closest Papers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vs. Conlon, Corbet &amp; Muñiz (2025): SaaS-specific treatment definition, causal DiD design, and bond pillar.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vs. Eisfeldt, Schubert &amp; Zhang (2023/2025): disruption channel (AI hurts incumbents) vs. adoption channel (AI-exposed firms gain).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vs. Andrews &amp; Farboodi (2025): individual SaaS issuer credit spreads vs. aggregate Treasury yields; combined equity+bond event study.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vs. Bertomeu et al. (2023/2025): AI release (positive shock) vs. regulatory ban (negative shock); Pástor-Veronesi phase decomposition added.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existing paper combines all four elements: SaaS-specific treatment contrast, three-phase Pástor-Veronesi architecture, Goldsmith-Pinkham-Lyu causal DiD design, and BKMX/EGY bond event study.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Approved Strategy Memo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B6B00"/>
          <w:sz w:val="22"/>
          <w:szCs w:val="22"/>
        </w:rPr>
        <w:t xml:space="preserve">APPROVED — Strategist-Critic Round 2 score 90/100 (gate: 80). All Round 1 MAJOR issues resolved.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Paper Type &amp; Primary Estimand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Paper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Reduced-form empirical (event study + DiD)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 estimand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 τ_ATT(s,t) — differential daily excess return of SaaS vs. non-SaaS software firms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Causal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Pillar 3: Matched-sample DiD (primary)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Pillar 1: FF5 event study (labeled descriptive per Goldsmith-Pinkham &amp; Lyu 2025)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primary causal estimand (Pillar 3 DiD) in formal notation: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τ_ATT(s,t) = E[R_i,t(1) − R_i,t(0) | T_i = 1]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R_i,t(1) is the daily excess return SaaS firm i earns after the release; R_i,t(0) is the counterfactual absent the AI disruption shock; T_i = 1 if firm i is a Syntax SaaS Index constituent.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Four-Pillar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FF5 Event Study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Fama-French 5-factor model, KP-BMP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Descriptive (labeled per GP&amp;L 2025)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Cross-Sectional Regression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OLS of CARs on firm characteristics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Exploratory heterogeneity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Matched-Sample DiD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Two-way FE + PSM + synthetic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causal identification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 Event Study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ABR/ASR, Wilcoxon, permutation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Exploratory multi-market evidence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Pástor-Veronesi Three-Phase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000"/>
        <w:gridCol w:w="32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Range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 Return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5–18, 2026 (+1 to +10)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(discount-rate dominance) — PRIMARY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Deepening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19–Apr 10, 2026 (+11 to +47)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Continuing negative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13–May 12, 2026 (+50 to +70)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recovery (cash-flow learning)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Opus 4.7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in 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16–25, 2026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Bayesian updating attenuation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Sample Construction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Treatment (SaaS): Syntax SaaS Index (SYSAAS) constituents as of Jan 31, 2026. Post-filter N ≈ 65 firms.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 (non-SaaS): GICS 451030 S&amp;P 500 software firms excluding SYSAAS. Post-filter N ≈ 25–40 firms.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Estimation window: [−261, −11] trading days relative to Feb 5, 2026 (~250 trading days).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 window primary (Pillar 1): Phase 1 [+1, +10] trading days — the designated primary Pillar 1 window.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Key Identification Assumptions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Pillar 3 DiD — Parallel Trends (PRIMARY)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absence of treatment, the expected return evolution of SaaS and non-SaaS software firms would have followed the same path after Feb 5, 2026. Supporting evidence: [CONTINGENT ON DATA] in-sample pre-event EW return correlation between SaaS and non-SaaS cohorts computed over estimation window [−261, −11]. Target: ρ &gt; 0.75.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No-Anticipation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SaaS firm returns are unaffected by Claude Opus 4.6 before Feb 5, 2026. Credibility: MODERATE-STRONG. Claude Opus 4.6 was not publicly pre-announced on a fixed schedule.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SUTVA / No Spillovers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Credibility: WEAK-MODERATE. The most credible referee challenge: if non-SaaS control firms gained from SaaS substitution, control returns are elevated and the DiD is biased toward zero (conservative direction). Mitigated by excluding most-at-risk control firms in robustness check A14.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Pre-Specified Threat Responses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Threat 1: Joint Hypothesis / FF5 Misspecification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Pre-planned response: FF5 is explicitly labeled descriptive. Primary causal identification is DiD (Pillar 3), which requires only parallel trends — not a pricing model. Day fixed effects absorb all common factor movements. Synthetic control (Robustness #3) makes no factor model assumption at all.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Threat 2: Parallel Trends Not Credible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Pre-planned response: (1) In-sample SaaS-control return correlation [CONTINGENT ON DATA]; (2) dynamic event-time plot showing β̂_s ≈ 0 for s ∈ [−60, −1]; (3) Rambachan-Roth (2023) honest CIs showing result survives violations of magnitude M.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Threat 3: Phase Boundaries Endogenous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Pre-planned response: Quandt-Andrews supremum-Wald and Bai-Perron structural break tests validate boundaries independently. Pre-specified decision rule: Oracle RPO anchor is DEFAULT regardless of break test outcome. If data-driven break date disagrees by &gt; ±3 trading days from Apr 10–13, both dates reported transparently with confound search.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Threat 4: Control Group Contaminated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Pre-planned response: Contamination direction is conservative (biases toward zero). Day FEs absorb common AI-sentiment component. Robustness check A14 excludes most-at-risk control firms.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Threat 5: Bond Sample Too Small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Pre-planned response: EGY (2015) standardization (~4x power improvement). Permutation inference over asymptotic tests. Synthetic control contingency if N &lt; 8. Bond pillar framed as exploratory multi-market corroboration, not independent confirmation.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Key Design Decisions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Decision 1: DiD is PRIMARY, not FF5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Goldsmith-Pinkham &amp; Lyu (2025) demonstrate factor model misspecification is material in volatile periods. The Feb–May 2026 period is precisely such a period. DiD requires only parallel trends and no-anticipation, neither of which depends on a pricing model.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Decision 2: Syntax SaaS Index Defines Treatment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Syntax uses FIS functional classification requiring primary revenue from subscription-based SaaS delivery — sharper than GICS 451030 alone. Robustness: alternative BVP Nasdaq Emerging Cloud Index treatment universe.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Decision 3: Oracle RPO Anchor for Phase 2/3 Boundary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Oracle RPO disclosure (+325% YoY, Apr 10–13, 2026) is the pre-specified theory-driven boundary representing the first high-quality public signal that AI adoption was generating enterprise software demand rather than pure substitution — the cash-flow learning signal in Pástor-Veronesi (2009). The Oracle RPO anchor is the DEFAULT regardless of break test outcome.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Decision 4: Opus 4.7 as Nested Dummy in Phase 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Estimating β_4 separately allows direct test of Pástor-Veronesi prediction that successive releases by same developer generate attenuated market reactions (rational Bayesian updating). If β̂_4 ≈ 0, consistent with investors having already updated priors on Anthropic's model cadence.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Robustness 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 robustness checks ordered by priority (1 = most important for publication viability). All checks are pre-specified before data collection.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Priority 1 — Blocking Checks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A1. Parallel Trends Formal Test [BLOCKING]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Joint F-test: H_0: β_s = 0 for all s ∈ {−60, …, −2} in dynamic DiD.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Decision: If p &gt; 0.10 → causal label; if p ≤ 0.10 → relabel as descriptive DiD; escalate to critic.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Implementation: car::linearHypothesis() or fixest::wald().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A2. Rambachan-Roth (2023) Honest CIs [REQUIRED]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HonestDiD R package. Input pre- and post-event coefficients from dynamic DiD.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 breakdown value M* — maximum M for which Phase 1/2 result remains significant.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 honest CIs at M ∈ {0, M*/2, M*}.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Priority 2 — Strengthening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A3. PSM 1:1 logit (MatchIt; caliper 0.2 SD of logit 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A4. PSM Mahalanobis distance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A5. PSM 1:3 logit with replacement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A6. Synthetic control method (Synth or tidysynth; permutation p-value)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A7. Wild cluster bootstrap (fwildclusterboot; B=9,999 Rademacher replications)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Priority 3 — Sensitivity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A8. Confounding events — tariff announcements (Bloomberg BETS)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A9. Confounding events — other AI releases (GPT-5, Gemini 2.5)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A10. Alternative phase boundaries ±1 and ±3 trading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A11. Data-driven phase boundaries (Quandt-Andrews, Bai-Perron; Oracle RPO anchor is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A14. SUTVA sensitivity — exclude most-at-risk control firms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B1–B2. FF3 and Carhart 4-factor robustness for Pillar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B3. Equal-weighted vs. value-weighted CARs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Priority 4 — Alternative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A12. Alternative treatment universe (BVP Nasdaq Emerging Cloud Index)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A13. Dropping outlier firms (|CAR| &gt; 3σ_pre)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D2. Tobin Q replacing BTM in Pillar 2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Contingent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B4. SPXXAI model-free benchmark [requires Goldman Sachs institutional access]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C1. TRACE transaction prices vs. BGN quotes [requires WRDS access]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C2. Bond synthetic control [activated only if N &lt; 8 bonds]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D3. Eisfeldt-Schubert-Zhang AMH score [requires authors' public replication package]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Falsification Tests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Six falsification tests across three classes: placebo time, placebo group, and counterfactual mechanism. All tests must be implemented in the same R pipeline as main results and reported in a dedicated appendix section.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23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Pre-event placebo DiD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(no SaaS differential at Apr 1, 2025)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Reveals pre-trends — DiD invalid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IT sector placebo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(no Phase 1/2/3 pattern in healthcare)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Non-SaaS-specific market dynamics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Non-frontier within-SaaS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for outside-frontier SaaS firms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Frontier classification subjective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 pseudo-event DiD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event in tail of permutation distribution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 — if SaaS trends diverged pre-event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shifted windows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Reversal decays after true Oracle RPO window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if rebound is broad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Bond SaaS vs. non-SaaS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SaaS bonds show larger spread widening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— if macro credit tightening dominates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F1: Pre-Event Placebo DiD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Panel: May 18, 2024 – January 31, 2026 (entirely pre-event).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Placebo event date: April 1, 2025 (no known AI event).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β̂_1^pl and β̂_2^pl indistinguishable from zero.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Failure: reveals pre-trends → parallel trends violation → escalate immediately.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F2: Unrelated Sector Placebo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Placebo treated: Health IT (GICS 351020); placebo control: S&amp;P 500 Healthcare ex-Health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Same event date and phase windows as main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no Phase 1/2/3 differential pattern in healthcare.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F3: Within-SaaS Non-Frontier Placebo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Classify SaaS firms: inside-frontier (AI-addressable tasks) vs. outside-frontier (complex domain tasks).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outside-frontier SaaS shows near-zero Phase 1 CARs; inside-frontier shows significantly negative CARs.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Caveat: classification must be made before inspecting phase CARs (pre-registered).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F4: 5,000 Pseudo-Event DiD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Draw 5,000 pseudo-event dates from estimation window (Andrews-Farboodi 2025 adaptation applied to DiD).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Empirical p-value: fraction of pseudo-event DiD estimates more extreme than true-event estimate.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Output: permutation distribution histogram; true-event value marked.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F5: Phase 3 Reversal Specificity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5 alternative Phase 3 windows shifted by +5, +10, +15, +20, +25 trading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Expected: reversal (β̂_3) strongest in true Oracle RPO-anchored window; attenuates in later windows.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F6: Bond SaaS vs. Non-SaaS Specificity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Compare Phase 1/2 bond ABRs: SaaS issuer bonds vs. non-SaaS software issuer bonds.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both groups show equal spread widening, result is generic macro credit risk — not SaaS-specific AI disruption.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Two-sample Wilcoxon test of ABRs by group for each phase.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Data Requirements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pipeline is currently blocked pending the following Bloomberg Terminal data pull. All data must be collected as of January 31, 2026 (point-in-time, survivorship-bias-free).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36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equity returns (~65 SaaS firms)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Bloomberg Terminal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Pillars 1, 2,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equity returns (~25-40 non-SaaS)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Bloomberg Terminal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Pillars 1,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Syntax SaaS Index constituent list (SYSAAS)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Syntax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Pillar 3 treatment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Fama-French 5-factor daily returns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Ken French Data Library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Pillar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 fundamentals (Size, BTM, Lev, ROA)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Compustat via Bloomberg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Pillar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 Growth, Gross Margin, NDR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Bloomberg/company filings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Pillar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Bond BGN prices (CUSIP level)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Bloomberg Terminal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Pillar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Bond MDURATION, ratings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Bloomberg Terminal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Pillar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ICE BofA credit index returns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Bloomberg Terminal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Pillar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SPXXAI daily returns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Goldman Sachs [institutional]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Robustness B4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CONTINGENT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Annotated Bibliography — Key Papers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35+ papers across 6 clusters. Proximity score: 1 = directly competes; 5 = tangential background. Full annotated bibliography in quality_reports/literature/saaspocalypse/annotated_bibliography.md.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Cluster 1 — AI/LLM Release Events and Equity Markets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Andrews &amp; Farboodi (2025) — Proximity 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"Do Markets Believe in Transformative AI?" NBER WP 34243. Event study on Treasury/TIPS yields around 15 major AI releases; 21bp average decline in long-maturity nominal yields. Primary empirical comparator for Pillar 4. Dissertation extends to SaaS-issuer credit spreads.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Conlon, Corbet &amp; Muñiz (2025) — Proximity 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"Echoes of Innovation." SSRN 5284184. US firm CARs around multiple GenAI releases; heterogeneous across sectors. Dissertation extends by isolating SaaS vs. non-SaaS, applying FF5, using DiD correction, and adding bond pillar.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Bertomeu et al. (2023/2025) — Proximity 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"Impact of Generative AI on Information Processing." JAE 80(1), 2025. Italy ChatGPT ban as QNE; 6% market-value decline for AI-exposed firms. Identification template for Pillar 3 DiD design.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Eisfeldt, Schubert &amp; Zhang (2023) — Proximity 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"Generative AI and Firm Values." NBER WP 31221. Forthcoming, JF. AMH portfolio; 5% return post-ChatGPT. AMH measure used in Pillar 2. Does not study phase dynamics or bond markets.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Cluster 2 — Event Study Methodology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Kolari &amp; Pynnönen (2010) — Proximity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"Event Study Testing with Cross-sectional Correlation." RFS 23(11). KP correction for event-date clustering: multiplies BMP variance by 1 + (N−1)ρ̄. Primary Pillar 1 test statistic because all firms share event date Feb 5, 2026.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MacKinlay (1997) — Proximity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"Event Studies in Economics and Finance." JEL 35(1). Canonical event study protocol. Methodology section follows MacKinlay's framework.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Boehmer, Musumeci &amp; Poulsen (1991) — Proximity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"Event-Study Methodology Under Conditions of Event-Induced Variance." JFE 30(2). BMP standardized cross-sectional test. Primary parametric test alongside KP correction.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Rambachan &amp; Roth (2023) — Proximity 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"A More Credible Approach to Parallel Trends." ReStud 90(5). HonestDiD package. Used in Robustness A2 to compute sensitivity of DiD estimates to parallel trends violations of magnitude 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Cluster 3 — Pástor-Veronesi Framework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Pástor &amp; Veronesi (2009) — Proximity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"Technological Revolutions and Stock Prices." AER 99(4). Three-phase model: (1) discount-rate dominance → price fall; (2) deepening; (3) cash-flow learning → partial reversal. Core theoretical framework for the dissertation's event architecture.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Pástor &amp; Veronesi (2003, 2006) — Proximity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Stock valuation with learning about profitability; Nasdaq bubble calibration. Theoretical precursors providing the learning mechanism that generates Phase 3 reversal.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Cluster 5 — Corporate Bond Event Study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Ederington, Guan &amp; Yang (2015) — Proximity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EGY standardization for bond event studies providing ~4x power improvement. Used in Pillar 4 as primary bond test statistic (ASR composite).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Mueller et al. (2024) — Proximity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"Corporate Bond Market Event Studies." SSRN 4859838. Power degrades rapidly below N=15 with event-induced variance. Directly addresses Pillar 4 small-N concern; recommends permutation inference.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Campbell &amp; Taksler (2003) — Proximity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"Equity Volatility and Corporate Bond Yields." JF 58(6). Idiosyncratic equity vol explains cross-sectional bond yields as well as credit ratings. Mechanism test F6/C4 in bond pillar.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Cluster 6 — SaaS Economics &amp; AI Disruption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Dell'Acqua et al. (2026) — Proximity 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"Navigating the Jagged Technological Frontier." Org Science. AI improves frontier-task performance +40%; worsens non-frontier tasks −19% in BCG RCT (N=758). Theoretical basis for Pillar 2 within-SaaS heterogeneity and Falsification Test F3.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Brynjolfsson, Li &amp; Raymond (2025) — Proximity 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"Generative AI at Work." QJE 140(2). 14% average productivity gain; 34% for novice workers; near-zero for experienced. Establishes the productivity-substitution mechanism motivating SaaS disruption risk.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4B6B"/>
          <w:sz w:val="24"/>
          <w:szCs w:val="24"/>
        </w:rPr>
        <w:t xml:space="preserve">Farrell &amp; Shapiro (1988) — Proximity 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"Dynamic Competition with Switching Costs." RAND JE 19(1). Theoretical foundation for NDR-as-switching-cost mechanism in Pillar 2: high-NDR SaaS firms retain locked-in customers even when superior AI substitutes emerge.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Next Steps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pipeline is currently blocked on data collection. The following actions are required to advance to the execution phase: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Bloomberg data: equity returns, constituents, fundamentals, bond BGN prices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as of Jan 31, 2026 point-in-time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Fama-French 5-factor daily data from Ken French Data Library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Public; no access barrier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Syntax SYSAAS constituent list as of Jan 31, 2026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Binding assumption for Pillar 3 treatment definition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NDR, ARR Growth, Gross Margin from filings for ~65 SaaS firms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missing data rate per pre-specified decision rule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/analyze in Claude Code once data is in data/ directory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pipeline in scripts/R/saaspocalypse/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/write once analysis outputs are in quality_reports/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paper sections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/review --peer [journal] for pre-submission stress 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journal profiles available</w:t>
            </w:r>
          </w:p>
        </w:tc>
      </w:tr>
    </w:tbl>
    <w:p>
      <w:pPr>
        <w:spacing w:before="240"/>
      </w:pPr>
    </w:p>
    <w:p>
      <w:pPr>
        <w:pBdr>
          <w:top w:val="single" w:color="2E75B6" w:sz="4" w:space="4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Quality Gate Thresholds: Score ≥ 80 required to commit | Score ≥ 90 required for PR | Score ≥ 95 required for submission (all components ≥ 80)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MSc Finance, Trinity College Dublin | Rio Giuliana Fitzgerald | Supervisor: Prof. Constantin Gurdgiev 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Another Model, Another SaaSpocalypse — Research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4B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2026-05-19T14:35:09.502Z</dcterms:created>
  <dcterms:modified xsi:type="dcterms:W3CDTF">2026-05-19T14:35:09.507Z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