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DECATHLON CAMPUS – Phase 1 – Préparation de la réunion de démarrage</w:t>
      </w:r>
    </w:p>
    <w:p>
      <w:r>
        <w:t>Date : 26/10/2026</w:t>
      </w:r>
    </w:p>
    <w:p>
      <w:pPr>
        <w:pStyle w:val="Heading1"/>
      </w:pPr>
      <w:r>
        <w:t>Objet, cadre et objectifs</w:t>
      </w:r>
    </w:p>
    <w:p>
      <w:r>
        <w:t>La réunion de démarrage doit verrouiller le phasage EIFFAGE / ATSI de la phase 1 (gros œuvre, VRD, charpente métallique, bardage + sprinklage) avant le démarrage des travaux prévu le 02/11/2026.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Élément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Opération</w:t>
            </w:r>
          </w:p>
        </w:tc>
        <w:tc>
          <w:tcPr>
            <w:tcW w:type="dxa" w:w="4986"/>
          </w:tcPr>
          <w:p>
            <w:r>
              <w:t>26_083 DECATHLON CAMPUS – révision majeure / trentenaire sprinklage, Villeneuve d'Ascq</w:t>
            </w:r>
          </w:p>
        </w:tc>
      </w:tr>
      <w:tr>
        <w:tc>
          <w:tcPr>
            <w:tcW w:type="dxa" w:w="4986"/>
          </w:tcPr>
          <w:p>
            <w:r>
              <w:t>Date et lieu</w:t>
            </w:r>
          </w:p>
        </w:tc>
        <w:tc>
          <w:tcPr>
            <w:tcW w:type="dxa" w:w="4986"/>
          </w:tcPr>
          <w:p>
            <w:r>
              <w:t>À compléter</w:t>
            </w:r>
          </w:p>
        </w:tc>
      </w:tr>
      <w:tr>
        <w:tc>
          <w:tcPr>
            <w:tcW w:type="dxa" w:w="4986"/>
          </w:tcPr>
          <w:p>
            <w:r>
              <w:t>Participants</w:t>
            </w:r>
          </w:p>
        </w:tc>
        <w:tc>
          <w:tcPr>
            <w:tcW w:type="dxa" w:w="4986"/>
          </w:tcPr>
          <w:p>
            <w:r>
              <w:t>MOA, BC, CSPS, ABSIX (BET SPK), ATSI, EIFFAGE, MOE</w:t>
            </w:r>
          </w:p>
        </w:tc>
      </w:tr>
      <w:tr>
        <w:tc>
          <w:tcPr>
            <w:tcW w:type="dxa" w:w="4986"/>
          </w:tcPr>
          <w:p>
            <w:r>
              <w:t>Objectifs</w:t>
            </w:r>
          </w:p>
        </w:tc>
        <w:tc>
          <w:tcPr>
            <w:tcW w:type="dxa" w:w="4986"/>
          </w:tcPr>
          <w:p>
            <w:r>
              <w:t>Valider le phasage commun · caler les dates ATSI/EIFFAGE · fixer les délais d'approvisionnement · cadrer GN13 / PIC · ouvrir le plan d'actions</w:t>
            </w:r>
          </w:p>
        </w:tc>
      </w:tr>
    </w:tbl>
    <w:p/>
    <w:p>
      <w:pPr>
        <w:pStyle w:val="Heading1"/>
      </w:pPr>
      <w:r>
        <w:t>Chiffres clés et planning de référence</w:t>
      </w:r>
    </w:p>
    <w:p>
      <w:r>
        <w:t>Avec les semaines ATSI du planning 261020, les travaux EIFFAGE finissent le 10/06/2027, soit 17 semaines au-delà de l'objectif de 15 semaines (12/02/2027).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Repère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t>Démarrage travaux EIFFAGE (constat d'huissier)</w:t>
            </w:r>
          </w:p>
        </w:tc>
        <w:tc>
          <w:tcPr>
            <w:tcW w:type="dxa" w:w="3324"/>
          </w:tcPr>
          <w:p>
            <w:r>
              <w:t>02/11/2026</w:t>
            </w:r>
          </w:p>
        </w:tc>
        <w:tc>
          <w:tcPr>
            <w:tcW w:type="dxa" w:w="3324"/>
          </w:tcPr>
          <w:p>
            <w:r>
              <w:t>Planning 261014</w:t>
            </w:r>
          </w:p>
        </w:tc>
      </w:tr>
      <w:tr>
        <w:tc>
          <w:tcPr>
            <w:tcW w:type="dxa" w:w="3324"/>
          </w:tcPr>
          <w:p>
            <w:r>
              <w:t>Fin EIFFAGE, planning de base</w:t>
            </w:r>
          </w:p>
        </w:tc>
        <w:tc>
          <w:tcPr>
            <w:tcW w:type="dxa" w:w="3324"/>
          </w:tcPr>
          <w:p>
            <w:r>
              <w:t>17/02/2027</w:t>
            </w:r>
          </w:p>
        </w:tc>
        <w:tc>
          <w:tcPr>
            <w:tcW w:type="dxa" w:w="3324"/>
          </w:tcPr>
          <w:p>
            <w:r>
              <w:t>Planning 261014</w:t>
            </w:r>
          </w:p>
        </w:tc>
      </w:tr>
      <w:tr>
        <w:tc>
          <w:tcPr>
            <w:tcW w:type="dxa" w:w="3324"/>
          </w:tcPr>
          <w:p>
            <w:r>
              <w:t>Fin EIFFAGE si 15 semaines</w:t>
            </w:r>
          </w:p>
        </w:tc>
        <w:tc>
          <w:tcPr>
            <w:tcW w:type="dxa" w:w="3324"/>
          </w:tcPr>
          <w:p>
            <w:r>
              <w:t>12/02/2027</w:t>
            </w:r>
          </w:p>
        </w:tc>
        <w:tc>
          <w:tcPr>
            <w:tcW w:type="dxa" w:w="3324"/>
          </w:tcPr>
          <w:p>
            <w:r>
              <w:t>Objectif</w:t>
            </w:r>
          </w:p>
        </w:tc>
      </w:tr>
      <w:tr>
        <w:tc>
          <w:tcPr>
            <w:tcW w:type="dxa" w:w="3324"/>
          </w:tcPr>
          <w:p>
            <w:r>
              <w:t>Fin EIFFAGE avec semaines ATSI (S43 à S18)</w:t>
            </w:r>
          </w:p>
        </w:tc>
        <w:tc>
          <w:tcPr>
            <w:tcW w:type="dxa" w:w="3324"/>
          </w:tcPr>
          <w:p>
            <w:r>
              <w:t>10/06/2027</w:t>
            </w:r>
          </w:p>
        </w:tc>
        <w:tc>
          <w:tcPr>
            <w:tcW w:type="dxa" w:w="3324"/>
          </w:tcPr>
          <w:p>
            <w:r>
              <w:t>Intégration 261020</w:t>
            </w:r>
          </w:p>
        </w:tc>
      </w:tr>
      <w:tr>
        <w:tc>
          <w:tcPr>
            <w:tcW w:type="dxa" w:w="3324"/>
          </w:tcPr>
          <w:p>
            <w:r>
              <w:t>Réception ATSI</w:t>
            </w:r>
          </w:p>
        </w:tc>
        <w:tc>
          <w:tcPr>
            <w:tcW w:type="dxa" w:w="3324"/>
          </w:tcPr>
          <w:p>
            <w:r>
              <w:t>17/06/2027</w:t>
            </w:r>
          </w:p>
        </w:tc>
        <w:tc>
          <w:tcPr>
            <w:tcW w:type="dxa" w:w="3324"/>
          </w:tcPr>
          <w:p>
            <w:r>
              <w:t>Intégration 261020</w:t>
            </w:r>
          </w:p>
        </w:tc>
      </w:tr>
      <w:tr>
        <w:tc>
          <w:tcPr>
            <w:tcW w:type="dxa" w:w="3324"/>
          </w:tcPr>
          <w:p>
            <w:r>
              <w:t>Ligne B2 ATSI (montage)</w:t>
            </w:r>
          </w:p>
        </w:tc>
        <w:tc>
          <w:tcPr>
            <w:tcW w:type="dxa" w:w="3324"/>
          </w:tcPr>
          <w:p>
            <w:r>
              <w:t>08/03 au 19/03/2027</w:t>
            </w:r>
          </w:p>
        </w:tc>
        <w:tc>
          <w:tcPr>
            <w:tcW w:type="dxa" w:w="3324"/>
          </w:tcPr>
          <w:p>
            <w:r>
              <w:t>Intégration 261020</w:t>
            </w:r>
          </w:p>
        </w:tc>
      </w:tr>
      <w:tr>
        <w:tc>
          <w:tcPr>
            <w:tcW w:type="dxa" w:w="3324"/>
          </w:tcPr>
          <w:p>
            <w:r>
              <w:t>Indisponibilité source B2 (base)</w:t>
            </w:r>
          </w:p>
        </w:tc>
        <w:tc>
          <w:tcPr>
            <w:tcW w:type="dxa" w:w="3324"/>
          </w:tcPr>
          <w:p>
            <w:r>
              <w:t>09/11/2026 au 02/02/2027, 59 j ouvrés</w:t>
            </w:r>
          </w:p>
        </w:tc>
        <w:tc>
          <w:tcPr>
            <w:tcW w:type="dxa" w:w="3324"/>
          </w:tcPr>
          <w:p>
            <w:r>
              <w:t>Planning 261014</w:t>
            </w:r>
          </w:p>
        </w:tc>
      </w:tr>
      <w:tr>
        <w:tc>
          <w:tcPr>
            <w:tcW w:type="dxa" w:w="3324"/>
          </w:tcPr>
          <w:p>
            <w:r>
              <w:t>Obtention PC prévue</w:t>
            </w:r>
          </w:p>
        </w:tc>
        <w:tc>
          <w:tcPr>
            <w:tcW w:type="dxa" w:w="3324"/>
          </w:tcPr>
          <w:p>
            <w:r>
              <w:t>16/12/2026</w:t>
            </w:r>
          </w:p>
        </w:tc>
        <w:tc>
          <w:tcPr>
            <w:tcW w:type="dxa" w:w="3324"/>
          </w:tcPr>
          <w:p>
            <w:r>
              <w:t>Calendrier MOE 26/06/2026</w:t>
            </w:r>
          </w:p>
        </w:tc>
      </w:tr>
      <w:tr>
        <w:tc>
          <w:tcPr>
            <w:tcW w:type="dxa" w:w="3324"/>
          </w:tcPr>
          <w:p>
            <w:r>
              <w:t>Fin du recours des tiers</w:t>
            </w:r>
          </w:p>
        </w:tc>
        <w:tc>
          <w:tcPr>
            <w:tcW w:type="dxa" w:w="3324"/>
          </w:tcPr>
          <w:p>
            <w:r>
              <w:t>10/02/2027</w:t>
            </w:r>
          </w:p>
        </w:tc>
        <w:tc>
          <w:tcPr>
            <w:tcW w:type="dxa" w:w="3324"/>
          </w:tcPr>
          <w:p>
            <w:r>
              <w:t>Calendrier MOE</w:t>
            </w:r>
          </w:p>
        </w:tc>
      </w:tr>
      <w:tr>
        <w:tc>
          <w:tcPr>
            <w:tcW w:type="dxa" w:w="3324"/>
          </w:tcPr>
          <w:p>
            <w:r>
              <w:t>Réception phase 1 (calendrier MOE)</w:t>
            </w:r>
          </w:p>
        </w:tc>
        <w:tc>
          <w:tcPr>
            <w:tcW w:type="dxa" w:w="3324"/>
          </w:tcPr>
          <w:p>
            <w:r>
              <w:t>22/12/2026</w:t>
            </w:r>
          </w:p>
        </w:tc>
        <w:tc>
          <w:tcPr>
            <w:tcW w:type="dxa" w:w="3324"/>
          </w:tcPr>
          <w:p>
            <w:r>
              <w:t>Calendrier MOE</w:t>
            </w:r>
          </w:p>
        </w:tc>
      </w:tr>
    </w:tbl>
    <w:p/>
    <w:p>
      <w:r>
        <w:t>Levier principal : ATSI doit livrer la source A neuve et permettre la consignation B2 dès la mi-novembre.</w:t>
      </w:r>
    </w:p>
    <w:p>
      <w:pPr>
        <w:pStyle w:val="Heading1"/>
      </w:pPr>
      <w:r>
        <w:t>Ordre du jour proposé (2 h 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Point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Durée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Pilote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Tour de table, périmètre et organisation du chantier</w:t>
            </w:r>
          </w:p>
        </w:tc>
        <w:tc>
          <w:tcPr>
            <w:tcW w:type="dxa" w:w="2493"/>
          </w:tcPr>
          <w:p>
            <w:r>
              <w:t>10 min</w:t>
            </w:r>
          </w:p>
        </w:tc>
        <w:tc>
          <w:tcPr>
            <w:tcW w:type="dxa" w:w="2493"/>
          </w:tcPr>
          <w:p>
            <w:r>
              <w:t>MOE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Planning de référence, 15 semaines et écart ATSI</w:t>
            </w:r>
          </w:p>
        </w:tc>
        <w:tc>
          <w:tcPr>
            <w:tcW w:type="dxa" w:w="2493"/>
          </w:tcPr>
          <w:p>
            <w:r>
              <w:t>30 min</w:t>
            </w:r>
          </w:p>
        </w:tc>
        <w:tc>
          <w:tcPr>
            <w:tcW w:type="dxa" w:w="2493"/>
          </w:tcPr>
          <w:p>
            <w:r>
              <w:t>MOE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Phasage sources A / B2, consignation et mise en service</w:t>
            </w:r>
          </w:p>
        </w:tc>
        <w:tc>
          <w:tcPr>
            <w:tcW w:type="dxa" w:w="2493"/>
          </w:tcPr>
          <w:p>
            <w:r>
              <w:t>25 min</w:t>
            </w:r>
          </w:p>
        </w:tc>
        <w:tc>
          <w:tcPr>
            <w:tcW w:type="dxa" w:w="2493"/>
          </w:tcPr>
          <w:p>
            <w:r>
              <w:t>ATSI / ABSIX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Approvisionnements et délais (cuve 620 m³, GMPD 360 m³/h, fonte, pièces de scellement)</w:t>
            </w:r>
          </w:p>
        </w:tc>
        <w:tc>
          <w:tcPr>
            <w:tcW w:type="dxa" w:w="2493"/>
          </w:tcPr>
          <w:p>
            <w:r>
              <w:t>20 min</w:t>
            </w:r>
          </w:p>
        </w:tc>
        <w:tc>
          <w:tcPr>
            <w:tcW w:type="dxa" w:w="2493"/>
          </w:tcPr>
          <w:p>
            <w:r>
              <w:t>EIFFAGE / ATSI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Sécurité, exploitation, GN13 et PIC</w:t>
            </w:r>
          </w:p>
        </w:tc>
        <w:tc>
          <w:tcPr>
            <w:tcW w:type="dxa" w:w="2493"/>
          </w:tcPr>
          <w:p>
            <w:r>
              <w:t>25 min</w:t>
            </w:r>
          </w:p>
        </w:tc>
        <w:tc>
          <w:tcPr>
            <w:tcW w:type="dxa" w:w="2493"/>
          </w:tcPr>
          <w:p>
            <w:r>
              <w:t>MOA / BC / CSPS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Permis de construire vs démarrage des travaux</w:t>
            </w:r>
          </w:p>
        </w:tc>
        <w:tc>
          <w:tcPr>
            <w:tcW w:type="dxa" w:w="2493"/>
          </w:tcPr>
          <w:p>
            <w:r>
              <w:t>10 min</w:t>
            </w:r>
          </w:p>
        </w:tc>
        <w:tc>
          <w:tcPr>
            <w:tcW w:type="dxa" w:w="2493"/>
          </w:tcPr>
          <w:p>
            <w:r>
              <w:t>MOA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Études, visas et périmètres à clarifier</w:t>
            </w:r>
          </w:p>
        </w:tc>
        <w:tc>
          <w:tcPr>
            <w:tcW w:type="dxa" w:w="2493"/>
          </w:tcPr>
          <w:p>
            <w:r>
              <w:t>10 min</w:t>
            </w:r>
          </w:p>
        </w:tc>
        <w:tc>
          <w:tcPr>
            <w:tcW w:type="dxa" w:w="2493"/>
          </w:tcPr>
          <w:p>
            <w:r>
              <w:t>MOE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Décisions, plan d'actions, prochaine réunion</w:t>
            </w:r>
          </w:p>
        </w:tc>
        <w:tc>
          <w:tcPr>
            <w:tcW w:type="dxa" w:w="2493"/>
          </w:tcPr>
          <w:p>
            <w:r>
              <w:t>5 min</w:t>
            </w:r>
          </w:p>
        </w:tc>
        <w:tc>
          <w:tcPr>
            <w:tcW w:type="dxa" w:w="2493"/>
          </w:tcPr>
          <w:p>
            <w:r>
              <w:t>MOE</w:t>
            </w:r>
          </w:p>
        </w:tc>
      </w:tr>
    </w:tbl>
    <w:p/>
    <w:p>
      <w:pPr>
        <w:pStyle w:val="Heading1"/>
      </w:pPr>
      <w:r>
        <w:t>Documents à avoir avant la réunion</w:t>
      </w:r>
    </w:p>
    <w:p>
      <w:pPr/>
      <w:r>
        <w:t>☐ Planning EIFFAGE/ATSI intégré (261020) et planning de base 261014, envoyés à tous</w:t>
      </w:r>
    </w:p>
    <w:p>
      <w:pPr/>
      <w:r>
        <w:t>☐ Demande de GN13 (16/07/2026) et PIC, avis MOA / BC / CSPS reçus</w:t>
      </w:r>
    </w:p>
    <w:p>
      <w:pPr/>
      <w:r>
        <w:t>☐ Permis de construire 059009 26 00032 (dépôt reçu le 03/07/2026) : état d'instruction</w:t>
      </w:r>
    </w:p>
    <w:p>
      <w:pPr/>
      <w:r>
        <w:t>☐ PPSPS EIFFAGE et ATSI, plan de prévention</w:t>
      </w:r>
    </w:p>
    <w:p>
      <w:pPr/>
      <w:r>
        <w:t>☐ Constat d'huissier avant démarrage (02/11/2026)</w:t>
      </w:r>
    </w:p>
    <w:p>
      <w:pPr/>
      <w:r>
        <w:t>☐ Plans ABSIX 23.014-PRO-01 à 06 à jour</w:t>
      </w:r>
    </w:p>
    <w:p>
      <w:pPr/>
      <w:r>
        <w:t>☐ Rapport G2PRO Fondasol PR.59GT.25.0155 (nappe vers 27,4 NGF)</w:t>
      </w:r>
    </w:p>
    <w:p>
      <w:pPr/>
      <w:r>
        <w:t>☐ Note de calcul / visa BC des fondations de la cuve 620 m³ (Ø 12,48 × H 5,74)</w:t>
      </w:r>
    </w:p>
    <w:p>
      <w:pPr/>
      <w:r>
        <w:t>☐ BET structure : pièces de scellement et réservations</w:t>
      </w:r>
    </w:p>
    <w:p>
      <w:pPr/>
      <w:r>
        <w:t>☐ Registre des incohérences entre pièces (37 points) joint à l'invitation</w:t>
      </w:r>
    </w:p>
    <w:p>
      <w:pPr/>
      <w:r>
        <w:t>☐ Préavis de gardiennage : 5 semaines, donc commandé avant le 05/10 pour le 09/11</w:t>
      </w:r>
    </w:p>
    <w:p>
      <w:pPr>
        <w:pStyle w:val="Heading1"/>
      </w:pPr>
      <w:r>
        <w:t>Points à traiter par thème</w:t>
      </w:r>
    </w:p>
    <w:p>
      <w:pPr>
        <w:pStyle w:val="Heading2"/>
      </w:pPr>
      <w:r>
        <w:t>Planning et phasage</w:t>
      </w:r>
    </w:p>
    <w:p>
      <w:pPr>
        <w:pStyle w:val="ListBullet"/>
      </w:pPr>
      <w:r>
        <w:t>Le planning ATSI (S43 à S18) repousse la fin EIFFAGE au 10/06/2027 : valider les semaines ATSI ou les avancer.</w:t>
      </w:r>
    </w:p>
    <w:p>
      <w:pPr>
        <w:pStyle w:val="ListBullet"/>
      </w:pPr>
      <w:r>
        <w:t>Source A neuve en service avant la consignation de B2 (GN13 : B en service pendant les travaux A, A neuve pendant les travaux B2).</w:t>
      </w:r>
    </w:p>
    <w:p>
      <w:pPr>
        <w:pStyle w:val="ListBullet"/>
      </w:pPr>
      <w:r>
        <w:t>Fin du réseau enterré ATSI (S12 à S15) : verrou pour les reprises de tranchées EIFFAGE.</w:t>
      </w:r>
    </w:p>
    <w:p>
      <w:pPr>
        <w:pStyle w:val="Heading2"/>
      </w:pPr>
      <w:r>
        <w:t>Interfaces EIFFAGE / ATSI</w:t>
      </w:r>
    </w:p>
    <w:p>
      <w:pPr>
        <w:pStyle w:val="ListBullet"/>
      </w:pPr>
      <w:r>
        <w:t>Qui dépose les réseaux SPK entre source B2 et local B2, et qui les repose.</w:t>
      </w:r>
    </w:p>
    <w:p>
      <w:pPr>
        <w:pStyle w:val="ListBullet"/>
      </w:pPr>
      <w:r>
        <w:t>Qui réalise les pièces de scellement, réservations et percements.</w:t>
      </w:r>
    </w:p>
    <w:p>
      <w:pPr>
        <w:pStyle w:val="ListBullet"/>
      </w:pPr>
      <w:r>
        <w:t>Accès, zones de stockage, co-activité sur les locaux A et B2.</w:t>
      </w:r>
    </w:p>
    <w:p>
      <w:pPr>
        <w:pStyle w:val="Heading2"/>
      </w:pPr>
      <w:r>
        <w:t>Approvisionnements</w:t>
      </w:r>
    </w:p>
    <w:p>
      <w:pPr>
        <w:pStyle w:val="ListBullet"/>
      </w:pPr>
      <w:r>
        <w:t>Cuve boulonnée 620 m³ (remplace 405 m³), GMPD 360 m³/h (remplace 250 m³/h), source A 60 m³/h · 30 m³, fonte, pièces de scellement : délais fournisseurs et date de commande ferme.</w:t>
      </w:r>
    </w:p>
    <w:p>
      <w:pPr>
        <w:pStyle w:val="ListBullet"/>
      </w:pPr>
      <w:r>
        <w:t>Achats ATSI en S51 : confirmer l'ordre avant la fermeture de fin d'année.</w:t>
      </w:r>
    </w:p>
    <w:p>
      <w:pPr>
        <w:pStyle w:val="Heading2"/>
      </w:pPr>
      <w:r>
        <w:t>Sécurité et exploitation</w:t>
      </w:r>
    </w:p>
    <w:p>
      <w:pPr>
        <w:pStyle w:val="ListBullet"/>
      </w:pPr>
      <w:r>
        <w:t>Voie pompier, homme trafic, gardiennage (préavis 5 semaines), indisponibilité de B2 pendant 59 jours ouvrés.</w:t>
      </w:r>
    </w:p>
    <w:p>
      <w:pPr>
        <w:pStyle w:val="ListBullet"/>
      </w:pPr>
      <w:r>
        <w:t>GN13 et PIC : avis MOA / BC / CSPS et améliorations à intégrer.</w:t>
      </w:r>
    </w:p>
    <w:p>
      <w:pPr>
        <w:pStyle w:val="Heading2"/>
      </w:pPr>
      <w:r>
        <w:t>Périmètres et incohérences</w:t>
      </w:r>
    </w:p>
    <w:p>
      <w:pPr>
        <w:pStyle w:val="ListBullet"/>
      </w:pPr>
      <w:r>
        <w:t>Postes en double ou partagés entre lots (registre de 37 points) à arbitrer.</w:t>
      </w:r>
    </w:p>
    <w:p>
      <w:pPr>
        <w:pStyle w:val="Heading2"/>
      </w:pPr>
      <w:r>
        <w:t>Études et validations</w:t>
      </w:r>
    </w:p>
    <w:p>
      <w:pPr>
        <w:pStyle w:val="ListBullet"/>
      </w:pPr>
      <w:r>
        <w:t>Visa BC, PEO / G3, dimensionnement fondations de la cuve, plans ABSIX.</w:t>
      </w:r>
    </w:p>
    <w:p>
      <w:pPr>
        <w:pStyle w:val="Heading2"/>
      </w:pPr>
      <w:r>
        <w:t>Aléas</w:t>
      </w:r>
    </w:p>
    <w:p>
      <w:pPr>
        <w:pStyle w:val="ListBullet"/>
      </w:pPr>
      <w:r>
        <w:t>Obtention PC prévue le 16/12/2026, recours jusqu'au 10/02/2027 : risque de démarrer avant PC.</w:t>
      </w:r>
    </w:p>
    <w:p>
      <w:pPr>
        <w:pStyle w:val="ListBullet"/>
      </w:pPr>
      <w:r>
        <w:t>Durcissement du radier, gel et nappe (27,4 NGF) en période hivernale.</w:t>
      </w:r>
    </w:p>
    <w:p>
      <w:pPr>
        <w:pStyle w:val="Heading1"/>
      </w:pPr>
      <w:r>
        <w:t>Questions par intervenant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Intervenant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Questions</w:t>
            </w:r>
          </w:p>
        </w:tc>
      </w:tr>
      <w:tr>
        <w:tc>
          <w:tcPr>
            <w:tcW w:type="dxa" w:w="4986"/>
          </w:tcPr>
          <w:p>
            <w:r>
              <w:t>MOA</w:t>
            </w:r>
          </w:p>
        </w:tc>
        <w:tc>
          <w:tcPr>
            <w:tcW w:type="dxa" w:w="4986"/>
          </w:tcPr>
          <w:p>
            <w:r>
              <w:t>Date réelle d'obtention du PC et accord pour démarrer avant ? · Fenêtres d'indisponibilité de B2 acceptables ? · Accord sur l'objectif de 15 semaines EIFFAGE malgré le planning ATSI ?</w:t>
            </w:r>
          </w:p>
        </w:tc>
      </w:tr>
      <w:tr>
        <w:tc>
          <w:tcPr>
            <w:tcW w:type="dxa" w:w="4986"/>
          </w:tcPr>
          <w:p>
            <w:r>
              <w:t>BC / CSPS</w:t>
            </w:r>
          </w:p>
        </w:tc>
        <w:tc>
          <w:tcPr>
            <w:tcW w:type="dxa" w:w="4986"/>
          </w:tcPr>
          <w:p>
            <w:r>
              <w:t>Avis sur le GN13 et le PIC · Visa des fondations de la cuve 620 m³ · Conditions de co-activité EIFFAGE / ATSI</w:t>
            </w:r>
          </w:p>
        </w:tc>
      </w:tr>
      <w:tr>
        <w:tc>
          <w:tcPr>
            <w:tcW w:type="dxa" w:w="4986"/>
          </w:tcPr>
          <w:p>
            <w:r>
              <w:t>ABSIX (BET SPK)</w:t>
            </w:r>
          </w:p>
        </w:tc>
        <w:tc>
          <w:tcPr>
            <w:tcW w:type="dxa" w:w="4986"/>
          </w:tcPr>
          <w:p>
            <w:r>
              <w:t>Ordre et dates de mise en service source A puis consignation B2 · Qui retire les réseaux entre source B2 et local B2 ? · Implantation du GMPD remplacé</w:t>
            </w:r>
          </w:p>
        </w:tc>
      </w:tr>
      <w:tr>
        <w:tc>
          <w:tcPr>
            <w:tcW w:type="dxa" w:w="4986"/>
          </w:tcPr>
          <w:p>
            <w:r>
              <w:t>ATSI</w:t>
            </w:r>
          </w:p>
        </w:tc>
        <w:tc>
          <w:tcPr>
            <w:tcW w:type="dxa" w:w="4986"/>
          </w:tcPr>
          <w:p>
            <w:r>
              <w:t>Peut-on avancer la source A et la consignation B2 à la mi-novembre ? · Dates de commande et délais cuve, GMPD, fonte · Raisons du réseau enterré en S12 à S15 · Besoins en pièces de scellement et réservations</w:t>
            </w:r>
          </w:p>
        </w:tc>
      </w:tr>
      <w:tr>
        <w:tc>
          <w:tcPr>
            <w:tcW w:type="dxa" w:w="4986"/>
          </w:tcPr>
          <w:p>
            <w:r>
              <w:t>EIFFAGE</w:t>
            </w:r>
          </w:p>
        </w:tc>
        <w:tc>
          <w:tcPr>
            <w:tcW w:type="dxa" w:w="4986"/>
          </w:tcPr>
          <w:p>
            <w:r>
              <w:t>Confirmer la durée de 15 semaines et les tâches préparatoires démarrables en avance · Préavis gardiennage commandé ? · Moyens de pompage nappe et protection hivernale</w:t>
            </w:r>
          </w:p>
        </w:tc>
      </w:tr>
    </w:tbl>
    <w:p/>
    <w:p>
      <w:pPr>
        <w:pStyle w:val="Heading1"/>
      </w:pPr>
      <w:r>
        <w:t>Décisions attendues et plan d'actions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Décision ou action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Responsable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Échéance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Valider l'ordre source A puis consignation B2</w:t>
            </w:r>
          </w:p>
        </w:tc>
        <w:tc>
          <w:tcPr>
            <w:tcW w:type="dxa" w:w="2493"/>
          </w:tcPr>
          <w:p>
            <w:r>
              <w:t>ABSIX / ATSI</w:t>
            </w:r>
          </w:p>
        </w:tc>
        <w:tc>
          <w:tcPr>
            <w:tcW w:type="dxa" w:w="2493"/>
          </w:tcPr>
          <w:p>
            <w:r>
              <w:t>En réunion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Avancer ou accepter les semaines ATSI (écart de 17 semaines)</w:t>
            </w:r>
          </w:p>
        </w:tc>
        <w:tc>
          <w:tcPr>
            <w:tcW w:type="dxa" w:w="2493"/>
          </w:tcPr>
          <w:p>
            <w:r>
              <w:t>MOA / ATSI</w:t>
            </w:r>
          </w:p>
        </w:tc>
        <w:tc>
          <w:tcPr>
            <w:tcW w:type="dxa" w:w="2493"/>
          </w:tcPr>
          <w:p>
            <w:r>
              <w:t>À fixer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Commander cuve, GMPD, fonte, pièces de scellement</w:t>
            </w:r>
          </w:p>
        </w:tc>
        <w:tc>
          <w:tcPr>
            <w:tcW w:type="dxa" w:w="2493"/>
          </w:tcPr>
          <w:p>
            <w:r>
              <w:t>ATSI / EIFFAGE</w:t>
            </w:r>
          </w:p>
        </w:tc>
        <w:tc>
          <w:tcPr>
            <w:tcW w:type="dxa" w:w="2493"/>
          </w:tcPr>
          <w:p>
            <w:r>
              <w:t>À fixer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Commander le gardiennage (préavis 5 semaines)</w:t>
            </w:r>
          </w:p>
        </w:tc>
        <w:tc>
          <w:tcPr>
            <w:tcW w:type="dxa" w:w="2493"/>
          </w:tcPr>
          <w:p>
            <w:r>
              <w:t>EIFFAGE</w:t>
            </w:r>
          </w:p>
        </w:tc>
        <w:tc>
          <w:tcPr>
            <w:tcW w:type="dxa" w:w="2493"/>
          </w:tcPr>
          <w:p>
            <w:r>
              <w:t>À fixer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Rendre les avis GN13 et PIC</w:t>
            </w:r>
          </w:p>
        </w:tc>
        <w:tc>
          <w:tcPr>
            <w:tcW w:type="dxa" w:w="2493"/>
          </w:tcPr>
          <w:p>
            <w:r>
              <w:t>MOA / BC / CSPS</w:t>
            </w:r>
          </w:p>
        </w:tc>
        <w:tc>
          <w:tcPr>
            <w:tcW w:type="dxa" w:w="2493"/>
          </w:tcPr>
          <w:p>
            <w:r>
              <w:t>À fixer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Statuer sur le démarrage avant obtention du PC</w:t>
            </w:r>
          </w:p>
        </w:tc>
        <w:tc>
          <w:tcPr>
            <w:tcW w:type="dxa" w:w="2493"/>
          </w:tcPr>
          <w:p>
            <w:r>
              <w:t>MOA</w:t>
            </w:r>
          </w:p>
        </w:tc>
        <w:tc>
          <w:tcPr>
            <w:tcW w:type="dxa" w:w="2493"/>
          </w:tcPr>
          <w:p>
            <w:r>
              <w:t>À fixer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Arbitrer les postes en double entre lots</w:t>
            </w:r>
          </w:p>
        </w:tc>
        <w:tc>
          <w:tcPr>
            <w:tcW w:type="dxa" w:w="2493"/>
          </w:tcPr>
          <w:p>
            <w:r>
              <w:t>MOE</w:t>
            </w:r>
          </w:p>
        </w:tc>
        <w:tc>
          <w:tcPr>
            <w:tcW w:type="dxa" w:w="2493"/>
          </w:tcPr>
          <w:p>
            <w:r>
              <w:t>À fixer</w:t>
            </w:r>
          </w:p>
        </w:tc>
      </w:tr>
    </w:tbl>
    <w:p/>
    <w:p>
      <w:pPr>
        <w:pStyle w:val="Heading1"/>
      </w:pPr>
      <w:r>
        <w:t>Annexes : références</w:t>
      </w:r>
    </w:p>
    <w:p>
      <w:pPr>
        <w:pStyle w:val="ListBullet"/>
      </w:pPr>
      <w:r>
        <w:t>Planning EXE Phase 1 261014 (base) et intégration ATSI 261020 (XML MS Project)</w:t>
      </w:r>
    </w:p>
    <w:p>
      <w:pPr>
        <w:pStyle w:val="ListBullet"/>
      </w:pPr>
      <w:r>
        <w:t>Calendrier prévisionnel MOE du 26/06/2026 (focus obtention PC)</w:t>
      </w:r>
    </w:p>
    <w:p>
      <w:pPr>
        <w:pStyle w:val="ListBullet"/>
      </w:pPr>
      <w:r>
        <w:t>Demande de GN13 du 16/07/2026 et PIC</w:t>
      </w:r>
    </w:p>
    <w:p>
      <w:pPr>
        <w:pStyle w:val="ListBullet"/>
      </w:pPr>
      <w:r>
        <w:t>DPGF et CCTP GO / SPK, limites de prestations</w:t>
      </w:r>
    </w:p>
    <w:p>
      <w:pPr>
        <w:pStyle w:val="ListBullet"/>
      </w:pPr>
      <w:r>
        <w:t>Registre des incohérences entre documents (Registre_incoherences_Phase1.xlsx)</w:t>
      </w:r>
    </w:p>
    <w:p>
      <w:pPr>
        <w:pStyle w:val="ListBullet"/>
      </w:pPr>
      <w:r>
        <w:t>Carte mentale du phasage EIFFAGE / SPK</w:t>
      </w:r>
    </w:p>
    <w:p>
      <w:pPr>
        <w:pStyle w:val="ListBullet"/>
      </w:pPr>
      <w:r>
        <w:t>Plans ABSIX 23.014-PRO-01 à 06 · G2PRO Fondasol PR.59GT.25.0155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