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b/>
          <w:sz w:val="28"/>
        </w:rPr>
        <w:t>STATEMENT OF WORK (SOW)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right"/>
      </w:pPr>
      <w:r>
        <w:rPr>
          <w:rFonts w:ascii="Times New Roman" w:hAnsi="Times New Roman" w:eastAsia="Times New Roman"/>
          <w:b/>
          <w:sz w:val="22"/>
        </w:rPr>
        <w:t>SOW No: 20260809001</w:t>
      </w:r>
    </w:p>
    <w:p>
      <w:r>
        <w:br w:type="page"/>
      </w:r>
    </w:p>
    <w:p>
      <w:pPr>
        <w:keepNext w:val="0"/>
        <w:spacing w:before="0" w:after="0" w:lineRule="auto" w:line="276"/>
        <w:jc w:val="left"/>
      </w:pPr>
      <w:r>
        <w:rPr>
          <w:rFonts w:ascii="Times New Roman" w:hAnsi="Times New Roman" w:eastAsia="Times New Roman"/>
          <w:b/>
          <w:sz w:val="22"/>
        </w:rPr>
        <w:t xml:space="preserve">Project Title: </w:t>
      </w:r>
      <w:r>
        <w:rPr>
          <w:rFonts w:ascii="Times New Roman" w:hAnsi="Times New Roman" w:eastAsia="Times New Roman"/>
          <w:sz w:val="22"/>
        </w:rPr>
        <w:t>Multilogue Fluency and Multi-Word Unit (MWU) Research Processing System</w:t>
      </w:r>
    </w:p>
    <w:p>
      <w:pPr>
        <w:keepNext w:val="0"/>
        <w:spacing w:before="0" w:after="0" w:lineRule="auto" w:line="276"/>
        <w:jc w:val="left"/>
      </w:pPr>
      <w:r>
        <w:rPr>
          <w:rFonts w:ascii="Times New Roman" w:hAnsi="Times New Roman" w:eastAsia="Times New Roman"/>
          <w:b/>
          <w:sz w:val="22"/>
        </w:rPr>
        <w:t xml:space="preserve">Client: </w:t>
      </w:r>
      <w:r>
        <w:rPr>
          <w:rFonts w:ascii="Times New Roman" w:hAnsi="Times New Roman" w:eastAsia="Times New Roman"/>
          <w:sz w:val="22"/>
        </w:rPr>
        <w:t>Hiroshima University</w:t>
      </w:r>
    </w:p>
    <w:p>
      <w:pPr>
        <w:keepNext w:val="0"/>
        <w:spacing w:before="0" w:after="0" w:lineRule="auto" w:line="276"/>
        <w:jc w:val="left"/>
      </w:pPr>
      <w:r>
        <w:rPr>
          <w:rFonts w:ascii="Times New Roman" w:hAnsi="Times New Roman" w:eastAsia="Times New Roman"/>
          <w:b/>
          <w:sz w:val="22"/>
        </w:rPr>
        <w:t xml:space="preserve">Provider: </w:t>
      </w:r>
      <w:r>
        <w:rPr>
          <w:rFonts w:ascii="Times New Roman" w:hAnsi="Times New Roman" w:eastAsia="Times New Roman"/>
          <w:sz w:val="22"/>
        </w:rPr>
        <w:t>TrendX(Dalian)Technology Co., Ltd</w:t>
      </w:r>
    </w:p>
    <w:p>
      <w:pPr>
        <w:keepNext w:val="0"/>
        <w:spacing w:before="0" w:after="200" w:lineRule="auto" w:line="276"/>
        <w:jc w:val="left"/>
        <w:pBdr>
          <w:bottom w:val="single" w:sz="8" w:space="1" w:color="A6A6A6"/>
        </w:pBdr>
      </w:pPr>
      <w:r>
        <w:rPr>
          <w:rFonts w:ascii="Times New Roman" w:hAnsi="Times New Roman" w:eastAsia="Times New Roman"/>
          <w:b/>
          <w:sz w:val="22"/>
        </w:rPr>
        <w:t xml:space="preserve">Date: </w:t>
      </w:r>
      <w:r>
        <w:rPr>
          <w:rFonts w:ascii="Times New Roman" w:hAnsi="Times New Roman" w:eastAsia="Times New Roman"/>
          <w:sz w:val="22"/>
        </w:rPr>
        <w:t>August 9, 2026</w:t>
      </w:r>
    </w:p>
    <w:p>
      <w:pPr>
        <w:keepNext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1. Executive Summary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This Statement of Work defines the modular implementation of a research-support pipeline for L2 multilogue fluency and multi-word vocabulary analysis. The system converts a confidential room-mix recording into traceable speaker-attribution evidence, dual-threshold Praat-compatible interaction drafts, reviewed transcript units, lexical and MWU feature tables, and a final research matrix. Automated outputs are pre-annotations only. Final research data remain the researcher-corrected TextGrid, transcript, and approved matrix.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b/>
          <w:color w:val="FF0000"/>
          <w:sz w:val="22"/>
        </w:rPr>
        <w:t xml:space="preserve">Commercial structure: </w:t>
      </w:r>
      <w:r>
        <w:rPr>
          <w:rFonts w:ascii="Times New Roman" w:hAnsi="Times New Roman" w:eastAsia="Times New Roman"/>
          <w:color w:val="FF0000"/>
          <w:sz w:val="22"/>
        </w:rPr>
        <w:t>Layer 1 (L1a + L1b) is the recommended first contract because it addresses the most labor-intensive speaker and Praat annotation work. Layers 2 and 3 are optional and may be activated separately after the required research definitions and reference data are accepted.</w:t>
      </w:r>
    </w:p>
    <w:p>
      <w:pPr>
        <w:keepNext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2. Scope of Services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The project consists of four contracted modules mapped to the five-phase research workflow.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Layer 1a: Phase I — Shared Evidence, Speaker Attribution and Isolation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Inputs: </w:t>
      </w:r>
      <w:r>
        <w:rPr>
          <w:rFonts w:ascii="Times New Roman" w:hAnsi="Times New Roman" w:eastAsia="Times New Roman"/>
          <w:sz w:val="22"/>
        </w:rPr>
        <w:t>original room-mix WAV, task boundaries, speaker-count setting, canonical speaker IDs, and client-approved provider configuration.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Processing: </w:t>
      </w:r>
      <w:r>
        <w:rPr>
          <w:rFonts w:ascii="Times New Roman" w:hAnsi="Times New Roman" w:eastAsia="Times New Roman"/>
          <w:sz w:val="22"/>
        </w:rPr>
        <w:t>local audio preflight; canonical WAV clock; acoustic room-activity evidence; AI diarization and timed-word evidence; explicit provider-to-canonical speaker mapping; Stage-1 vocalisation / laughter / artifact / uncertainty evidence.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Outputs: </w:t>
      </w:r>
      <w:r>
        <w:rPr>
          <w:rFonts w:ascii="Times New Roman" w:hAnsi="Times New Roman" w:eastAsia="Times New Roman"/>
          <w:sz w:val="22"/>
        </w:rPr>
        <w:t>speaker activity RTTM/CSV, speaker TextGrid, provider evidence archive, confidence and review flags, one full-duration muted-mirror listening track per identified speaker, and a callable floor / nine-label engine for Phase II.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Scope boundary: </w:t>
      </w:r>
      <w:r>
        <w:rPr>
          <w:rFonts w:ascii="Times New Roman" w:hAnsi="Times New Roman" w:eastAsia="Times New Roman"/>
          <w:sz w:val="22"/>
        </w:rPr>
        <w:t>muted-mirror WAVs mute non-target intervals but are not source-separated clean-room recordings. The current six-tier acceptance baseline is a three-speaker task. Phase I speaker count is configurable; extending the interaction schema beyond three speakers requires an agreed N+3 validation sample.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Layer 1b: Phase II — Multi-Threshold Praat/TextGrid Automation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Inputs: </w:t>
      </w:r>
      <w:r>
        <w:rPr>
          <w:rFonts w:ascii="Times New Roman" w:hAnsi="Times New Roman" w:eastAsia="Times New Roman"/>
          <w:sz w:val="22"/>
        </w:rPr>
        <w:t>original room-mix WAV, Phase I evidence and engine, versioned method parameters, and the research-team review strategy.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Independent runs: </w:t>
      </w:r>
      <w:r>
        <w:rPr>
          <w:rFonts w:ascii="Times New Roman" w:hAnsi="Times New Roman" w:eastAsia="Times New Roman"/>
          <w:sz w:val="22"/>
        </w:rPr>
        <w:t>P = 0.25 s and P = 0.35 s are executed separately on the same canonical timeline. The threshold list remains configurable. The 200 s intensity window and Scale Times/full-timeline behavior are recorded in the method manifest.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Baseline route: </w:t>
      </w:r>
      <w:r>
        <w:rPr>
          <w:rFonts w:ascii="Times New Roman" w:hAnsi="Times New Roman" w:eastAsia="Times New Roman"/>
          <w:sz w:val="22"/>
        </w:rPr>
        <w:t>Path B. Qualified or sub-threshold overlap at a transition is reported as present with offset not measured; it is never serialized as zero. Underlying turn-end, turn-start, raw-gap, overlap, provider-capability and evidence IDs are retained for future Path A recomputation. Path A is not a parallel deliverable; if researcher-reference validation supports it, switching from Path B to Path A using the stored evidence is included and is not a CR.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Outputs per threshold: </w:t>
      </w:r>
      <w:r>
        <w:rPr>
          <w:rFonts w:ascii="Times New Roman" w:hAnsi="Times New Roman" w:eastAsia="Times New Roman"/>
          <w:sz w:val="22"/>
        </w:rPr>
        <w:t>one six-tier TextGrid; nine-label interval table; floor timeline; transition evidence; flags; interaction summary; duration and per-pause tables; overlap-capability evidence; method/provenance manifest; validation report.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Downstream handoff: </w:t>
      </w:r>
      <w:r>
        <w:rPr>
          <w:rFonts w:ascii="Times New Roman" w:hAnsi="Times New Roman" w:eastAsia="Times New Roman"/>
          <w:sz w:val="22"/>
        </w:rPr>
        <w:t>the reviewed nine-label timeline feeds Phase IV. Signed FTO, where supported, feeds Phase V only and is not used to determine Phase IV lexical/MWU features.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Human gate: </w:t>
      </w:r>
      <w:r>
        <w:rPr>
          <w:rFonts w:ascii="Times New Roman" w:hAnsi="Times New Roman" w:eastAsia="Times New Roman"/>
          <w:sz w:val="22"/>
        </w:rPr>
        <w:t>the research team corrects the selected draft(s) in Praat. The review strategy—both thresholds manually reviewed, or a primary threshold reviewed and the secondary regenerated deterministically—must be confirmed in writing before Layer 1 acceptance is finalized.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Layer 2: Phases III–IV and Early Phase V — Research Analysis Expansion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Purpose: </w:t>
      </w:r>
      <w:r>
        <w:rPr>
          <w:rFonts w:ascii="Times New Roman" w:hAnsi="Times New Roman" w:eastAsia="Times New Roman"/>
          <w:sz w:val="22"/>
        </w:rPr>
        <w:t>produce RAW-TIMING and TIDY-PHRASE transcripts, AS-unit/clause mappings, lexical and MWU feature tables, label-aware pause-location features, and rate metrics.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Start conditions: </w:t>
      </w:r>
      <w:r>
        <w:rPr>
          <w:rFonts w:ascii="Times New Roman" w:hAnsi="Times New Roman" w:eastAsia="Times New Roman"/>
          <w:sz w:val="22"/>
        </w:rPr>
        <w:t>researcher-approved transcript conventions, AS-unit/clause rules, MWU operational definition, syllable and repair coding rules, tool/version settings, and representative gold examples.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Alignment boundary: </w:t>
      </w:r>
      <w:r>
        <w:rPr>
          <w:rFonts w:ascii="Times New Roman" w:hAnsi="Times New Roman" w:eastAsia="Times New Roman"/>
          <w:sz w:val="22"/>
        </w:rPr>
        <w:t>base scope uses reviewed silence plus researcher-approved clause/AS-unit boundaries. Word-level forced alignment is an optional, separately validated add-on; no word-level timing claim is made without alignment evidence.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Risk condition: </w:t>
      </w:r>
      <w:r>
        <w:rPr>
          <w:rFonts w:ascii="Times New Roman" w:hAnsi="Times New Roman" w:eastAsia="Times New Roman"/>
          <w:sz w:val="22"/>
        </w:rPr>
        <w:t>TAALES, TAALED, AntConc, MWU and pause-location outputs depend on third-party tool behavior and client-supplied operational definitions. If those inputs are incomplete, the parties may reduce, defer, or substitute the affected deliverables by written agreement.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Layer 3: Phase V — Final Matrix, Validation, Reporting and UI Completion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Purpose: </w:t>
      </w:r>
      <w:r>
        <w:rPr>
          <w:rFonts w:ascii="Times New Roman" w:hAnsi="Times New Roman" w:eastAsia="Times New Roman"/>
          <w:sz w:val="22"/>
        </w:rPr>
        <w:t>merge accepted Layer 1 and Layer 2 outputs into an R/Python-ready matrix, research workbook, codebook, validation package, method logs, archive-ready export, and finalized operational Web UI.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Start conditions: </w:t>
      </w:r>
      <w:r>
        <w:rPr>
          <w:rFonts w:ascii="Times New Roman" w:hAnsi="Times New Roman" w:eastAsia="Times New Roman"/>
          <w:sz w:val="22"/>
        </w:rPr>
        <w:t>accepted upstream artifacts, signed final matrix schema, field-level codebook, expected sample rows, validation metrics, and reporting format.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Risk condition: </w:t>
      </w:r>
      <w:r>
        <w:rPr>
          <w:rFonts w:ascii="Times New Roman" w:hAnsi="Times New Roman" w:eastAsia="Times New Roman"/>
          <w:sz w:val="22"/>
        </w:rPr>
        <w:t>Layer 3 cannot guarantee statistical findings, publication acceptance, or valid synthesis when upstream definitions or gold/reference data are absent. The final deliverable set may be coordinated to the available validated inputs before Layer 3 activation.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Research Integrity and Data Status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AI diarization, ASR, local VAD and rule-based labels are draft evidence and must not be represented as human-verified data.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The original WAV is the canonical acoustic clock. Praat review and researcher correction establish the final TextGrid used for analysis.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Every production run records method parameters, provider/model identity where available, timestamps, checksums, review state and export lineage.</w:t>
      </w:r>
    </w:p>
    <w:p>
      <w:pPr>
        <w:keepNext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3. List of Deliverables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The Provider shall deliver the following items for each activated layer. Unactivated optional layers are not included in the contracted deliverable set.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A. Layer 1a Deliverables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1.</w:t>
        <w:tab/>
      </w:r>
      <w:r>
        <w:rPr>
          <w:rFonts w:ascii="Times New Roman" w:hAnsi="Times New Roman" w:eastAsia="Times New Roman"/>
          <w:sz w:val="22"/>
        </w:rPr>
        <w:t>Speaker-attribution evidence package: RTTM, CSV/JSON, provider mapping, confidence and review flags.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2.</w:t>
        <w:tab/>
      </w:r>
      <w:r>
        <w:rPr>
          <w:rFonts w:ascii="Times New Roman" w:hAnsi="Times New Roman" w:eastAsia="Times New Roman"/>
          <w:sz w:val="22"/>
        </w:rPr>
        <w:t>Speaker TextGrid and full-duration muted-mirror WAVs for researcher listening and correction.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3.</w:t>
        <w:tab/>
      </w:r>
      <w:r>
        <w:rPr>
          <w:rFonts w:ascii="Times New Roman" w:hAnsi="Times New Roman" w:eastAsia="Times New Roman"/>
          <w:sz w:val="22"/>
        </w:rPr>
        <w:t>Phase I manifest, canonical-clock report, security/provenance log and validation summary.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B. Layer 1b Deliverables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1.</w:t>
        <w:tab/>
      </w:r>
      <w:r>
        <w:rPr>
          <w:rFonts w:ascii="Times New Roman" w:hAnsi="Times New Roman" w:eastAsia="Times New Roman"/>
          <w:sz w:val="22"/>
        </w:rPr>
        <w:t>P025 and P035 Praat-compatible TextGrids using the approved tier and label schema.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2.</w:t>
        <w:tab/>
      </w:r>
      <w:r>
        <w:rPr>
          <w:rFonts w:ascii="Times New Roman" w:hAnsi="Times New Roman" w:eastAsia="Times New Roman"/>
          <w:sz w:val="22"/>
        </w:rPr>
        <w:t>Nine-label intervals, duration summary, per-pause table, interaction summary, floor timeline, transition evidence and review flags.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3.</w:t>
        <w:tab/>
      </w:r>
      <w:r>
        <w:rPr>
          <w:rFonts w:ascii="Times New Roman" w:hAnsi="Times New Roman" w:eastAsia="Times New Roman"/>
          <w:sz w:val="22"/>
        </w:rPr>
        <w:t>Overlap-capability evidence, method manifest, deterministic replay record and client review package.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C. Layer 2 Deliverables (Optional)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1.</w:t>
        <w:tab/>
      </w:r>
      <w:r>
        <w:rPr>
          <w:rFonts w:ascii="Times New Roman" w:hAnsi="Times New Roman" w:eastAsia="Times New Roman"/>
          <w:sz w:val="22"/>
        </w:rPr>
        <w:t>RAW-TIMING and TIDY-PHRASE files, unresolved-boundary report, and approved AS-unit/clause map.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2.</w:t>
        <w:tab/>
      </w:r>
      <w:r>
        <w:rPr>
          <w:rFonts w:ascii="Times New Roman" w:hAnsi="Times New Roman" w:eastAsia="Times New Roman"/>
          <w:sz w:val="22"/>
        </w:rPr>
        <w:t>TAALES/TAALED/AntConc-compatible lexical outputs, MWU tables, pause-location features and rate metrics, subject to the signed definitions.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3.</w:t>
        <w:tab/>
      </w:r>
      <w:r>
        <w:rPr>
          <w:rFonts w:ascii="Times New Roman" w:hAnsi="Times New Roman" w:eastAsia="Times New Roman"/>
          <w:sz w:val="22"/>
        </w:rPr>
        <w:t>Early Phase V merge table and method/validation notes for Layer 2 features.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D. Layer 3 Deliverables (Optional)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1.</w:t>
        <w:tab/>
      </w:r>
      <w:r>
        <w:rPr>
          <w:rFonts w:ascii="Times New Roman" w:hAnsi="Times New Roman" w:eastAsia="Times New Roman"/>
          <w:sz w:val="22"/>
        </w:rPr>
        <w:t>Final R/Python-ready matrix, research workbook and data codebook.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2.</w:t>
        <w:tab/>
      </w:r>
      <w:r>
        <w:rPr>
          <w:rFonts w:ascii="Times New Roman" w:hAnsi="Times New Roman" w:eastAsia="Times New Roman"/>
          <w:sz w:val="22"/>
        </w:rPr>
        <w:t>Validation report, gold/reference comparison package, method log and archive manifest.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3.</w:t>
        <w:tab/>
      </w:r>
      <w:r>
        <w:rPr>
          <w:rFonts w:ascii="Times New Roman" w:hAnsi="Times New Roman" w:eastAsia="Times New Roman"/>
          <w:sz w:val="22"/>
        </w:rPr>
        <w:t>Finalized Web UI, downloadable artifact browser and deployment/user documentation.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E. Technical Handover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Versioned source code and deployment configuration for activated modules.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User operation guide and system architecture/workflow document.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No participant transcript text, credentials, signed URLs or absolute client paths will appear in public documentation or software logs.</w:t>
      </w:r>
    </w:p>
    <w:p>
      <w:pPr>
        <w:keepNext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4. Technical Environment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Application: </w:t>
      </w:r>
      <w:r>
        <w:rPr>
          <w:rFonts w:ascii="Times New Roman" w:hAnsi="Times New Roman" w:eastAsia="Times New Roman"/>
          <w:sz w:val="22"/>
        </w:rPr>
        <w:t>browser-based Web UI with background processing workers; deployable on an agreed Linux VPS and testable on macOS development systems.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Audio/Praat toolchain: </w:t>
      </w:r>
      <w:r>
        <w:rPr>
          <w:rFonts w:ascii="Times New Roman" w:hAnsi="Times New Roman" w:eastAsia="Times New Roman"/>
          <w:sz w:val="22"/>
        </w:rPr>
        <w:t>WAV/PCM master audio, FFmpeg/ffprobe, Praat CLI/headless scripts, TextGrid, CSV, JSON and XLSX outputs.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AI evidence: </w:t>
      </w:r>
      <w:r>
        <w:rPr>
          <w:rFonts w:ascii="Times New Roman" w:hAnsi="Times New Roman" w:eastAsia="Times New Roman"/>
          <w:sz w:val="22"/>
        </w:rPr>
        <w:t>initial provider baseline may use pyannoteAI Community-1 for diarization and AssemblyAI Universal-3-Pro for timed transcript evidence with disfluencies enabled. Exact provider/model versions are recorded per run and may be replaced only with written approval or documented equivalence testing.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Security: </w:t>
      </w:r>
      <w:r>
        <w:rPr>
          <w:rFonts w:ascii="Times New Roman" w:hAnsi="Times New Roman" w:eastAsia="Times New Roman"/>
          <w:sz w:val="22"/>
        </w:rPr>
        <w:t>client research audio is confidential. It shall not be reshared or sent to an unapproved third party. Provider/API use and retention settings must be approved before production processing.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Canonical timeline: </w:t>
      </w:r>
      <w:r>
        <w:rPr>
          <w:rFonts w:ascii="Times New Roman" w:hAnsi="Times New Roman" w:eastAsia="Times New Roman"/>
          <w:sz w:val="22"/>
        </w:rPr>
        <w:t>local WAV duration measured by ffprobe; external timestamps are clipped/rejected against this timeline and never extend it.</w:t>
      </w:r>
    </w:p>
    <w:p>
      <w:pPr>
        <w:keepNext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5. Project Timeline (Estimated)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Layer 1 (L1a + L1b): </w:t>
      </w:r>
      <w:r>
        <w:rPr>
          <w:rFonts w:ascii="Times New Roman" w:hAnsi="Times New Roman" w:eastAsia="Times New Roman"/>
          <w:sz w:val="22"/>
        </w:rPr>
        <w:t>approximately 4–6 weeks after kickoff, complete inputs, review-strategy confirmation and validation-set availability.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Layer 2: </w:t>
      </w:r>
      <w:r>
        <w:rPr>
          <w:rFonts w:ascii="Times New Roman" w:hAnsi="Times New Roman" w:eastAsia="Times New Roman"/>
          <w:sz w:val="22"/>
        </w:rPr>
        <w:t>approximately 2–4 weeks after all research definitions, reference examples and Layer 1 reviewed artifacts are accepted.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Layer 3: </w:t>
      </w:r>
      <w:r>
        <w:rPr>
          <w:rFonts w:ascii="Times New Roman" w:hAnsi="Times New Roman" w:eastAsia="Times New Roman"/>
          <w:sz w:val="22"/>
        </w:rPr>
        <w:t>approximately 1–2 weeks after Layer 2 acceptance and final matrix/codebook sign-off.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b/>
          <w:color w:val="FF0000"/>
          <w:sz w:val="22"/>
        </w:rPr>
        <w:t xml:space="preserve">Schedule condition: </w:t>
      </w:r>
      <w:r>
        <w:rPr>
          <w:rFonts w:ascii="Times New Roman" w:hAnsi="Times New Roman" w:eastAsia="Times New Roman"/>
          <w:color w:val="FF0000"/>
          <w:sz w:val="22"/>
        </w:rPr>
        <w:t>these estimates exclude client/researcher review time, institutional approval delays, unavailable third-party services, and changes to the frozen methodology or deliverable structure. A dated delivery plan will be issued for each activated layer at kickoff.</w:t>
      </w:r>
    </w:p>
    <w:p>
      <w:pPr>
        <w:keepNext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6. Out of Scope (Exclusions)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Unless separately activated or agreed in writing, the following are excluded: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Human expert annotation, full manual transcription, rater recruitment, and researcher correction labor.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Guaranteed source separation from a single-room mix; muted-mirror tracks are review aids, not isolated clean speech stems.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Guaranteed automatic accuracy, zero-edit TextGrids, statistical conclusions, research interpretation, publication writing, or publication acceptance.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Creation of missing AS-unit, clause, MWU, syllable, repair, overlap or independent validation gold standards.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Word-level forced alignment/MFA, phoneme-level alignment, or manual correction of aligned boundaries unless separately quoted.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Institutional ethics approval, participant consent administration, external software licenses, or unapproved third-party API charges.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Major changes to the agreed methodology, architecture, data schema or deliverable structure after scope freeze.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b/>
          <w:color w:val="FF0000"/>
          <w:sz w:val="22"/>
        </w:rPr>
        <w:t xml:space="preserve">Included tuning: </w:t>
      </w:r>
      <w:r>
        <w:rPr>
          <w:rFonts w:ascii="Times New Roman" w:hAnsi="Times New Roman" w:eastAsia="Times New Roman"/>
          <w:color w:val="FF0000"/>
          <w:sz w:val="22"/>
        </w:rPr>
        <w:t>routine adjustment of P values, minimum sounding runs, minimum overlap, gap filling, and comparable calibration parameters is included and does not trigger a Change Request.</w:t>
      </w:r>
    </w:p>
    <w:p>
      <w:pPr>
        <w:keepNext/>
        <w:pageBreakBefore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7. Commercial Terms</w:t>
      </w:r>
    </w:p>
    <w:tbl>
      <w:tblPr>
        <w:tblW w:type="dxa" w:w="829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75" w:type="dxa"/>
      </w:tblPr>
      <w:tblGrid>
        <w:gridCol w:w="1008"/>
        <w:gridCol w:w="1555"/>
        <w:gridCol w:w="3787"/>
        <w:gridCol w:w="1944"/>
      </w:tblGrid>
      <w:tr>
        <w:trPr>
          <w:tblHeader w:val="true"/>
        </w:trPr>
        <w:tc>
          <w:tcPr>
            <w:tcW w:type="dxa" w:w="1008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Item</w:t>
            </w:r>
          </w:p>
        </w:tc>
        <w:tc>
          <w:tcPr>
            <w:tcW w:type="dxa" w:w="1555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Scope</w:t>
            </w:r>
          </w:p>
        </w:tc>
        <w:tc>
          <w:tcPr>
            <w:tcW w:type="dxa" w:w="3787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Description</w:t>
            </w:r>
          </w:p>
        </w:tc>
        <w:tc>
          <w:tcPr>
            <w:tcW w:type="dxa" w:w="1944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Price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Layer 1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L1a + L1b</w:t>
            </w:r>
          </w:p>
        </w:tc>
        <w:tc>
          <w:tcPr>
            <w:tcW w:type="dxa" w:w="37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AI speaker evidence/isolation + dual-threshold Praat/TextGrid automation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color w:val="FF0000"/>
                <w:sz w:val="16"/>
              </w:rPr>
              <w:t>USD 2,400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Layer 2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Phase III–IV + early V</w:t>
            </w:r>
          </w:p>
        </w:tc>
        <w:tc>
          <w:tcPr>
            <w:tcW w:type="dxa" w:w="37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Transcript, AS-unit/clause, lexical/MWU and pause-location expansion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color w:val="FF0000"/>
                <w:sz w:val="16"/>
              </w:rPr>
              <w:t>USD 800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Layer 3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Full Phase V</w:t>
            </w:r>
          </w:p>
        </w:tc>
        <w:tc>
          <w:tcPr>
            <w:tcW w:type="dxa" w:w="37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Final matrix, validation/reporting, archive and UI completion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color w:val="FF0000"/>
                <w:sz w:val="16"/>
              </w:rPr>
              <w:t>USD 500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Hosting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Linux VPS</w:t>
            </w:r>
          </w:p>
        </w:tc>
        <w:tc>
          <w:tcPr>
            <w:tcW w:type="dxa" w:w="37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Estimated server hosting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Approx. USD 20/month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O&amp;M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Operations</w:t>
            </w:r>
          </w:p>
        </w:tc>
        <w:tc>
          <w:tcPr>
            <w:tcW w:type="dxa" w:w="37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Monitoring, updates, basic support and small operational fixes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Approx. USD 200/month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AssemblyAI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Monthly allowance</w:t>
            </w:r>
          </w:p>
        </w:tc>
        <w:tc>
          <w:tcPr>
            <w:tcW w:type="dxa" w:w="37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Up to USD 50/month included during active maintenance; overage at actual cost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Included up to USD 50/month</w:t>
            </w:r>
          </w:p>
        </w:tc>
      </w:tr>
    </w:tbl>
    <w:p>
      <w:pPr>
        <w:spacing w:after="0"/>
      </w:pP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Recommended initial contract: </w:t>
      </w:r>
      <w:r>
        <w:rPr>
          <w:rFonts w:ascii="Times New Roman" w:hAnsi="Times New Roman" w:eastAsia="Times New Roman"/>
          <w:sz w:val="22"/>
        </w:rPr>
        <w:t>Layer 1 (L1a + L1b) only, fixed implementation fee USD 2,400. Layers 2 and 3 may be activated later by written order or amendment.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All-layer implementation ceiling: </w:t>
      </w:r>
      <w:r>
        <w:rPr>
          <w:rFonts w:ascii="Times New Roman" w:hAnsi="Times New Roman" w:eastAsia="Times New Roman"/>
          <w:sz w:val="22"/>
        </w:rPr>
        <w:t>USD 3,700 if Layers 1, 2 and 3 are all activated under the frozen scope. Recurring hosting, maintenance and approved third-party usage are separate.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Payment terms: </w:t>
      </w:r>
      <w:r>
        <w:rPr>
          <w:rFonts w:ascii="Times New Roman" w:hAnsi="Times New Roman" w:eastAsia="Times New Roman"/>
          <w:sz w:val="22"/>
        </w:rPr>
        <w:t>50% upon activation of each layer and 50% upon acceptance of that layer, unless the parties agree otherwise in writing.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Change Request boundary: </w:t>
      </w:r>
      <w:r>
        <w:rPr>
          <w:rFonts w:ascii="Times New Roman" w:hAnsi="Times New Roman" w:eastAsia="Times New Roman"/>
          <w:sz w:val="22"/>
        </w:rPr>
        <w:t>routine parameter tuning is included. A written CR applies only to changes in methodology, architecture, contracted corpus type, data schema or deliverable structure. No unlisted third-party charge will be incurred without prior written approval.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Quotation validity: </w:t>
      </w:r>
      <w:r>
        <w:rPr>
          <w:rFonts w:ascii="Times New Roman" w:hAnsi="Times New Roman" w:eastAsia="Times New Roman"/>
          <w:sz w:val="22"/>
        </w:rPr>
        <w:t>30 calendar days from the SOW date.</w:t>
      </w:r>
    </w:p>
    <w:p>
      <w:pPr>
        <w:keepNext/>
        <w:pageBreakBefore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8. Acceptance Criteria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An activated layer is accepted when its agreed deliverables are supplied and the following applicable criteria are met.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1.</w:t>
        <w:tab/>
      </w:r>
      <w:r>
        <w:rPr>
          <w:rFonts w:ascii="Times New Roman" w:hAnsi="Times New Roman" w:eastAsia="Times New Roman"/>
          <w:sz w:val="22"/>
        </w:rPr>
        <w:t>The original WAV remains the canonical timeline; all interval tiers cover the complete task without gaps or overlaps and pass Praat/headless validation.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2.</w:t>
        <w:tab/>
      </w:r>
      <w:r>
        <w:rPr>
          <w:rFonts w:ascii="Times New Roman" w:hAnsi="Times New Roman" w:eastAsia="Times New Roman"/>
          <w:sz w:val="22"/>
        </w:rPr>
        <w:t>For the current three-speaker baseline, each P025/P035 TextGrid contains S1, S2, S3, floor, transitions and flags tiers, with only the approved nine labels on speaker tiers.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3.</w:t>
        <w:tab/>
      </w:r>
      <w:r>
        <w:rPr>
          <w:rFonts w:ascii="Times New Roman" w:hAnsi="Times New Roman" w:eastAsia="Times New Roman"/>
          <w:sz w:val="22"/>
        </w:rPr>
        <w:t>Path B overlap transitions preserve missing FTO explicitly, retain turn-end/start and overlap evidence, and never convert a missing overlap offset to zero.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4.</w:t>
        <w:tab/>
      </w:r>
      <w:r>
        <w:rPr>
          <w:rFonts w:ascii="Times New Roman" w:hAnsi="Times New Roman" w:eastAsia="Times New Roman"/>
          <w:sz w:val="22"/>
        </w:rPr>
        <w:t>Method manifests record P, L, G, frame size, minimum sounding, minimum overlap, VAD/Praat settings, provider/model provenance, lexicon version, checksums and review state.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5.</w:t>
        <w:tab/>
      </w:r>
      <w:r>
        <w:rPr>
          <w:rFonts w:ascii="Times New Roman" w:hAnsi="Times New Roman" w:eastAsia="Times New Roman"/>
          <w:sz w:val="22"/>
        </w:rPr>
        <w:t>The Provider supplies a comparison report against the agreed researcher reference using the agreed metrics. Automated output remains a reviewable draft; acceptance does not imply zero manual correction or a dataset-independent accuracy guarantee.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6.</w:t>
        <w:tab/>
      </w:r>
      <w:r>
        <w:rPr>
          <w:rFonts w:ascii="Times New Roman" w:hAnsi="Times New Roman" w:eastAsia="Times New Roman"/>
          <w:sz w:val="22"/>
        </w:rPr>
        <w:t>Layer 2 is accepted only against the signed transcript, AS-unit/clause, MWU, syllable/repair and tool-output definitions. Unsupported fields are marked pending or excluded, never fabricated.</w:t>
      </w:r>
    </w:p>
    <w:p>
      <w:pPr>
        <w:keepNext w:val="0"/>
        <w:spacing w:before="0" w:after="16" w:lineRule="auto" w:line="300"/>
        <w:ind w:left="403" w:hanging="331"/>
        <w:jc w:val="both"/>
      </w:pPr>
      <w:r>
        <w:rPr>
          <w:rFonts w:ascii="Times New Roman" w:hAnsi="Times New Roman" w:eastAsia="Times New Roman"/>
          <w:sz w:val="22"/>
        </w:rPr>
        <w:t>7.</w:t>
        <w:tab/>
      </w:r>
      <w:r>
        <w:rPr>
          <w:rFonts w:ascii="Times New Roman" w:hAnsi="Times New Roman" w:eastAsia="Times New Roman"/>
          <w:sz w:val="22"/>
        </w:rPr>
        <w:t>Layer 3 is accepted against the signed final matrix schema, codebook, expected sample rows and agreed validation package.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b/>
          <w:color w:val="FF0000"/>
          <w:sz w:val="22"/>
        </w:rPr>
        <w:t xml:space="preserve">Validation condition: </w:t>
      </w:r>
      <w:r>
        <w:rPr>
          <w:rFonts w:ascii="Times New Roman" w:hAnsi="Times New Roman" w:eastAsia="Times New Roman"/>
          <w:color w:val="FF0000"/>
          <w:sz w:val="22"/>
        </w:rPr>
        <w:t>the corrected calibration recording may be used for tuning, but generalization must be evaluated on a separate researcher-reviewed sample before any corpus-wide accuracy claim is made.</w:t>
      </w:r>
    </w:p>
    <w:p>
      <w:pPr>
        <w:keepNext/>
        <w:pageBreakBefore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9. Authorization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By signing below, the parties acknowledge and agree to the terms, conditions, scope, method definitions, pricing and dependencies set forth in this Statement of Work.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Accepted and Agreed by Client: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Signature:  ________________________________________________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Name / Title:  _____________________________________________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Date:  _____________________________________________________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0" w:lineRule="auto" w:line="240"/>
        <w:jc w:val="center"/>
      </w:pP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Accepted and Agreed by Provider: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Signature:  ________________________________________________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Name / Title:  _____________________________________________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Date:  _____________________________________________________</w:t>
      </w:r>
    </w:p>
    <w:p>
      <w:pPr>
        <w:keepNext/>
        <w:pageBreakBefore/>
        <w:spacing w:before="220" w:after="8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0. Appendix &amp; Binding Method Specifications</w:t>
      </w:r>
    </w:p>
    <w:p>
      <w:pPr>
        <w:keepNext w:val="0"/>
        <w:spacing w:before="0" w:after="30" w:lineRule="auto" w:line="324"/>
        <w:jc w:val="both"/>
      </w:pPr>
      <w:r>
        <w:rPr>
          <w:rFonts w:ascii="Times New Roman" w:hAnsi="Times New Roman" w:eastAsia="Times New Roman"/>
          <w:i w:val="0"/>
          <w:sz w:val="22"/>
        </w:rPr>
        <w:t>The following parameters, labels, rules, handoffs and client inputs form the binding technical baseline for this SOW. Routine tuning of the listed adjustable values does not change the method; changing their meaning, ownership or output schema does.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A. Layer and Phase Mapping</w:t>
      </w:r>
    </w:p>
    <w:tbl>
      <w:tblPr>
        <w:tblW w:type="dxa" w:w="829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75" w:type="dxa"/>
      </w:tblPr>
      <w:tblGrid>
        <w:gridCol w:w="792"/>
        <w:gridCol w:w="1512"/>
        <w:gridCol w:w="2880"/>
        <w:gridCol w:w="3110"/>
      </w:tblGrid>
      <w:tr>
        <w:trPr>
          <w:tblHeader w:val="true"/>
        </w:trPr>
        <w:tc>
          <w:tcPr>
            <w:tcW w:type="dxa" w:w="792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Layer</w:t>
            </w:r>
          </w:p>
        </w:tc>
        <w:tc>
          <w:tcPr>
            <w:tcW w:type="dxa" w:w="1512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Research phase</w:t>
            </w:r>
          </w:p>
        </w:tc>
        <w:tc>
          <w:tcPr>
            <w:tcW w:type="dxa" w:w="2880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Input</w:t>
            </w:r>
          </w:p>
        </w:tc>
        <w:tc>
          <w:tcPr>
            <w:tcW w:type="dxa" w:w="3110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L1a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Phase I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Original WAV + metadata</w:t>
            </w:r>
          </w:p>
        </w:tc>
        <w:tc>
          <w:tcPr>
            <w:tcW w:type="dxa" w:w="311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Shared activity, attribution, Stage 1 evidence, speaker review aids, callable floor/label engine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L1b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Phase II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Phase I evidence + P/L/G/Praat config</w:t>
            </w:r>
          </w:p>
        </w:tc>
        <w:tc>
          <w:tcPr>
            <w:tcW w:type="dxa" w:w="311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P025/P035 TextGrids, nine labels, floor, transitions, flags, durations, Path B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L2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Phase III–IV + early V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Reviewed transcript + nine-label timeline + signed research definitions</w:t>
            </w:r>
          </w:p>
        </w:tc>
        <w:tc>
          <w:tcPr>
            <w:tcW w:type="dxa" w:w="311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RAW/TIDY, AS-unit/clause, lexical/MWU, pause-location and rate features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L3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Full Phase V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Accepted L1/L2 artifacts + final schema</w:t>
            </w:r>
          </w:p>
        </w:tc>
        <w:tc>
          <w:tcPr>
            <w:tcW w:type="dxa" w:w="311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Research matrix, workbook, codebook, validation, reports, archive and final UI</w:t>
            </w:r>
          </w:p>
        </w:tc>
      </w:tr>
    </w:tbl>
    <w:p>
      <w:pPr>
        <w:spacing w:after="0"/>
      </w:pP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B. Initial Method Parameters</w:t>
      </w:r>
    </w:p>
    <w:tbl>
      <w:tblPr>
        <w:tblW w:type="dxa" w:w="829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75" w:type="dxa"/>
      </w:tblPr>
      <w:tblGrid>
        <w:gridCol w:w="1440"/>
        <w:gridCol w:w="1656"/>
        <w:gridCol w:w="3355"/>
        <w:gridCol w:w="1843"/>
      </w:tblGrid>
      <w:tr>
        <w:trPr>
          <w:tblHeader w:val="true"/>
        </w:trPr>
        <w:tc>
          <w:tcPr>
            <w:tcW w:type="dxa" w:w="1440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Parameter</w:t>
            </w:r>
          </w:p>
        </w:tc>
        <w:tc>
          <w:tcPr>
            <w:tcW w:type="dxa" w:w="1656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Initial value</w:t>
            </w:r>
          </w:p>
        </w:tc>
        <w:tc>
          <w:tcPr>
            <w:tcW w:type="dxa" w:w="3355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Operational meaning</w:t>
            </w:r>
          </w:p>
        </w:tc>
        <w:tc>
          <w:tcPr>
            <w:tcW w:type="dxa" w:w="1843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0.25 s and 0.35 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Minimum pause/gap threshold; independent runs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Adjustable; both defaults preserved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1.0 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Floor-release/shared-lapse threshold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Adjustable by research decision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2.0 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Responsibility-analysis window; does not change shs labeling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Reserved/adjustable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Frame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10 ms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Canonical interaction analysis step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Method parameter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Min sounding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100 ms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Discard shorter acoustic runs as noise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Routine tuning included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Min overlap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100 ms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Minimum simultaneity for ol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Routine tuning included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Overlap band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±100 ms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Associate overlap evidence to transfer boundary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Routine tuning included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Intensity window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200 s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Stable Praat/intensity baseline window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Recorded per run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Gap fill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0 in Phase I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Threshold-neutral provider evidence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P-specific filling only in Phase II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Local RMS VAD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20 ms frame / 10 ms hop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Noise P20; margin 10 dB; floor -55 dB; hysteresis 3 dB; relative 45 dB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Exact derived threshold logged per file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Phonation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Include s/f/ol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Exclude bc/op/pf/tr/shs/x by default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Versioned research setting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Route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Path B</w:t>
            </w:r>
          </w:p>
        </w:tc>
        <w:tc>
          <w:tcPr>
            <w:tcW w:type="dxa" w:w="335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Gap-only and transfer flags when overlap offset is not measured</w:t>
            </w:r>
          </w:p>
        </w:tc>
        <w:tc>
          <w:tcPr>
            <w:tcW w:type="dxa" w:w="184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Path A only after reference validation</w:t>
            </w:r>
          </w:p>
        </w:tc>
      </w:tr>
    </w:tbl>
    <w:p>
      <w:pPr>
        <w:spacing w:after="0"/>
      </w:pP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C. Nine Timeline Labels</w:t>
      </w:r>
    </w:p>
    <w:tbl>
      <w:tblPr>
        <w:tblW w:type="dxa" w:w="829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75" w:type="dxa"/>
      </w:tblPr>
      <w:tblGrid>
        <w:gridCol w:w="547"/>
        <w:gridCol w:w="1512"/>
        <w:gridCol w:w="2923"/>
        <w:gridCol w:w="3312"/>
      </w:tblGrid>
      <w:tr>
        <w:trPr>
          <w:tblHeader w:val="true"/>
        </w:trPr>
        <w:tc>
          <w:tcPr>
            <w:tcW w:type="dxa" w:w="547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5"/>
              </w:rPr>
              <w:t>Code</w:t>
            </w:r>
          </w:p>
        </w:tc>
        <w:tc>
          <w:tcPr>
            <w:tcW w:type="dxa" w:w="1512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5"/>
              </w:rPr>
              <w:t>Name</w:t>
            </w:r>
          </w:p>
        </w:tc>
        <w:tc>
          <w:tcPr>
            <w:tcW w:type="dxa" w:w="2923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5"/>
              </w:rPr>
              <w:t>Definition</w:t>
            </w:r>
          </w:p>
        </w:tc>
        <w:tc>
          <w:tcPr>
            <w:tcW w:type="dxa" w:w="3312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5"/>
              </w:rPr>
              <w:t>Assignment rule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Speech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Lexical speech by the current floor holder.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Counts as phonation; embedded laughter in intelligible speech remains s.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f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Filled hesitation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Nonlexical hesitation by the floor holder: um, uh, er, humming or prolonged vowel.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Counts as phonation and hesitation; holder retains floor.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bc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Backchannel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Short supportive response from a non-holder.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At most 3 words/nonlexical; majority tokens in lexicon; no turn-projecting start; holder continues.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ol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Overlap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Two or more speakers simultaneously vocalise for at least 100 ms, excluding holder plus qualifying bc alone.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Mark every involved speaker ol; counts as phonation; uncertain boundaries are flagged.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op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Own pause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Floor holder is silent but retains the floor.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If same holder resumes, whole silence is op; above L is flagged for review.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pf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Pause while floor held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A non-holder is silent while another speaker holds the floor.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Listening time, not individual hesitation.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tr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Transition gap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Floor is FREE for no more than L before a different speaker takes it.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Mark tr on all speaker tiers; FTO is a separate transition measure.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shs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Shared silence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Floor is FREE and nobody speaks for longer than L, or until task end.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Mark whole lapse shs on all speaker tiers.</w:t>
            </w:r>
          </w:p>
        </w:tc>
      </w:tr>
      <w:tr>
        <w:trPr>
          <w:cantSplit/>
        </w:trPr>
        <w:tc>
          <w:tcPr>
            <w:tcW w:type="dxa" w:w="54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x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Unusable/non-speech</w:t>
            </w:r>
          </w:p>
        </w:tc>
        <w:tc>
          <w:tcPr>
            <w:tcW w:type="dxa" w:w="29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Wordless laughter, cough, handling noise or unusable audio.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Formal label; overrides other labels except qualifying soft-chuckle bc; uncertainty is a separate flag.</w:t>
            </w:r>
          </w:p>
        </w:tc>
      </w:tr>
    </w:tbl>
    <w:p>
      <w:pPr>
        <w:spacing w:after="0"/>
      </w:pP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D. Floor Rules R1–R5</w:t>
      </w:r>
    </w:p>
    <w:tbl>
      <w:tblPr>
        <w:tblW w:type="dxa" w:w="829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75" w:type="dxa"/>
      </w:tblPr>
      <w:tblGrid>
        <w:gridCol w:w="792"/>
        <w:gridCol w:w="1800"/>
        <w:gridCol w:w="5702"/>
      </w:tblGrid>
      <w:tr>
        <w:trPr>
          <w:tblHeader w:val="true"/>
        </w:trPr>
        <w:tc>
          <w:tcPr>
            <w:tcW w:type="dxa" w:w="792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Rule</w:t>
            </w:r>
          </w:p>
        </w:tc>
        <w:tc>
          <w:tcPr>
            <w:tcW w:type="dxa" w:w="1800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Name</w:t>
            </w:r>
          </w:p>
        </w:tc>
        <w:tc>
          <w:tcPr>
            <w:tcW w:type="dxa" w:w="5702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Binding behavior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R1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Start FREE</w:t>
            </w:r>
          </w:p>
        </w:tc>
        <w:tc>
          <w:tcPr>
            <w:tcW w:type="dxa" w:w="57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The floor is FREE at task start; no holder is assumed before the first turn-taking vocalisation.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R2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Claim floor</w:t>
            </w:r>
          </w:p>
        </w:tc>
        <w:tc>
          <w:tcPr>
            <w:tcW w:type="dxa" w:w="57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The first turn-taking vocalisation from FREE claims the floor for that speaker.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R3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Retain floor</w:t>
            </w:r>
          </w:p>
        </w:tc>
        <w:tc>
          <w:tcPr>
            <w:tcW w:type="dxa" w:w="57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Holder silence and qualifying backchannels do not release or transfer the floor.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R4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Competing turn</w:t>
            </w:r>
          </w:p>
        </w:tc>
        <w:tc>
          <w:tcPr>
            <w:tcW w:type="dxa" w:w="57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A genuine non-holder bid transfers only if it survives the holder. Failed bids have no FTO; ambiguous multi-speaker competition is flagged.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R5</w:t>
            </w:r>
          </w:p>
        </w:tc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Resolve silence</w:t>
            </w:r>
          </w:p>
        </w:tc>
        <w:tc>
          <w:tcPr>
            <w:tcW w:type="dxa" w:w="57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Same holder resumes: op. Another speaker enters within L: tr. Another enters after L, or nobody resumes before task end: shs.</w:t>
            </w:r>
          </w:p>
        </w:tc>
      </w:tr>
    </w:tbl>
    <w:p>
      <w:pPr>
        <w:spacing w:after="0"/>
      </w:pP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E. Six-Tier TextGrid and Path B Contract</w:t>
      </w:r>
    </w:p>
    <w:tbl>
      <w:tblPr>
        <w:tblW w:type="dxa" w:w="829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75" w:type="dxa"/>
      </w:tblPr>
      <w:tblGrid>
        <w:gridCol w:w="749"/>
        <w:gridCol w:w="1584"/>
        <w:gridCol w:w="1512"/>
        <w:gridCol w:w="4449"/>
      </w:tblGrid>
      <w:tr>
        <w:trPr>
          <w:tblHeader w:val="true"/>
        </w:trPr>
        <w:tc>
          <w:tcPr>
            <w:tcW w:type="dxa" w:w="749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Tier</w:t>
            </w:r>
          </w:p>
        </w:tc>
        <w:tc>
          <w:tcPr>
            <w:tcW w:type="dxa" w:w="1584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Praat type</w:t>
            </w:r>
          </w:p>
        </w:tc>
        <w:tc>
          <w:tcPr>
            <w:tcW w:type="dxa" w:w="1512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Name</w:t>
            </w:r>
          </w:p>
        </w:tc>
        <w:tc>
          <w:tcPr>
            <w:tcW w:type="dxa" w:w="4449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Vocabulary / content</w:t>
            </w:r>
          </w:p>
        </w:tc>
      </w:tr>
      <w:tr>
        <w:trPr>
          <w:cantSplit/>
        </w:trPr>
        <w:tc>
          <w:tcPr>
            <w:tcW w:type="dxa" w:w="7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IntervalTier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S1</w:t>
            </w:r>
          </w:p>
        </w:tc>
        <w:tc>
          <w:tcPr>
            <w:tcW w:type="dxa" w:w="44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 f bc ol op pf tr shs x</w:t>
            </w:r>
          </w:p>
        </w:tc>
      </w:tr>
      <w:tr>
        <w:trPr>
          <w:cantSplit/>
        </w:trPr>
        <w:tc>
          <w:tcPr>
            <w:tcW w:type="dxa" w:w="7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IntervalTier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S2</w:t>
            </w:r>
          </w:p>
        </w:tc>
        <w:tc>
          <w:tcPr>
            <w:tcW w:type="dxa" w:w="44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same vocabulary</w:t>
            </w:r>
          </w:p>
        </w:tc>
      </w:tr>
      <w:tr>
        <w:trPr>
          <w:cantSplit/>
        </w:trPr>
        <w:tc>
          <w:tcPr>
            <w:tcW w:type="dxa" w:w="7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IntervalTier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S3</w:t>
            </w:r>
          </w:p>
        </w:tc>
        <w:tc>
          <w:tcPr>
            <w:tcW w:type="dxa" w:w="44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same vocabulary</w:t>
            </w:r>
          </w:p>
        </w:tc>
      </w:tr>
      <w:tr>
        <w:trPr>
          <w:cantSplit/>
        </w:trPr>
        <w:tc>
          <w:tcPr>
            <w:tcW w:type="dxa" w:w="7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IntervalTier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floor</w:t>
            </w:r>
          </w:p>
        </w:tc>
        <w:tc>
          <w:tcPr>
            <w:tcW w:type="dxa" w:w="44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S1 S2 S3 FREE</w:t>
            </w:r>
          </w:p>
        </w:tc>
      </w:tr>
      <w:tr>
        <w:trPr>
          <w:cantSplit/>
        </w:trPr>
        <w:tc>
          <w:tcPr>
            <w:tcW w:type="dxa" w:w="7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TextTier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transitions</w:t>
            </w:r>
          </w:p>
        </w:tc>
        <w:tc>
          <w:tcPr>
            <w:tcW w:type="dxa" w:w="44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signed gap or FTO=NA overlap status</w:t>
            </w:r>
          </w:p>
        </w:tc>
      </w:tr>
      <w:tr>
        <w:trPr>
          <w:cantSplit/>
        </w:trPr>
        <w:tc>
          <w:tcPr>
            <w:tcW w:type="dxa" w:w="7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15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IntervalTier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flags</w:t>
            </w:r>
          </w:p>
        </w:tc>
        <w:tc>
          <w:tcPr>
            <w:tcW w:type="dxa" w:w="444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sorted unique review codes joined by |</w:t>
            </w:r>
          </w:p>
        </w:tc>
      </w:tr>
    </w:tbl>
    <w:p>
      <w:pPr>
        <w:spacing w:after="0"/>
      </w:pP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All interval tiers begin at 0, end at the canonical task duration, and contain no gaps or overlaps. Adjacent equal intervals are merged.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Path B qualified overlap (at least 100 ms): fto_sec is missing, status is overlap_present_offset_not_measured, and review is required.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Path B sub-threshold simultaneity (below 100 ms): no ol label is created; missing FTO and subthreshold_overlap_present_offset_not_measured remain visible in transition evidence and flags.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sz w:val="22"/>
        </w:rPr>
        <w:t>Tier 4 floor is the authoritative floor sequence for handoff derivation. Tier 5 is a transition/audit display and must be regenerated when the reviewed floor changes.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F. Required Client Inputs and Activation Conditions</w:t>
      </w:r>
    </w:p>
    <w:tbl>
      <w:tblPr>
        <w:tblW w:type="dxa" w:w="829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75" w:type="dxa"/>
      </w:tblPr>
      <w:tblGrid>
        <w:gridCol w:w="1224"/>
        <w:gridCol w:w="7070"/>
      </w:tblGrid>
      <w:tr>
        <w:trPr>
          <w:tblHeader w:val="true"/>
        </w:trPr>
        <w:tc>
          <w:tcPr>
            <w:tcW w:type="dxa" w:w="1224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Layer</w:t>
            </w:r>
          </w:p>
        </w:tc>
        <w:tc>
          <w:tcPr>
            <w:tcW w:type="dxa" w:w="7070"/>
            <w:shd w:fill="E7E6E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Required inputs before activation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Layer 1</w:t>
            </w:r>
          </w:p>
        </w:tc>
        <w:tc>
          <w:tcPr>
            <w:tcW w:type="dxa" w:w="70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Original WAVs; task bounds; speaker metadata; confidentiality/provider approval; researcher-corrected six-tier calibration sample; separate validation sample; review strategy.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Layer 2</w:t>
            </w:r>
          </w:p>
        </w:tc>
        <w:tc>
          <w:tcPr>
            <w:tcW w:type="dxa" w:w="70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Reviewed verbatim transcript; filler/repetition/false-start conventions; AS-unit/clause definitions; MWU definition/list; syllable and repair rules; third-party tool versions/settings; gold examples.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Layer 3</w:t>
            </w:r>
          </w:p>
        </w:tc>
        <w:tc>
          <w:tcPr>
            <w:tcW w:type="dxa" w:w="70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Accepted L1/L2 outputs; final matrix schema; codebook; expected sample rows; validation metrics/tolerances; reporting and archive requirements.</w:t>
            </w:r>
          </w:p>
        </w:tc>
      </w:tr>
    </w:tbl>
    <w:p>
      <w:pPr>
        <w:spacing w:after="0"/>
      </w:pPr>
    </w:p>
    <w:p>
      <w:pPr>
        <w:keepNext w:val="0"/>
        <w:keepLines/>
        <w:spacing w:before="0" w:after="30" w:lineRule="auto" w:line="324"/>
        <w:jc w:val="both"/>
      </w:pPr>
      <w:r>
        <w:rPr>
          <w:rFonts w:ascii="Times New Roman" w:hAnsi="Times New Roman" w:eastAsia="Times New Roman"/>
          <w:b/>
          <w:color w:val="FF0000"/>
          <w:sz w:val="22"/>
        </w:rPr>
        <w:t xml:space="preserve">Binding dependency: </w:t>
      </w:r>
      <w:r>
        <w:rPr>
          <w:rFonts w:ascii="Times New Roman" w:hAnsi="Times New Roman" w:eastAsia="Times New Roman"/>
          <w:color w:val="FF0000"/>
          <w:sz w:val="22"/>
        </w:rPr>
        <w:t>where required definitions, rights, reference data or tool outputs are missing, the affected Layer 2/3 deliverables and schedule will be revised, deferred or removed by mutual written agreement before activation. This does not alter accepted Layer 1 deliverables.</w:t>
      </w:r>
    </w:p>
    <w:p>
      <w:pPr>
        <w:keepNext/>
        <w:spacing w:before="140" w:after="40" w:lineRule="auto" w:line="240"/>
        <w:jc w:val="left"/>
      </w:pPr>
      <w:r>
        <w:rPr>
          <w:rFonts w:ascii="Times New Roman" w:hAnsi="Times New Roman" w:eastAsia="Times New Roman"/>
          <w:b/>
          <w:sz w:val="22"/>
        </w:rPr>
        <w:t>G. Reference Documents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Workflow baseline: </w:t>
      </w:r>
      <w:r>
        <w:rPr>
          <w:rFonts w:ascii="Times New Roman" w:hAnsi="Times New Roman" w:eastAsia="Times New Roman"/>
          <w:sz w:val="22"/>
        </w:rPr>
        <w:t>MWU Fluency Pipeline — Workflow Atlas, Methodology v2.1.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Method baseline: </w:t>
      </w:r>
      <w:r>
        <w:rPr>
          <w:rFonts w:ascii="Times New Roman" w:hAnsi="Times New Roman" w:eastAsia="Times New Roman"/>
          <w:sz w:val="22"/>
        </w:rPr>
        <w:t>Technical Appendix — Multilogues, including nine labels and floor rules R1–R5.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Calibration reference: </w:t>
      </w:r>
      <w:r>
        <w:rPr>
          <w:rFonts w:ascii="Times New Roman" w:hAnsi="Times New Roman" w:eastAsia="Times New Roman"/>
          <w:sz w:val="22"/>
        </w:rPr>
        <w:t>researcher-corrected Multilogue04 P025 six-tier TextGrid and its documented corrections.</w:t>
      </w:r>
    </w:p>
    <w:p>
      <w:pPr>
        <w:keepNext w:val="0"/>
        <w:spacing w:before="0" w:after="16" w:lineRule="auto" w:line="300"/>
        <w:ind w:left="360" w:hanging="259"/>
        <w:jc w:val="both"/>
      </w:pPr>
      <w:r>
        <w:rPr>
          <w:rFonts w:ascii="Times New Roman" w:hAnsi="Times New Roman" w:eastAsia="Times New Roman"/>
          <w:sz w:val="22"/>
        </w:rPr>
        <w:t>•</w:t>
        <w:tab/>
      </w:r>
      <w:r>
        <w:rPr>
          <w:rFonts w:ascii="Times New Roman" w:hAnsi="Times New Roman" w:eastAsia="Times New Roman"/>
          <w:b/>
          <w:sz w:val="22"/>
        </w:rPr>
        <w:t xml:space="preserve">Validation principle: </w:t>
      </w:r>
      <w:r>
        <w:rPr>
          <w:rFonts w:ascii="Times New Roman" w:hAnsi="Times New Roman" w:eastAsia="Times New Roman"/>
          <w:sz w:val="22"/>
        </w:rPr>
        <w:t>calibration and blind validation evidence must remain separate; provider logs establish provenance, not accuracy.</w:t>
      </w:r>
    </w:p>
    <w:sectPr w:rsidR="00413D4E" w:rsidRPr="00413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BD98C" w14:textId="77777777" w:rsidR="008F6528" w:rsidRDefault="008F6528" w:rsidP="00905B00">
      <w:pPr>
        <w:rPr>
          <w:rFonts w:hint="eastAsia"/>
        </w:rPr>
      </w:pPr>
      <w:r>
        <w:separator/>
      </w:r>
    </w:p>
  </w:endnote>
  <w:endnote w:type="continuationSeparator" w:id="0">
    <w:p w14:paraId="1CB5BD07" w14:textId="77777777" w:rsidR="008F6528" w:rsidRDefault="008F6528" w:rsidP="00905B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70472" w14:textId="77777777" w:rsidR="008F6528" w:rsidRDefault="008F6528" w:rsidP="00905B00">
      <w:pPr>
        <w:rPr>
          <w:rFonts w:hint="eastAsia"/>
        </w:rPr>
      </w:pPr>
      <w:r>
        <w:separator/>
      </w:r>
    </w:p>
  </w:footnote>
  <w:footnote w:type="continuationSeparator" w:id="0">
    <w:p w14:paraId="2FDC9B26" w14:textId="77777777" w:rsidR="008F6528" w:rsidRDefault="008F6528" w:rsidP="00905B0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29F8"/>
    <w:multiLevelType w:val="multilevel"/>
    <w:tmpl w:val="AA6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3EB1"/>
    <w:multiLevelType w:val="multilevel"/>
    <w:tmpl w:val="840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72240"/>
    <w:multiLevelType w:val="multilevel"/>
    <w:tmpl w:val="751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934CE"/>
    <w:multiLevelType w:val="multilevel"/>
    <w:tmpl w:val="08F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C6F0C"/>
    <w:multiLevelType w:val="multilevel"/>
    <w:tmpl w:val="D3C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9293D"/>
    <w:multiLevelType w:val="multilevel"/>
    <w:tmpl w:val="7D6A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4795A"/>
    <w:multiLevelType w:val="multilevel"/>
    <w:tmpl w:val="7906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B3172"/>
    <w:multiLevelType w:val="multilevel"/>
    <w:tmpl w:val="4DC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70785"/>
    <w:multiLevelType w:val="hybridMultilevel"/>
    <w:tmpl w:val="7932E0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836C92"/>
    <w:multiLevelType w:val="multilevel"/>
    <w:tmpl w:val="B2A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46FA8"/>
    <w:multiLevelType w:val="multilevel"/>
    <w:tmpl w:val="A4C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F25B7"/>
    <w:multiLevelType w:val="multilevel"/>
    <w:tmpl w:val="1E4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C522B"/>
    <w:multiLevelType w:val="multilevel"/>
    <w:tmpl w:val="FAB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908974">
    <w:abstractNumId w:val="9"/>
  </w:num>
  <w:num w:numId="2" w16cid:durableId="634725006">
    <w:abstractNumId w:val="4"/>
  </w:num>
  <w:num w:numId="3" w16cid:durableId="1678146702">
    <w:abstractNumId w:val="7"/>
  </w:num>
  <w:num w:numId="4" w16cid:durableId="787815248">
    <w:abstractNumId w:val="2"/>
  </w:num>
  <w:num w:numId="5" w16cid:durableId="2012370625">
    <w:abstractNumId w:val="11"/>
  </w:num>
  <w:num w:numId="6" w16cid:durableId="1437672655">
    <w:abstractNumId w:val="10"/>
  </w:num>
  <w:num w:numId="7" w16cid:durableId="792871728">
    <w:abstractNumId w:val="5"/>
  </w:num>
  <w:num w:numId="8" w16cid:durableId="2033333046">
    <w:abstractNumId w:val="8"/>
  </w:num>
  <w:num w:numId="9" w16cid:durableId="1321499706">
    <w:abstractNumId w:val="12"/>
  </w:num>
  <w:num w:numId="10" w16cid:durableId="2074693511">
    <w:abstractNumId w:val="1"/>
  </w:num>
  <w:num w:numId="11" w16cid:durableId="846601698">
    <w:abstractNumId w:val="3"/>
  </w:num>
  <w:num w:numId="12" w16cid:durableId="2127044552">
    <w:abstractNumId w:val="0"/>
  </w:num>
  <w:num w:numId="13" w16cid:durableId="52436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C5"/>
    <w:rsid w:val="00000F7C"/>
    <w:rsid w:val="00031724"/>
    <w:rsid w:val="0004409C"/>
    <w:rsid w:val="00046A98"/>
    <w:rsid w:val="00054220"/>
    <w:rsid w:val="00070DC3"/>
    <w:rsid w:val="00076240"/>
    <w:rsid w:val="000A61BF"/>
    <w:rsid w:val="000D4EE1"/>
    <w:rsid w:val="000E4398"/>
    <w:rsid w:val="0015363A"/>
    <w:rsid w:val="00193FDF"/>
    <w:rsid w:val="00214EE0"/>
    <w:rsid w:val="00245E65"/>
    <w:rsid w:val="002757BB"/>
    <w:rsid w:val="002950F5"/>
    <w:rsid w:val="002B558B"/>
    <w:rsid w:val="002D059C"/>
    <w:rsid w:val="00315F01"/>
    <w:rsid w:val="0036382D"/>
    <w:rsid w:val="003E0C47"/>
    <w:rsid w:val="00400265"/>
    <w:rsid w:val="00413D4E"/>
    <w:rsid w:val="00420B4D"/>
    <w:rsid w:val="004B0642"/>
    <w:rsid w:val="00512136"/>
    <w:rsid w:val="00513CEC"/>
    <w:rsid w:val="00564A15"/>
    <w:rsid w:val="0057381C"/>
    <w:rsid w:val="005C40B1"/>
    <w:rsid w:val="006527C4"/>
    <w:rsid w:val="00686057"/>
    <w:rsid w:val="006C0F7C"/>
    <w:rsid w:val="006D5627"/>
    <w:rsid w:val="006E5440"/>
    <w:rsid w:val="007454DF"/>
    <w:rsid w:val="00774709"/>
    <w:rsid w:val="007D026A"/>
    <w:rsid w:val="007F7A8C"/>
    <w:rsid w:val="00850863"/>
    <w:rsid w:val="00856B81"/>
    <w:rsid w:val="008F6528"/>
    <w:rsid w:val="00905B00"/>
    <w:rsid w:val="009748A2"/>
    <w:rsid w:val="00A6389A"/>
    <w:rsid w:val="00AB0D10"/>
    <w:rsid w:val="00AB65C5"/>
    <w:rsid w:val="00AD3B4E"/>
    <w:rsid w:val="00AD41C3"/>
    <w:rsid w:val="00AE1329"/>
    <w:rsid w:val="00AE7DE6"/>
    <w:rsid w:val="00B63CBB"/>
    <w:rsid w:val="00C22010"/>
    <w:rsid w:val="00C27F21"/>
    <w:rsid w:val="00C5103F"/>
    <w:rsid w:val="00D55391"/>
    <w:rsid w:val="00D67B70"/>
    <w:rsid w:val="00DA4BB7"/>
    <w:rsid w:val="00DB4768"/>
    <w:rsid w:val="00E301B5"/>
    <w:rsid w:val="00E453BB"/>
    <w:rsid w:val="00E53448"/>
    <w:rsid w:val="00E6056E"/>
    <w:rsid w:val="00EA007F"/>
    <w:rsid w:val="00EE47D4"/>
    <w:rsid w:val="00F209DB"/>
    <w:rsid w:val="00FD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3A53C"/>
  <w15:chartTrackingRefBased/>
  <w15:docId w15:val="{917B4655-B99B-4593-9755-CE8A88C0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AB65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5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5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5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5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5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5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5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5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5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65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5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5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5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5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65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5B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5B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5B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5B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1024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- MWU Fluency Pipeline</dc:title>
  <dc:subject>Modular multilogue fluency and MWU research processing system</dc:subject>
  <dc:creator>TrendX(Dalian)Technology Co., Ltd</dc:creator>
  <cp:keywords>MWU, multilogue, Praat, TextGrid, fluency, diarization, SOW</cp:keywords>
  <dc:description/>
  <cp:lastModifiedBy>Nedved</cp:lastModifiedBy>
  <cp:revision>59</cp:revision>
  <dcterms:created xsi:type="dcterms:W3CDTF">2026-01-13T10:02:00Z</dcterms:created>
  <dcterms:modified xsi:type="dcterms:W3CDTF">2026-01-15T08:00:00Z</dcterms:modified>
</cp:coreProperties>
</file>