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SYSTEM DESIGN DOCUMENT</w:t>
      </w:r>
    </w:p>
    <w:p>
      <w:pPr>
        <w:spacing w:before="200"/>
        <w:jc w:val="center"/>
      </w:pPr>
      <w:r>
        <w:rPr>
          <w:color w:val="6B7280"/>
          <w:sz w:val="20"/>
          <w:szCs w:val="20"/>
        </w:rPr>
        <w:t xml:space="preserve">Document 5 of 18 — Phase 2: Engineering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formalizes the ASCII sketches introduced in the Technical Requirements Document v2.0 (Sections 2 and 8) into authoritative sequence diagrams, and extends the Scaling Strategy and Disaster Recovery sections to cover a genuinely new operational reality: inference now runs on millions of devices Certivo does not control, rather than exclusively within Certivo's own infrastructure.</w:t>
      </w:r>
    </w:p>
    <w:p>
      <w:pPr>
        <w:spacing w:after="200" w:line="300"/>
        <w:jc w:val="both"/>
      </w:pPr>
      <w:r>
        <w:rPr>
          <w:sz w:val="21"/>
          <w:szCs w:val="21"/>
        </w:rPr>
        <w:t xml:space="preserve">Sections 2-3 (architecture/service diagrams) and 5 (sequence diagrams) contain substantial new content. Section 4 (Request Flow) is extended, not replaced. Sections 6-7 (Scaling, Disaster Recovery) are revised with new subsections rather than rewritten wholesale, since the original point-in-time scaling/DR guidance still applies to the retained verticals.</w:t>
      </w:r>
    </w:p>
    <w:p>
      <w:pPr>
        <w:pStyle w:val="Heading1"/>
        <w:pageBreakBefore/>
        <w:spacing w:after="240" w:before="480"/>
      </w:pPr>
      <w:r>
        <w:rPr>
          <w:b/>
          <w:bCs/>
          <w:color w:val="1A2B4C"/>
          <w:sz w:val="32"/>
          <w:szCs w:val="32"/>
        </w:rPr>
        <w:t xml:space="preserve">2. Architecture Diagrams (Revised)</w:t>
      </w:r>
    </w:p>
    <w:p>
      <w:pPr>
        <w:pStyle w:val="Heading2"/>
        <w:spacing w:after="180" w:before="360"/>
      </w:pPr>
      <w:r>
        <w:rPr>
          <w:b/>
          <w:bCs/>
          <w:color w:val="2E5EAA"/>
          <w:sz w:val="26"/>
          <w:szCs w:val="26"/>
        </w:rPr>
        <w:t xml:space="preserve">2.1 Revised system context diagram</w:t>
      </w:r>
    </w:p>
    <w:p>
      <w:pPr>
        <w:spacing w:after="200" w:line="300"/>
        <w:jc w:val="both"/>
      </w:pPr>
      <w:r>
        <w:rPr>
          <w:sz w:val="21"/>
          <w:szCs w:val="21"/>
        </w:rPr>
        <w:t xml:space="preserve">The most significant change from Version 1.0's context diagram: the client SDK is no longer a thin capture-and-upload component. It is now where inference actually happens, running inside the partner platform's own call client.</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                        ┌──────────────────────────┐</w:t>
      </w:r>
      <w:r>
        <w:rPr>
          <w:rFonts w:ascii="Consolas" w:cs="Consolas" w:eastAsia="Consolas" w:hAnsi="Consolas"/>
          <w:color w:val="1A2B4C"/>
          <w:sz w:val="18"/>
          <w:szCs w:val="18"/>
        </w:rPr>
        <w:br/>
        <w:t xml:space="preserve">                        │  Call Participants (2+)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 use</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        Partner Platform's Call Client (Web/iOS/Android)      │</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   │ Certivo Edge          │        │ Partner's own call    │    │</w:t>
      </w:r>
      <w:r>
        <w:rPr>
          <w:rFonts w:ascii="Consolas" w:cs="Consolas" w:eastAsia="Consolas" w:hAnsi="Consolas"/>
          <w:color w:val="1A2B4C"/>
          <w:sz w:val="18"/>
          <w:szCs w:val="18"/>
        </w:rPr>
        <w:br/>
        <w:t xml:space="preserve">   │   │ Inference SDK          │◄──────►│ media pipeline         │    │</w:t>
      </w:r>
      <w:r>
        <w:rPr>
          <w:rFonts w:ascii="Consolas" w:cs="Consolas" w:eastAsia="Consolas" w:hAnsi="Consolas"/>
          <w:color w:val="1A2B4C"/>
          <w:sz w:val="18"/>
          <w:szCs w:val="18"/>
        </w:rPr>
        <w:br/>
        <w:t xml:space="preserve">   │   │ (on-device inference,   │        │ (WebRTC or native)      │    │</w:t>
      </w:r>
      <w:r>
        <w:rPr>
          <w:rFonts w:ascii="Consolas" w:cs="Consolas" w:eastAsia="Consolas" w:hAnsi="Consolas"/>
          <w:color w:val="1A2B4C"/>
          <w:sz w:val="18"/>
          <w:szCs w:val="18"/>
        </w:rPr>
        <w:br/>
        <w:t xml:space="preserve">   │   │  Section 3.1)           │        └─────────────────────┘    │</w:t>
      </w:r>
      <w:r>
        <w:rPr>
          <w:rFonts w:ascii="Consolas" w:cs="Consolas" w:eastAsia="Consolas" w:hAnsi="Consolas"/>
          <w:color w:val="1A2B4C"/>
          <w:sz w:val="18"/>
          <w:szCs w:val="18"/>
        </w:rPr>
        <w:br/>
        <w:t xml:space="preserve">   │   └──────────┬─────────────┘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 signed score + explanation packets only</w:t>
      </w:r>
      <w:r>
        <w:rPr>
          <w:rFonts w:ascii="Consolas" w:cs="Consolas" w:eastAsia="Consolas" w:hAnsi="Consolas"/>
          <w:color w:val="1A2B4C"/>
          <w:sz w:val="18"/>
          <w:szCs w:val="18"/>
        </w:rPr>
        <w:br/>
        <w:t xml:space="preserve">                     │ (never raw video/audio)</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                 CERTIVO PLATFORM                 │</w:t>
      </w:r>
      <w:r>
        <w:rPr>
          <w:rFonts w:ascii="Consolas" w:cs="Consolas" w:eastAsia="Consolas" w:hAnsi="Consolas"/>
          <w:color w:val="1A2B4C"/>
          <w:sz w:val="18"/>
          <w:szCs w:val="18"/>
        </w:rPr>
        <w:br/>
        <w:t xml:space="preserve">        │  (Backend API, Cryptographic Svc incl. Trusted     │</w:t>
      </w:r>
      <w:r>
        <w:rPr>
          <w:rFonts w:ascii="Consolas" w:cs="Consolas" w:eastAsia="Consolas" w:hAnsi="Consolas"/>
          <w:color w:val="1A2B4C"/>
          <w:sz w:val="18"/>
          <w:szCs w:val="18"/>
        </w:rPr>
        <w:br/>
        <w:t xml:space="preserve">        │   Device Layer, Device Trust, Analytics, etc.)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w:t>
      </w:r>
      <w:r>
        <w:rPr>
          <w:rFonts w:ascii="Consolas" w:cs="Consolas" w:eastAsia="Consolas" w:hAnsi="Consolas"/>
          <w:color w:val="1A2B4C"/>
          <w:sz w:val="18"/>
          <w:szCs w:val="18"/>
        </w:rPr>
        <w:br/>
        <w:t xml:space="preserve">        │ Third-party auditor /  │  (independently verifies</w:t>
      </w:r>
      <w:r>
        <w:rPr>
          <w:rFonts w:ascii="Consolas" w:cs="Consolas" w:eastAsia="Consolas" w:hAnsi="Consolas"/>
          <w:color w:val="1A2B4C"/>
          <w:sz w:val="18"/>
          <w:szCs w:val="18"/>
        </w:rPr>
        <w:br/>
        <w:t xml:space="preserve">        │  regulator               │   session attestations, offline)</w:t>
      </w:r>
      <w:r>
        <w:rPr>
          <w:rFonts w:ascii="Consolas" w:cs="Consolas" w:eastAsia="Consolas" w:hAnsi="Consolas"/>
          <w:color w:val="1A2B4C"/>
          <w:sz w:val="18"/>
          <w:szCs w:val="18"/>
        </w:rPr>
        <w:br/>
        <w:t xml:space="preserve">        └──────────────────────┘</w:t>
      </w:r>
    </w:p>
    <w:p>
      <w:pPr>
        <w:spacing w:after="260" w:before="80"/>
      </w:pPr>
      <w:r>
        <w:rPr>
          <w:i/>
          <w:iCs/>
          <w:color w:val="6B7280"/>
          <w:sz w:val="18"/>
          <w:szCs w:val="18"/>
        </w:rPr>
        <w:t xml:space="preserve">Figure 2.1 — Revised system context diagram. Compare against Version 1.0's Figure 2.1: the SDK's role has grown from a capture-and-upload conduit to the primary inference boundary.</w:t>
      </w:r>
    </w:p>
    <w:p>
      <w:pPr>
        <w:pStyle w:val="Heading2"/>
        <w:spacing w:after="180" w:before="360"/>
      </w:pPr>
      <w:r>
        <w:rPr>
          <w:b/>
          <w:bCs/>
          <w:color w:val="2E5EAA"/>
          <w:sz w:val="26"/>
          <w:szCs w:val="26"/>
        </w:rPr>
        <w:t xml:space="preserve">2.2 Revised container diagram</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 Partner Platform's Call Client ────────┐    ┌──────────────── CERTIVO PLATFORM ─────────────────┐</w:t>
      </w:r>
      <w:r>
        <w:rPr>
          <w:rFonts w:ascii="Consolas" w:cs="Consolas" w:eastAsia="Consolas" w:hAnsi="Consolas"/>
          <w:color w:val="1A2B4C"/>
          <w:sz w:val="18"/>
          <w:szCs w:val="18"/>
        </w:rPr>
        <w:br/>
        <w:t xml:space="preserve">│  ┌───────────────────────────────────┐          │    │  ┌───────────────┐      ┌──────────────────┐      │</w:t>
      </w:r>
      <w:r>
        <w:rPr>
          <w:rFonts w:ascii="Consolas" w:cs="Consolas" w:eastAsia="Consolas" w:hAnsi="Consolas"/>
          <w:color w:val="1A2B4C"/>
          <w:sz w:val="18"/>
          <w:szCs w:val="18"/>
        </w:rPr>
        <w:br/>
        <w:t xml:space="preserve">│  │ Certivo Edge Inference SDK           │          │    │  │ Backend API    │◄────►│ Authentication     │      │</w:t>
      </w:r>
      <w:r>
        <w:rPr>
          <w:rFonts w:ascii="Consolas" w:cs="Consolas" w:eastAsia="Consolas" w:hAnsi="Consolas"/>
          <w:color w:val="1A2B4C"/>
          <w:sz w:val="18"/>
          <w:szCs w:val="18"/>
        </w:rPr>
        <w:br/>
        <w:t xml:space="preserve">│  │  ┌───────────┐ ┌────────────────┐   │  signed  │    │  │ Service        │      │ Service            │      │</w:t>
      </w:r>
      <w:r>
        <w:rPr>
          <w:rFonts w:ascii="Consolas" w:cs="Consolas" w:eastAsia="Consolas" w:hAnsi="Consolas"/>
          <w:color w:val="1A2B4C"/>
          <w:sz w:val="18"/>
          <w:szCs w:val="18"/>
        </w:rPr>
        <w:br/>
        <w:t xml:space="preserve">│  │  │ Capture    │ │ Edge model       │   │  score   │───►│  └───────┬───────┘      └──────────────────┘      │</w:t>
      </w:r>
      <w:r>
        <w:rPr>
          <w:rFonts w:ascii="Consolas" w:cs="Consolas" w:eastAsia="Consolas" w:hAnsi="Consolas"/>
          <w:color w:val="1A2B4C"/>
          <w:sz w:val="18"/>
          <w:szCs w:val="18"/>
        </w:rPr>
        <w:br/>
        <w:t xml:space="preserve">│  │  │ hook       │ │ (liveness +      │   │  packets │    │          │                                          │</w:t>
      </w:r>
      <w:r>
        <w:rPr>
          <w:rFonts w:ascii="Consolas" w:cs="Consolas" w:eastAsia="Consolas" w:hAnsi="Consolas"/>
          <w:color w:val="1A2B4C"/>
          <w:sz w:val="18"/>
          <w:szCs w:val="18"/>
        </w:rPr>
        <w:br/>
        <w:t xml:space="preserve">│  │  │            │ │  synthetic-media)  │   │          │    │  ┌────────┼─────────────┬──────────────────┐      │</w:t>
      </w:r>
      <w:r>
        <w:rPr>
          <w:rFonts w:ascii="Consolas" w:cs="Consolas" w:eastAsia="Consolas" w:hAnsi="Consolas"/>
          <w:color w:val="1A2B4C"/>
          <w:sz w:val="18"/>
          <w:szCs w:val="18"/>
        </w:rPr>
        <w:br/>
        <w:t xml:space="preserve">│  │  └───────────┘ └────────────────┘   │          │    │  ▼        ▼               ▼                    │      │</w:t>
      </w:r>
      <w:r>
        <w:rPr>
          <w:rFonts w:ascii="Consolas" w:cs="Consolas" w:eastAsia="Consolas" w:hAnsi="Consolas"/>
          <w:color w:val="1A2B4C"/>
          <w:sz w:val="18"/>
          <w:szCs w:val="18"/>
        </w:rPr>
        <w:br/>
        <w:t xml:space="preserve">│  └───────────────────────────────────┘          │    │ ┌──────────┐ ┌──────────────┐ ┌────────────────┐ │</w:t>
      </w:r>
      <w:r>
        <w:rPr>
          <w:rFonts w:ascii="Consolas" w:cs="Consolas" w:eastAsia="Consolas" w:hAnsi="Consolas"/>
          <w:color w:val="1A2B4C"/>
          <w:sz w:val="18"/>
          <w:szCs w:val="18"/>
        </w:rPr>
        <w:br/>
        <w:t xml:space="preserve">└───────────────────────────────────────────────────┘    │ │Device Trust│ │Cryptographic   │ │ Analytics /      │ │</w:t>
      </w:r>
      <w:r>
        <w:rPr>
          <w:rFonts w:ascii="Consolas" w:cs="Consolas" w:eastAsia="Consolas" w:hAnsi="Consolas"/>
          <w:color w:val="1A2B4C"/>
          <w:sz w:val="18"/>
          <w:szCs w:val="18"/>
        </w:rPr>
        <w:br/>
        <w:t xml:space="preserve">                                                             │ │Service     │ │Service (incl.   │ │ Monitoring        │ │</w:t>
      </w:r>
      <w:r>
        <w:rPr>
          <w:rFonts w:ascii="Consolas" w:cs="Consolas" w:eastAsia="Consolas" w:hAnsi="Consolas"/>
          <w:color w:val="1A2B4C"/>
          <w:sz w:val="18"/>
          <w:szCs w:val="18"/>
        </w:rPr>
        <w:br/>
        <w:t xml:space="preserve">                                                             │ │            │ │Trusted Device    │ │ Services          │ │</w:t>
      </w:r>
      <w:r>
        <w:rPr>
          <w:rFonts w:ascii="Consolas" w:cs="Consolas" w:eastAsia="Consolas" w:hAnsi="Consolas"/>
          <w:color w:val="1A2B4C"/>
          <w:sz w:val="18"/>
          <w:szCs w:val="18"/>
        </w:rPr>
        <w:br/>
        <w:t xml:space="preserve">                                                             │ │            │ │Layer)            │ │                  │ │</w:t>
      </w:r>
      <w:r>
        <w:rPr>
          <w:rFonts w:ascii="Consolas" w:cs="Consolas" w:eastAsia="Consolas" w:hAnsi="Consolas"/>
          <w:color w:val="1A2B4C"/>
          <w:sz w:val="18"/>
          <w:szCs w:val="18"/>
        </w:rPr>
        <w:br/>
        <w:t xml:space="preserve">                                                             │ └──────────┘ └──────────────┘ └────────────────┘ │</w:t>
      </w:r>
      <w:r>
        <w:rPr>
          <w:rFonts w:ascii="Consolas" w:cs="Consolas" w:eastAsia="Consolas" w:hAnsi="Consolas"/>
          <w:color w:val="1A2B4C"/>
          <w:sz w:val="18"/>
          <w:szCs w:val="18"/>
        </w:rPr>
        <w:br/>
        <w:t xml:space="preserve">                                                             └──────────────────────────────────────────────────┘</w:t>
      </w:r>
    </w:p>
    <w:p>
      <w:pPr>
        <w:spacing w:after="260" w:before="80"/>
      </w:pPr>
      <w:r>
        <w:rPr>
          <w:i/>
          <w:iCs/>
          <w:color w:val="6B7280"/>
          <w:sz w:val="18"/>
          <w:szCs w:val="18"/>
        </w:rPr>
        <w:t xml:space="preserve">Figure 2.2 — Revised container diagram showing the SDK as a distinct deployment unit living outside Certivo's own infrastructure boundary, a fundamentally different deployment topology than any service in the Version 1.0 catalog.</w:t>
      </w:r>
    </w:p>
    <w:p>
      <w:pPr>
        <w:pStyle w:val="Heading1"/>
        <w:pageBreakBefore/>
        <w:spacing w:after="240" w:before="480"/>
      </w:pPr>
      <w:r>
        <w:rPr>
          <w:b/>
          <w:bCs/>
          <w:color w:val="1A2B4C"/>
          <w:sz w:val="32"/>
          <w:szCs w:val="32"/>
        </w:rPr>
        <w:t xml:space="preserve">3. Service Diagrams (New)</w:t>
      </w:r>
    </w:p>
    <w:p>
      <w:pPr>
        <w:pStyle w:val="Heading2"/>
        <w:spacing w:after="180" w:before="360"/>
      </w:pPr>
      <w:r>
        <w:rPr>
          <w:b/>
          <w:bCs/>
          <w:color w:val="2E5EAA"/>
          <w:sz w:val="26"/>
          <w:szCs w:val="26"/>
        </w:rPr>
        <w:t xml:space="preserve">3.1 Edge Inference SDK — internal component view</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 Certivo Edge Inference SDK ───────────────────┐</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 Capture Hook    │──►│ Edge            │──►│ Edge Model Runtime   │ │</w:t>
      </w:r>
      <w:r>
        <w:rPr>
          <w:rFonts w:ascii="Consolas" w:cs="Consolas" w:eastAsia="Consolas" w:hAnsi="Consolas"/>
          <w:color w:val="1A2B4C"/>
          <w:sz w:val="18"/>
          <w:szCs w:val="18"/>
        </w:rPr>
        <w:br/>
        <w:t xml:space="preserve">│  │ (WebRTC          │   │ Preprocessing   │   │ (ONNX Runtime Mobile │ │</w:t>
      </w:r>
      <w:r>
        <w:rPr>
          <w:rFonts w:ascii="Consolas" w:cs="Consolas" w:eastAsia="Consolas" w:hAnsi="Consolas"/>
          <w:color w:val="1A2B4C"/>
          <w:sz w:val="18"/>
          <w:szCs w:val="18"/>
        </w:rPr>
        <w:br/>
        <w:t xml:space="preserve">│  │  Insertable       │   │ (lightweight     │   │  / Core ML / TFLite,  │ │</w:t>
      </w:r>
      <w:r>
        <w:rPr>
          <w:rFonts w:ascii="Consolas" w:cs="Consolas" w:eastAsia="Consolas" w:hAnsi="Consolas"/>
          <w:color w:val="1A2B4C"/>
          <w:sz w:val="18"/>
          <w:szCs w:val="18"/>
        </w:rPr>
        <w:br/>
        <w:t xml:space="preserve">│  │  Streams / native  │   │  face detect/    │   │  Technical             │ │</w:t>
      </w:r>
      <w:r>
        <w:rPr>
          <w:rFonts w:ascii="Consolas" w:cs="Consolas" w:eastAsia="Consolas" w:hAnsi="Consolas"/>
          <w:color w:val="1A2B4C"/>
          <w:sz w:val="18"/>
          <w:szCs w:val="18"/>
        </w:rPr>
        <w:br/>
        <w:t xml:space="preserve">│  │  camera API)        │   │  align)          │   │  Requirements          │ │</w:t>
      </w:r>
      <w:r>
        <w:rPr>
          <w:rFonts w:ascii="Consolas" w:cs="Consolas" w:eastAsia="Consolas" w:hAnsi="Consolas"/>
          <w:color w:val="1A2B4C"/>
          <w:sz w:val="18"/>
          <w:szCs w:val="18"/>
        </w:rPr>
        <w:br/>
        <w:t xml:space="preserve">│  └───────────────┘   └────────────────┘   │  Document Section 3.1) │ │</w:t>
      </w:r>
      <w:r>
        <w:rPr>
          <w:rFonts w:ascii="Consolas" w:cs="Consolas" w:eastAsia="Consolas" w:hAnsi="Consolas"/>
          <w:color w:val="1A2B4C"/>
          <w:sz w:val="18"/>
          <w:szCs w:val="18"/>
        </w:rPr>
        <w:br/>
        <w:t xml:space="preserve">│                                              └──────────┬───────────┘ │</w:t>
      </w:r>
      <w:r>
        <w:rPr>
          <w:rFonts w:ascii="Consolas" w:cs="Consolas" w:eastAsia="Consolas" w:hAnsi="Consolas"/>
          <w:color w:val="1A2B4C"/>
          <w:sz w:val="18"/>
          <w:szCs w:val="18"/>
        </w:rPr>
        <w:br/>
        <w:t xml:space="preserve">│                                                          ▼             │</w:t>
      </w:r>
      <w:r>
        <w:rPr>
          <w:rFonts w:ascii="Consolas" w:cs="Consolas" w:eastAsia="Consolas" w:hAnsi="Consolas"/>
          <w:color w:val="1A2B4C"/>
          <w:sz w:val="18"/>
          <w:szCs w:val="18"/>
        </w:rPr>
        <w:br/>
        <w:t xml:space="preserve">│                                              ┌────────────────────┐   │</w:t>
      </w:r>
      <w:r>
        <w:rPr>
          <w:rFonts w:ascii="Consolas" w:cs="Consolas" w:eastAsia="Consolas" w:hAnsi="Consolas"/>
          <w:color w:val="1A2B4C"/>
          <w:sz w:val="18"/>
          <w:szCs w:val="18"/>
        </w:rPr>
        <w:br/>
        <w:t xml:space="preserve">│                                              │ Device-Held Signing  │   │</w:t>
      </w:r>
      <w:r>
        <w:rPr>
          <w:rFonts w:ascii="Consolas" w:cs="Consolas" w:eastAsia="Consolas" w:hAnsi="Consolas"/>
          <w:color w:val="1A2B4C"/>
          <w:sz w:val="18"/>
          <w:szCs w:val="18"/>
        </w:rPr>
        <w:br/>
        <w:t xml:space="preserve">│                                              │ Key (Secure Enclave/  │   │</w:t>
      </w:r>
      <w:r>
        <w:rPr>
          <w:rFonts w:ascii="Consolas" w:cs="Consolas" w:eastAsia="Consolas" w:hAnsi="Consolas"/>
          <w:color w:val="1A2B4C"/>
          <w:sz w:val="18"/>
          <w:szCs w:val="18"/>
        </w:rPr>
        <w:br/>
        <w:t xml:space="preserve">│                                              │ Keystore where         │   │</w:t>
      </w:r>
      <w:r>
        <w:rPr>
          <w:rFonts w:ascii="Consolas" w:cs="Consolas" w:eastAsia="Consolas" w:hAnsi="Consolas"/>
          <w:color w:val="1A2B4C"/>
          <w:sz w:val="18"/>
          <w:szCs w:val="18"/>
        </w:rPr>
        <w:br/>
        <w:t xml:space="preserve">│                                              │ available, Section 4)  │   │</w:t>
      </w:r>
      <w:r>
        <w:rPr>
          <w:rFonts w:ascii="Consolas" w:cs="Consolas" w:eastAsia="Consolas" w:hAnsi="Consolas"/>
          <w:color w:val="1A2B4C"/>
          <w:sz w:val="18"/>
          <w:szCs w:val="18"/>
        </w:rPr>
        <w:br/>
        <w:t xml:space="preserve">│                                              └──────────┬───────────┘   │</w:t>
      </w:r>
      <w:r>
        <w:rPr>
          <w:rFonts w:ascii="Consolas" w:cs="Consolas" w:eastAsia="Consolas" w:hAnsi="Consolas"/>
          <w:color w:val="1A2B4C"/>
          <w:sz w:val="18"/>
          <w:szCs w:val="18"/>
        </w:rPr>
        <w:br/>
        <w:t xml:space="preserve">│                                                          ▼               │</w:t>
      </w:r>
      <w:r>
        <w:rPr>
          <w:rFonts w:ascii="Consolas" w:cs="Consolas" w:eastAsia="Consolas" w:hAnsi="Consolas"/>
          <w:color w:val="1A2B4C"/>
          <w:sz w:val="18"/>
          <w:szCs w:val="18"/>
        </w:rPr>
        <w:br/>
        <w:t xml:space="preserve">│                                              ┌────────────────────┐     │</w:t>
      </w:r>
      <w:r>
        <w:rPr>
          <w:rFonts w:ascii="Consolas" w:cs="Consolas" w:eastAsia="Consolas" w:hAnsi="Consolas"/>
          <w:color w:val="1A2B4C"/>
          <w:sz w:val="18"/>
          <w:szCs w:val="18"/>
        </w:rPr>
        <w:br/>
        <w:t xml:space="preserve">│                                              │ Transmission Layer   │     │</w:t>
      </w:r>
      <w:r>
        <w:rPr>
          <w:rFonts w:ascii="Consolas" w:cs="Consolas" w:eastAsia="Consolas" w:hAnsi="Consolas"/>
          <w:color w:val="1A2B4C"/>
          <w:sz w:val="18"/>
          <w:szCs w:val="18"/>
        </w:rPr>
        <w:br/>
        <w:t xml:space="preserve">│                                              │ (signed score +       │     │</w:t>
      </w:r>
      <w:r>
        <w:rPr>
          <w:rFonts w:ascii="Consolas" w:cs="Consolas" w:eastAsia="Consolas" w:hAnsi="Consolas"/>
          <w:color w:val="1A2B4C"/>
          <w:sz w:val="18"/>
          <w:szCs w:val="18"/>
        </w:rPr>
        <w:br/>
        <w:t xml:space="preserve">│                                              │  explanation packet    │     │</w:t>
      </w:r>
      <w:r>
        <w:rPr>
          <w:rFonts w:ascii="Consolas" w:cs="Consolas" w:eastAsia="Consolas" w:hAnsi="Consolas"/>
          <w:color w:val="1A2B4C"/>
          <w:sz w:val="18"/>
          <w:szCs w:val="18"/>
        </w:rPr>
        <w:br/>
        <w:t xml:space="preserve">│                                              │  only)                  │     │</w:t>
      </w:r>
      <w:r>
        <w:rPr>
          <w:rFonts w:ascii="Consolas" w:cs="Consolas" w:eastAsia="Consolas" w:hAnsi="Consolas"/>
          <w:color w:val="1A2B4C"/>
          <w:sz w:val="18"/>
          <w:szCs w:val="18"/>
        </w:rPr>
        <w:br/>
        <w:t xml:space="preserve">│                                              └────────────────────┘     │</w:t>
      </w:r>
      <w:r>
        <w:rPr>
          <w:rFonts w:ascii="Consolas" w:cs="Consolas" w:eastAsia="Consolas" w:hAnsi="Consolas"/>
          <w:color w:val="1A2B4C"/>
          <w:sz w:val="18"/>
          <w:szCs w:val="18"/>
        </w:rPr>
        <w:br/>
        <w:t xml:space="preserve">└──────────────────────────────────────────────────────────────────────┘</w:t>
      </w:r>
    </w:p>
    <w:p>
      <w:pPr>
        <w:spacing w:after="260" w:before="80"/>
      </w:pPr>
      <w:r>
        <w:rPr>
          <w:i/>
          <w:iCs/>
          <w:color w:val="6B7280"/>
          <w:sz w:val="18"/>
          <w:szCs w:val="18"/>
        </w:rPr>
        <w:t xml:space="preserve">Figure 3.1 — Edge Inference SDK internal component view, corresponding to the Technical Requirements Document's Figure 2.1 pipeline description.</w:t>
      </w:r>
    </w:p>
    <w:p>
      <w:pPr>
        <w:pStyle w:val="Heading2"/>
        <w:spacing w:after="180" w:before="360"/>
      </w:pPr>
      <w:r>
        <w:rPr>
          <w:b/>
          <w:bCs/>
          <w:color w:val="2E5EAA"/>
          <w:sz w:val="26"/>
          <w:szCs w:val="26"/>
        </w:rPr>
        <w:t xml:space="preserve">3.2 Cryptographic Service — extended internal component view (Trusted Device Layer)</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 Cryptographic Service ──────────────────────┐</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 Attestation      │   │ Trusted Device        │   │ Key           │ │</w:t>
      </w:r>
      <w:r>
        <w:rPr>
          <w:rFonts w:ascii="Consolas" w:cs="Consolas" w:eastAsia="Consolas" w:hAnsi="Consolas"/>
          <w:color w:val="1A2B4C"/>
          <w:sz w:val="18"/>
          <w:szCs w:val="18"/>
        </w:rPr>
        <w:br/>
        <w:t xml:space="preserve">│  │ Signing            │   │ Token Issuer            │   │ Registry      │ │</w:t>
      </w:r>
      <w:r>
        <w:rPr>
          <w:rFonts w:ascii="Consolas" w:cs="Consolas" w:eastAsia="Consolas" w:hAnsi="Consolas"/>
          <w:color w:val="1A2B4C"/>
          <w:sz w:val="18"/>
          <w:szCs w:val="18"/>
        </w:rPr>
        <w:br/>
        <w:t xml:space="preserve">│  │ (Version 1.0,       │   │ (NEW — validates        │   │ (Version       │ │</w:t>
      </w:r>
      <w:r>
        <w:rPr>
          <w:rFonts w:ascii="Consolas" w:cs="Consolas" w:eastAsia="Consolas" w:hAnsi="Consolas"/>
          <w:color w:val="1A2B4C"/>
          <w:sz w:val="18"/>
          <w:szCs w:val="18"/>
        </w:rPr>
        <w:br/>
        <w:t xml:space="preserve">│  │  unchanged)          │   │  App Attest / Play       │   │  1.0,           │ │</w:t>
      </w:r>
      <w:r>
        <w:rPr>
          <w:rFonts w:ascii="Consolas" w:cs="Consolas" w:eastAsia="Consolas" w:hAnsi="Consolas"/>
          <w:color w:val="1A2B4C"/>
          <w:sz w:val="18"/>
          <w:szCs w:val="18"/>
        </w:rPr>
        <w:br/>
        <w:t xml:space="preserve">│  │                      │   │  Integrity / WebAuthn,    │   │  unchanged)      │ │</w:t>
      </w:r>
      <w:r>
        <w:rPr>
          <w:rFonts w:ascii="Consolas" w:cs="Consolas" w:eastAsia="Consolas" w:hAnsi="Consolas"/>
          <w:color w:val="1A2B4C"/>
          <w:sz w:val="18"/>
          <w:szCs w:val="18"/>
        </w:rPr>
        <w:br/>
        <w:t xml:space="preserve">│  │                      │   │  determines trust tier,    │   │                  │ │</w:t>
      </w:r>
      <w:r>
        <w:rPr>
          <w:rFonts w:ascii="Consolas" w:cs="Consolas" w:eastAsia="Consolas" w:hAnsi="Consolas"/>
          <w:color w:val="1A2B4C"/>
          <w:sz w:val="18"/>
          <w:szCs w:val="18"/>
        </w:rPr>
        <w:br/>
        <w:t xml:space="preserve">│  │                      │   │  Technical Requirements     │   │                  │ │</w:t>
      </w:r>
      <w:r>
        <w:rPr>
          <w:rFonts w:ascii="Consolas" w:cs="Consolas" w:eastAsia="Consolas" w:hAnsi="Consolas"/>
          <w:color w:val="1A2B4C"/>
          <w:sz w:val="18"/>
          <w:szCs w:val="18"/>
        </w:rPr>
        <w:br/>
        <w:t xml:space="preserve">│  │                      │   │  Document Section 8)          │   │                  │ │</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w:t>
      </w:r>
    </w:p>
    <w:p>
      <w:pPr>
        <w:spacing w:after="260" w:before="80"/>
      </w:pPr>
      <w:r>
        <w:rPr>
          <w:i/>
          <w:iCs/>
          <w:color w:val="6B7280"/>
          <w:sz w:val="18"/>
          <w:szCs w:val="18"/>
        </w:rPr>
        <w:t xml:space="preserve">Figure 3.2 — Cryptographic Service internal view, showing the Trusted Device Token Issuer as a new internal component alongside the unchanged attestation-signing component.</w:t>
      </w:r>
    </w:p>
    <w:p>
      <w:pPr>
        <w:pStyle w:val="Heading1"/>
        <w:pageBreakBefore/>
        <w:spacing w:after="240" w:before="480"/>
      </w:pPr>
      <w:r>
        <w:rPr>
          <w:b/>
          <w:bCs/>
          <w:color w:val="1A2B4C"/>
          <w:sz w:val="32"/>
          <w:szCs w:val="32"/>
        </w:rPr>
        <w:t xml:space="preserve">4. Request Flow (Extended)</w:t>
      </w:r>
    </w:p>
    <w:p>
      <w:pPr>
        <w:spacing w:after="200" w:line="300"/>
        <w:jc w:val="both"/>
      </w:pPr>
      <w:r>
        <w:rPr>
          <w:sz w:val="21"/>
          <w:szCs w:val="21"/>
        </w:rPr>
        <w:t xml:space="preserve">Version 1.0's point-in-time request-flow timeline (Table 4.1) is unchanged and still applies to the retained verticals. This section adds the continuous-verification session lifecycle, which has no point-in-time equivalent.</w:t>
      </w:r>
    </w:p>
    <w:p>
      <w:pPr>
        <w:pStyle w:val="Heading2"/>
        <w:spacing w:after="180" w:before="360"/>
      </w:pPr>
      <w:r>
        <w:rPr>
          <w:b/>
          <w:bCs/>
          <w:color w:val="2E5EAA"/>
          <w:sz w:val="26"/>
          <w:szCs w:val="26"/>
        </w:rPr>
        <w:t xml:space="preserve">4.1 Continuous session lifecycle, end to 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rPr>
          <w:tblHeader/>
        </w:trPr>
        <w:tc>
          <w:tcPr>
            <w:tcW w:type="dxa" w:w="3200"/>
            <w:shd w:fill="1A2B4C" w:val="clear"/>
            <w:tcMar>
              <w:top w:type="dxa" w:w="100"/>
              <w:left w:type="dxa" w:w="140"/>
              <w:bottom w:type="dxa" w:w="100"/>
              <w:right w:type="dxa" w:w="140"/>
            </w:tcMar>
          </w:tcPr>
          <w:p>
            <w:r>
              <w:rPr>
                <w:b/>
                <w:bCs/>
                <w:color w:val="FFFFFF"/>
                <w:sz w:val="19"/>
                <w:szCs w:val="19"/>
              </w:rPr>
              <w:t xml:space="preserve">Step</w:t>
            </w:r>
          </w:p>
        </w:tc>
        <w:tc>
          <w:tcPr>
            <w:tcW w:type="dxa" w:w="3400"/>
            <w:shd w:fill="1A2B4C" w:val="clear"/>
            <w:tcMar>
              <w:top w:type="dxa" w:w="100"/>
              <w:left w:type="dxa" w:w="140"/>
              <w:bottom w:type="dxa" w:w="100"/>
              <w:right w:type="dxa" w:w="140"/>
            </w:tcMar>
          </w:tcPr>
          <w:p>
            <w:r>
              <w:rPr>
                <w:b/>
                <w:bCs/>
                <w:color w:val="FFFFFF"/>
                <w:sz w:val="19"/>
                <w:szCs w:val="19"/>
              </w:rPr>
              <w:t xml:space="preserve">Component</w:t>
            </w:r>
          </w:p>
        </w:tc>
        <w:tc>
          <w:tcPr>
            <w:tcW w:type="dxa" w:w="3400"/>
            <w:shd w:fill="1A2B4C" w:val="clear"/>
            <w:tcMar>
              <w:top w:type="dxa" w:w="100"/>
              <w:left w:type="dxa" w:w="140"/>
              <w:bottom w:type="dxa" w:w="100"/>
              <w:right w:type="dxa" w:w="140"/>
            </w:tcMar>
          </w:tcPr>
          <w:p>
            <w:r>
              <w:rPr>
                <w:b/>
                <w:bCs/>
                <w:color w:val="FFFFFF"/>
                <w:sz w:val="19"/>
                <w:szCs w:val="19"/>
              </w:rPr>
              <w:t xml:space="preserve">Notes</w:t>
            </w:r>
          </w:p>
        </w:tc>
      </w:tr>
      <w:tr>
        <w:tc>
          <w:tcPr>
            <w:tcW w:type="dxa" w:w="3200"/>
            <w:shd w:fill="F4F6F9" w:val="clear"/>
            <w:tcMar>
              <w:top w:type="dxa" w:w="100"/>
              <w:left w:type="dxa" w:w="140"/>
              <w:bottom w:type="dxa" w:w="100"/>
              <w:right w:type="dxa" w:w="140"/>
            </w:tcMar>
          </w:tcPr>
          <w:p>
            <w:r>
              <w:rPr>
                <w:sz w:val="19"/>
                <w:szCs w:val="19"/>
              </w:rPr>
              <w:t xml:space="preserve">1. Session start</w:t>
            </w:r>
          </w:p>
        </w:tc>
        <w:tc>
          <w:tcPr>
            <w:tcW w:type="dxa" w:w="3400"/>
            <w:shd w:fill="F4F6F9" w:val="clear"/>
            <w:tcMar>
              <w:top w:type="dxa" w:w="100"/>
              <w:left w:type="dxa" w:w="140"/>
              <w:bottom w:type="dxa" w:w="100"/>
              <w:right w:type="dxa" w:w="140"/>
            </w:tcMar>
          </w:tcPr>
          <w:p>
            <w:r>
              <w:rPr>
                <w:sz w:val="19"/>
                <w:szCs w:val="19"/>
              </w:rPr>
              <w:t xml:space="preserve">Partner call client to Backend API Service</w:t>
            </w:r>
          </w:p>
        </w:tc>
        <w:tc>
          <w:tcPr>
            <w:tcW w:type="dxa" w:w="3400"/>
            <w:shd w:fill="F4F6F9" w:val="clear"/>
            <w:tcMar>
              <w:top w:type="dxa" w:w="100"/>
              <w:left w:type="dxa" w:w="140"/>
              <w:bottom w:type="dxa" w:w="100"/>
              <w:right w:type="dxa" w:w="140"/>
            </w:tcMar>
          </w:tcPr>
          <w:p>
            <w:r>
              <w:rPr>
                <w:sz w:val="19"/>
                <w:szCs w:val="19"/>
              </w:rPr>
              <w:t xml:space="preserve">Establishes a verification_sessions row with session_type='continuous' (Technical Requirements Document, Section 16.2)</w:t>
            </w:r>
          </w:p>
        </w:tc>
      </w:tr>
      <w:tr>
        <w:tc>
          <w:tcPr>
            <w:tcW w:type="dxa" w:w="3200"/>
            <w:shd w:fill="FFFFFF" w:val="clear"/>
            <w:tcMar>
              <w:top w:type="dxa" w:w="100"/>
              <w:left w:type="dxa" w:w="140"/>
              <w:bottom w:type="dxa" w:w="100"/>
              <w:right w:type="dxa" w:w="140"/>
            </w:tcMar>
          </w:tcPr>
          <w:p>
            <w:r>
              <w:rPr>
                <w:sz w:val="19"/>
                <w:szCs w:val="19"/>
              </w:rPr>
              <w:t xml:space="preserve">2. Per-interval edge inference</w:t>
            </w:r>
          </w:p>
        </w:tc>
        <w:tc>
          <w:tcPr>
            <w:tcW w:type="dxa" w:w="3400"/>
            <w:shd w:fill="FFFFFF" w:val="clear"/>
            <w:tcMar>
              <w:top w:type="dxa" w:w="100"/>
              <w:left w:type="dxa" w:w="140"/>
              <w:bottom w:type="dxa" w:w="100"/>
              <w:right w:type="dxa" w:w="140"/>
            </w:tcMar>
          </w:tcPr>
          <w:p>
            <w:r>
              <w:rPr>
                <w:sz w:val="19"/>
                <w:szCs w:val="19"/>
              </w:rPr>
              <w:t xml:space="preserve">Edge Inference SDK (on-device)</w:t>
            </w:r>
          </w:p>
        </w:tc>
        <w:tc>
          <w:tcPr>
            <w:tcW w:type="dxa" w:w="3400"/>
            <w:shd w:fill="FFFFFF" w:val="clear"/>
            <w:tcMar>
              <w:top w:type="dxa" w:w="100"/>
              <w:left w:type="dxa" w:w="140"/>
              <w:bottom w:type="dxa" w:w="100"/>
              <w:right w:type="dxa" w:w="140"/>
            </w:tcMar>
          </w:tcPr>
          <w:p>
            <w:r>
              <w:rPr>
                <w:sz w:val="19"/>
                <w:szCs w:val="19"/>
              </w:rPr>
              <w:t xml:space="preserve">Repeats for the call's duration; no network round-trip per inference (Technical Requirements Document, Section 2.1)</w:t>
            </w:r>
          </w:p>
        </w:tc>
      </w:tr>
      <w:tr>
        <w:tc>
          <w:tcPr>
            <w:tcW w:type="dxa" w:w="3200"/>
            <w:shd w:fill="F4F6F9" w:val="clear"/>
            <w:tcMar>
              <w:top w:type="dxa" w:w="100"/>
              <w:left w:type="dxa" w:w="140"/>
              <w:bottom w:type="dxa" w:w="100"/>
              <w:right w:type="dxa" w:w="140"/>
            </w:tcMar>
          </w:tcPr>
          <w:p>
            <w:r>
              <w:rPr>
                <w:sz w:val="19"/>
                <w:szCs w:val="19"/>
              </w:rPr>
              <w:t xml:space="preserve">3. Per-interval score transmission</w:t>
            </w:r>
          </w:p>
        </w:tc>
        <w:tc>
          <w:tcPr>
            <w:tcW w:type="dxa" w:w="3400"/>
            <w:shd w:fill="F4F6F9" w:val="clear"/>
            <w:tcMar>
              <w:top w:type="dxa" w:w="100"/>
              <w:left w:type="dxa" w:w="140"/>
              <w:bottom w:type="dxa" w:w="100"/>
              <w:right w:type="dxa" w:w="140"/>
            </w:tcMar>
          </w:tcPr>
          <w:p>
            <w:r>
              <w:rPr>
                <w:sz w:val="19"/>
                <w:szCs w:val="19"/>
              </w:rPr>
              <w:t xml:space="preserve">SDK to Backend API Service</w:t>
            </w:r>
          </w:p>
        </w:tc>
        <w:tc>
          <w:tcPr>
            <w:tcW w:type="dxa" w:w="3400"/>
            <w:shd w:fill="F4F6F9" w:val="clear"/>
            <w:tcMar>
              <w:top w:type="dxa" w:w="100"/>
              <w:left w:type="dxa" w:w="140"/>
              <w:bottom w:type="dxa" w:w="100"/>
              <w:right w:type="dxa" w:w="140"/>
            </w:tcMar>
          </w:tcPr>
          <w:p>
            <w:r>
              <w:rPr>
                <w:sz w:val="19"/>
                <w:szCs w:val="19"/>
              </w:rPr>
              <w:t xml:space="preserve">Small, signed packet only; validated per Section 5.1 below</w:t>
            </w:r>
          </w:p>
        </w:tc>
      </w:tr>
      <w:tr>
        <w:tc>
          <w:tcPr>
            <w:tcW w:type="dxa" w:w="3200"/>
            <w:shd w:fill="FFFFFF" w:val="clear"/>
            <w:tcMar>
              <w:top w:type="dxa" w:w="100"/>
              <w:left w:type="dxa" w:w="140"/>
              <w:bottom w:type="dxa" w:w="100"/>
              <w:right w:type="dxa" w:w="140"/>
            </w:tcMar>
          </w:tcPr>
          <w:p>
            <w:r>
              <w:rPr>
                <w:sz w:val="19"/>
                <w:szCs w:val="19"/>
              </w:rPr>
              <w:t xml:space="preserve">4. Per-interval policy evaluation</w:t>
            </w:r>
          </w:p>
        </w:tc>
        <w:tc>
          <w:tcPr>
            <w:tcW w:type="dxa" w:w="3400"/>
            <w:shd w:fill="FFFFFF" w:val="clear"/>
            <w:tcMar>
              <w:top w:type="dxa" w:w="100"/>
              <w:left w:type="dxa" w:w="140"/>
              <w:bottom w:type="dxa" w:w="100"/>
              <w:right w:type="dxa" w:w="140"/>
            </w:tcMar>
          </w:tcPr>
          <w:p>
            <w:r>
              <w:rPr>
                <w:sz w:val="19"/>
                <w:szCs w:val="19"/>
              </w:rPr>
              <w:t xml:space="preserve">Backend API Service (Policy Evaluation Engine)</w:t>
            </w:r>
          </w:p>
        </w:tc>
        <w:tc>
          <w:tcPr>
            <w:tcW w:type="dxa" w:w="3400"/>
            <w:shd w:fill="FFFFFF" w:val="clear"/>
            <w:tcMar>
              <w:top w:type="dxa" w:w="100"/>
              <w:left w:type="dxa" w:w="140"/>
              <w:bottom w:type="dxa" w:w="100"/>
              <w:right w:type="dxa" w:w="140"/>
            </w:tcMar>
          </w:tcPr>
          <w:p>
            <w:r>
              <w:rPr>
                <w:sz w:val="19"/>
                <w:szCs w:val="19"/>
              </w:rPr>
              <w:t xml:space="preserve">Same engine as point-in-time, applied to each incoming interval's score</w:t>
            </w:r>
          </w:p>
        </w:tc>
      </w:tr>
      <w:tr>
        <w:tc>
          <w:tcPr>
            <w:tcW w:type="dxa" w:w="3200"/>
            <w:shd w:fill="F4F6F9" w:val="clear"/>
            <w:tcMar>
              <w:top w:type="dxa" w:w="100"/>
              <w:left w:type="dxa" w:w="140"/>
              <w:bottom w:type="dxa" w:w="100"/>
              <w:right w:type="dxa" w:w="140"/>
            </w:tcMar>
          </w:tcPr>
          <w:p>
            <w:r>
              <w:rPr>
                <w:sz w:val="19"/>
                <w:szCs w:val="19"/>
              </w:rPr>
              <w:t xml:space="preserve">5. Session end</w:t>
            </w:r>
          </w:p>
        </w:tc>
        <w:tc>
          <w:tcPr>
            <w:tcW w:type="dxa" w:w="3400"/>
            <w:shd w:fill="F4F6F9" w:val="clear"/>
            <w:tcMar>
              <w:top w:type="dxa" w:w="100"/>
              <w:left w:type="dxa" w:w="140"/>
              <w:bottom w:type="dxa" w:w="100"/>
              <w:right w:type="dxa" w:w="140"/>
            </w:tcMar>
          </w:tcPr>
          <w:p>
            <w:r>
              <w:rPr>
                <w:sz w:val="19"/>
                <w:szCs w:val="19"/>
              </w:rPr>
              <w:t xml:space="preserve">Partner call client to Backend API Service</w:t>
            </w:r>
          </w:p>
        </w:tc>
        <w:tc>
          <w:tcPr>
            <w:tcW w:type="dxa" w:w="3400"/>
            <w:shd w:fill="F4F6F9" w:val="clear"/>
            <w:tcMar>
              <w:top w:type="dxa" w:w="100"/>
              <w:left w:type="dxa" w:w="140"/>
              <w:bottom w:type="dxa" w:w="100"/>
              <w:right w:type="dxa" w:w="140"/>
            </w:tcMar>
          </w:tcPr>
          <w:p>
            <w:r>
              <w:rPr>
                <w:sz w:val="19"/>
                <w:szCs w:val="19"/>
              </w:rPr>
              <w:t xml:space="preserve">Triggers session-length attestation signing (Section 5.1)</w:t>
            </w:r>
          </w:p>
        </w:tc>
      </w:tr>
    </w:tbl>
    <w:p>
      <w:pPr>
        <w:spacing w:after="260" w:before="80"/>
      </w:pPr>
      <w:r>
        <w:rPr>
          <w:i/>
          <w:iCs/>
          <w:color w:val="6B7280"/>
          <w:sz w:val="18"/>
          <w:szCs w:val="18"/>
        </w:rPr>
        <w:t xml:space="preserve">Table 4.1 — Continuous session lifecycle, extending the point-in-time flow from Version 1.0.</w:t>
      </w:r>
    </w:p>
    <w:p>
      <w:pPr>
        <w:pStyle w:val="Heading1"/>
        <w:pageBreakBefore/>
        <w:spacing w:after="240" w:before="480"/>
      </w:pPr>
      <w:r>
        <w:rPr>
          <w:b/>
          <w:bCs/>
          <w:color w:val="1A2B4C"/>
          <w:sz w:val="32"/>
          <w:szCs w:val="32"/>
        </w:rPr>
        <w:t xml:space="preserve">5. Sequence Diagrams (New)</w:t>
      </w:r>
    </w:p>
    <w:p>
      <w:pPr>
        <w:pStyle w:val="Heading2"/>
        <w:spacing w:after="180" w:before="360"/>
      </w:pPr>
      <w:r>
        <w:rPr>
          <w:b/>
          <w:bCs/>
          <w:color w:val="2E5EAA"/>
          <w:sz w:val="26"/>
          <w:szCs w:val="26"/>
        </w:rPr>
        <w:t xml:space="preserve">5.1 Continuous verification flow, happy path</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Edge SDK         Backend API      Cryptographic Svc    Analytics Svc</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|-start session------&gt;|                    |                  |</w:t>
      </w:r>
      <w:r>
        <w:rPr>
          <w:rFonts w:ascii="Consolas" w:cs="Consolas" w:eastAsia="Consolas" w:hAnsi="Consolas"/>
          <w:color w:val="1A2B4C"/>
          <w:sz w:val="18"/>
          <w:szCs w:val="18"/>
        </w:rPr>
        <w:br/>
        <w:t xml:space="preserve">    |&lt;-session_id----------|                    |                  |</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  (repeats every re-evaluation interval, Technical            |</w:t>
      </w:r>
      <w:r>
        <w:rPr>
          <w:rFonts w:ascii="Consolas" w:cs="Consolas" w:eastAsia="Consolas" w:hAnsi="Consolas"/>
          <w:color w:val="1A2B4C"/>
          <w:sz w:val="18"/>
          <w:szCs w:val="18"/>
        </w:rPr>
        <w:br/>
        <w:t xml:space="preserve">    |   Requirements Document Table 14.1, for the call duration)    |</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|-signed score+       |                    |                  |</w:t>
      </w:r>
      <w:r>
        <w:rPr>
          <w:rFonts w:ascii="Consolas" w:cs="Consolas" w:eastAsia="Consolas" w:hAnsi="Consolas"/>
          <w:color w:val="1A2B4C"/>
          <w:sz w:val="18"/>
          <w:szCs w:val="18"/>
        </w:rPr>
        <w:br/>
        <w:t xml:space="preserve">    |  explanation packet--&gt;|                    |                  |</w:t>
      </w:r>
      <w:r>
        <w:rPr>
          <w:rFonts w:ascii="Consolas" w:cs="Consolas" w:eastAsia="Consolas" w:hAnsi="Consolas"/>
          <w:color w:val="1A2B4C"/>
          <w:sz w:val="18"/>
          <w:szCs w:val="18"/>
        </w:rPr>
        <w:br/>
        <w:t xml:space="preserve">    |                  |-validate signature   |                  |</w:t>
      </w:r>
      <w:r>
        <w:rPr>
          <w:rFonts w:ascii="Consolas" w:cs="Consolas" w:eastAsia="Consolas" w:hAnsi="Consolas"/>
          <w:color w:val="1A2B4C"/>
          <w:sz w:val="18"/>
          <w:szCs w:val="18"/>
        </w:rPr>
        <w:br/>
        <w:t xml:space="preserve">    |                  |  (Section 5.4)         |                  |</w:t>
      </w:r>
      <w:r>
        <w:rPr>
          <w:rFonts w:ascii="Consolas" w:cs="Consolas" w:eastAsia="Consolas" w:hAnsi="Consolas"/>
          <w:color w:val="1A2B4C"/>
          <w:sz w:val="18"/>
          <w:szCs w:val="18"/>
        </w:rPr>
        <w:br/>
        <w:t xml:space="preserve">    |                  |-evaluate policy         |                  |</w:t>
      </w:r>
      <w:r>
        <w:rPr>
          <w:rFonts w:ascii="Consolas" w:cs="Consolas" w:eastAsia="Consolas" w:hAnsi="Consolas"/>
          <w:color w:val="1A2B4C"/>
          <w:sz w:val="18"/>
          <w:szCs w:val="18"/>
        </w:rPr>
        <w:br/>
        <w:t xml:space="preserve">    |                  |  (unchanged engine)      |                  |</w:t>
      </w:r>
      <w:r>
        <w:rPr>
          <w:rFonts w:ascii="Consolas" w:cs="Consolas" w:eastAsia="Consolas" w:hAnsi="Consolas"/>
          <w:color w:val="1A2B4C"/>
          <w:sz w:val="18"/>
          <w:szCs w:val="18"/>
        </w:rPr>
        <w:br/>
        <w:t xml:space="preserve">    |                  |-persist                   |                  |</w:t>
      </w:r>
      <w:r>
        <w:rPr>
          <w:rFonts w:ascii="Consolas" w:cs="Consolas" w:eastAsia="Consolas" w:hAnsi="Consolas"/>
          <w:color w:val="1A2B4C"/>
          <w:sz w:val="18"/>
          <w:szCs w:val="18"/>
        </w:rPr>
        <w:br/>
        <w:t xml:space="preserve">    |                  |  continuous_score_event    |                  |</w:t>
      </w:r>
      <w:r>
        <w:rPr>
          <w:rFonts w:ascii="Consolas" w:cs="Consolas" w:eastAsia="Consolas" w:hAnsi="Consolas"/>
          <w:color w:val="1A2B4C"/>
          <w:sz w:val="18"/>
          <w:szCs w:val="18"/>
        </w:rPr>
        <w:br/>
        <w:t xml:space="preserve">    |                  |-emit telemetry event (async)------------------&gt;|</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|-end session---------&gt;|                    |                  |</w:t>
      </w:r>
      <w:r>
        <w:rPr>
          <w:rFonts w:ascii="Consolas" w:cs="Consolas" w:eastAsia="Consolas" w:hAnsi="Consolas"/>
          <w:color w:val="1A2B4C"/>
          <w:sz w:val="18"/>
          <w:szCs w:val="18"/>
        </w:rPr>
        <w:br/>
        <w:t xml:space="preserve">    |                  |-sign session-length      |                  |</w:t>
      </w:r>
      <w:r>
        <w:rPr>
          <w:rFonts w:ascii="Consolas" w:cs="Consolas" w:eastAsia="Consolas" w:hAnsi="Consolas"/>
          <w:color w:val="1A2B4C"/>
          <w:sz w:val="18"/>
          <w:szCs w:val="18"/>
        </w:rPr>
        <w:br/>
        <w:t xml:space="preserve">    |                  |  attestation--------------&gt;|                  |</w:t>
      </w:r>
      <w:r>
        <w:rPr>
          <w:rFonts w:ascii="Consolas" w:cs="Consolas" w:eastAsia="Consolas" w:hAnsi="Consolas"/>
          <w:color w:val="1A2B4C"/>
          <w:sz w:val="18"/>
          <w:szCs w:val="18"/>
        </w:rPr>
        <w:br/>
        <w:t xml:space="preserve">    |                  |&lt;-signed attestation---------|                  |</w:t>
      </w:r>
      <w:r>
        <w:rPr>
          <w:rFonts w:ascii="Consolas" w:cs="Consolas" w:eastAsia="Consolas" w:hAnsi="Consolas"/>
          <w:color w:val="1A2B4C"/>
          <w:sz w:val="18"/>
          <w:szCs w:val="18"/>
        </w:rPr>
        <w:br/>
        <w:t xml:space="preserve">    |&lt;-session summary +   |                    |                  |</w:t>
      </w:r>
      <w:r>
        <w:rPr>
          <w:rFonts w:ascii="Consolas" w:cs="Consolas" w:eastAsia="Consolas" w:hAnsi="Consolas"/>
          <w:color w:val="1A2B4C"/>
          <w:sz w:val="18"/>
          <w:szCs w:val="18"/>
        </w:rPr>
        <w:br/>
        <w:t xml:space="preserve">    |  attestation----------|                    |                  |</w:t>
      </w:r>
    </w:p>
    <w:p>
      <w:pPr>
        <w:spacing w:after="260" w:before="80"/>
      </w:pPr>
      <w:r>
        <w:rPr>
          <w:i/>
          <w:iCs/>
          <w:color w:val="6B7280"/>
          <w:sz w:val="18"/>
          <w:szCs w:val="18"/>
        </w:rPr>
        <w:t xml:space="preserve">Figure 5.1 — Continuous verification flow, happy path. Note the absence of any point where raw video crosses into Certivo's backend, consistent with the Technical Requirements Document's Section 2.1 rationale.</w:t>
      </w:r>
    </w:p>
    <w:p>
      <w:pPr>
        <w:pStyle w:val="Heading2"/>
        <w:spacing w:after="180" w:before="360"/>
      </w:pPr>
      <w:r>
        <w:rPr>
          <w:b/>
          <w:bCs/>
          <w:color w:val="2E5EAA"/>
          <w:sz w:val="26"/>
          <w:szCs w:val="26"/>
        </w:rPr>
        <w:t xml:space="preserve">5.2 Mid-call synthetic-media injection: detection and response</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Edge SDK              Backend API              Notification Svc      Partner Platform</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  (call in progress, confidence stable and high)                        |</w:t>
      </w:r>
      <w:r>
        <w:rPr>
          <w:rFonts w:ascii="Consolas" w:cs="Consolas" w:eastAsia="Consolas" w:hAnsi="Consolas"/>
          <w:color w:val="1A2B4C"/>
          <w:sz w:val="18"/>
          <w:szCs w:val="18"/>
        </w:rPr>
        <w:br/>
        <w:t xml:space="preserve">    |-score: confidence=0.94--&gt;|                          |                    |</w:t>
      </w:r>
      <w:r>
        <w:rPr>
          <w:rFonts w:ascii="Consolas" w:cs="Consolas" w:eastAsia="Consolas" w:hAnsi="Consolas"/>
          <w:color w:val="1A2B4C"/>
          <w:sz w:val="18"/>
          <w:szCs w:val="18"/>
        </w:rPr>
        <w:br/>
        <w:t xml:space="preserve">    |                       |-policy: accept              |                    |</w:t>
      </w:r>
      <w:r>
        <w:rPr>
          <w:rFonts w:ascii="Consolas" w:cs="Consolas" w:eastAsia="Consolas" w:hAnsi="Consolas"/>
          <w:color w:val="1A2B4C"/>
          <w:sz w:val="18"/>
          <w:szCs w:val="18"/>
        </w:rPr>
        <w:br/>
        <w:t xml:space="preserve">    |                                                                         |</w:t>
      </w:r>
      <w:r>
        <w:rPr>
          <w:rFonts w:ascii="Consolas" w:cs="Consolas" w:eastAsia="Consolas" w:hAnsi="Consolas"/>
          <w:color w:val="1A2B4C"/>
          <w:sz w:val="18"/>
          <w:szCs w:val="18"/>
        </w:rPr>
        <w:br/>
        <w:t xml:space="preserve">    |  (synthetic swap injected mid-call - PRD FR-C.3's specific threat)      |</w:t>
      </w:r>
      <w:r>
        <w:rPr>
          <w:rFonts w:ascii="Consolas" w:cs="Consolas" w:eastAsia="Consolas" w:hAnsi="Consolas"/>
          <w:color w:val="1A2B4C"/>
          <w:sz w:val="18"/>
          <w:szCs w:val="18"/>
        </w:rPr>
        <w:br/>
        <w:t xml:space="preserve">    |-score: confidence=0.31--&gt;|                          |                    |</w:t>
      </w:r>
      <w:r>
        <w:rPr>
          <w:rFonts w:ascii="Consolas" w:cs="Consolas" w:eastAsia="Consolas" w:hAnsi="Consolas"/>
          <w:color w:val="1A2B4C"/>
          <w:sz w:val="18"/>
          <w:szCs w:val="18"/>
        </w:rPr>
        <w:br/>
        <w:t xml:space="preserve">    |                       |-policy: reject/fallback        |                    |</w:t>
      </w:r>
      <w:r>
        <w:rPr>
          <w:rFonts w:ascii="Consolas" w:cs="Consolas" w:eastAsia="Consolas" w:hAnsi="Consolas"/>
          <w:color w:val="1A2B4C"/>
          <w:sz w:val="18"/>
          <w:szCs w:val="18"/>
        </w:rPr>
        <w:br/>
        <w:t xml:space="preserve">    |                       |  (per configured                |                    |</w:t>
      </w:r>
      <w:r>
        <w:rPr>
          <w:rFonts w:ascii="Consolas" w:cs="Consolas" w:eastAsia="Consolas" w:hAnsi="Consolas"/>
          <w:color w:val="1A2B4C"/>
          <w:sz w:val="18"/>
          <w:szCs w:val="18"/>
        </w:rPr>
        <w:br/>
        <w:t xml:space="preserve">    |                       |   fallback_behavior)             |                    |</w:t>
      </w:r>
      <w:r>
        <w:rPr>
          <w:rFonts w:ascii="Consolas" w:cs="Consolas" w:eastAsia="Consolas" w:hAnsi="Consolas"/>
          <w:color w:val="1A2B4C"/>
          <w:sz w:val="18"/>
          <w:szCs w:val="18"/>
        </w:rPr>
        <w:br/>
        <w:t xml:space="preserve">    |                       |-emit session.confidence_          |                    |</w:t>
      </w:r>
      <w:r>
        <w:rPr>
          <w:rFonts w:ascii="Consolas" w:cs="Consolas" w:eastAsia="Consolas" w:hAnsi="Consolas"/>
          <w:color w:val="1A2B4C"/>
          <w:sz w:val="18"/>
          <w:szCs w:val="18"/>
        </w:rPr>
        <w:br/>
        <w:t xml:space="preserve">    |                       |  dropped event--------------------&gt;|                    |</w:t>
      </w:r>
      <w:r>
        <w:rPr>
          <w:rFonts w:ascii="Consolas" w:cs="Consolas" w:eastAsia="Consolas" w:hAnsi="Consolas"/>
          <w:color w:val="1A2B4C"/>
          <w:sz w:val="18"/>
          <w:szCs w:val="18"/>
        </w:rPr>
        <w:br/>
        <w:t xml:space="preserve">    |                       |                          |-deliver webhook-------&gt;|</w:t>
      </w:r>
      <w:r>
        <w:rPr>
          <w:rFonts w:ascii="Consolas" w:cs="Consolas" w:eastAsia="Consolas" w:hAnsi="Consolas"/>
          <w:color w:val="1A2B4C"/>
          <w:sz w:val="18"/>
          <w:szCs w:val="18"/>
        </w:rPr>
        <w:br/>
        <w:t xml:space="preserve">    |                       |                          |                    |-platform's configured</w:t>
      </w:r>
      <w:r>
        <w:rPr>
          <w:rFonts w:ascii="Consolas" w:cs="Consolas" w:eastAsia="Consolas" w:hAnsi="Consolas"/>
          <w:color w:val="1A2B4C"/>
          <w:sz w:val="18"/>
          <w:szCs w:val="18"/>
        </w:rPr>
        <w:br/>
        <w:t xml:space="preserve">    |                       |                          |                    |  response (visible</w:t>
      </w:r>
      <w:r>
        <w:rPr>
          <w:rFonts w:ascii="Consolas" w:cs="Consolas" w:eastAsia="Consolas" w:hAnsi="Consolas"/>
          <w:color w:val="1A2B4C"/>
          <w:sz w:val="18"/>
          <w:szCs w:val="18"/>
        </w:rPr>
        <w:br/>
        <w:t xml:space="preserve">    |                       |                          |                    |  warning, moderation</w:t>
      </w:r>
      <w:r>
        <w:rPr>
          <w:rFonts w:ascii="Consolas" w:cs="Consolas" w:eastAsia="Consolas" w:hAnsi="Consolas"/>
          <w:color w:val="1A2B4C"/>
          <w:sz w:val="18"/>
          <w:szCs w:val="18"/>
        </w:rPr>
        <w:br/>
        <w:t xml:space="preserve">    |                       |                          |                    |  alert, or session flag,</w:t>
      </w:r>
      <w:r>
        <w:rPr>
          <w:rFonts w:ascii="Consolas" w:cs="Consolas" w:eastAsia="Consolas" w:hAnsi="Consolas"/>
          <w:color w:val="1A2B4C"/>
          <w:sz w:val="18"/>
          <w:szCs w:val="18"/>
        </w:rPr>
        <w:br/>
        <w:t xml:space="preserve">    |                       |                          |                    |  per FR-C.8)</w:t>
      </w:r>
    </w:p>
    <w:p>
      <w:pPr>
        <w:spacing w:after="260" w:before="80"/>
      </w:pPr>
      <w:r>
        <w:rPr>
          <w:i/>
          <w:iCs/>
          <w:color w:val="6B7280"/>
          <w:sz w:val="18"/>
          <w:szCs w:val="18"/>
        </w:rPr>
        <w:t xml:space="preserve">Figure 5.2 — Mid-call injection detection and response flow, implementing PRD FR-C.3 and FR-C.8. The detection window here (how quickly confidence=0.31 is reached after the swap) is the empirically-validated target the Technical Requirements Document (Table 14.1) explicitly left open.</w:t>
      </w:r>
    </w:p>
    <w:p>
      <w:pPr>
        <w:pStyle w:val="Heading2"/>
        <w:spacing w:after="180" w:before="360"/>
      </w:pPr>
      <w:r>
        <w:rPr>
          <w:b/>
          <w:bCs/>
          <w:color w:val="2E5EAA"/>
          <w:sz w:val="26"/>
          <w:szCs w:val="26"/>
        </w:rPr>
        <w:t xml:space="preserve">5.3 Trusted Device Token issuance flow (formalized from Technical Requirements Document Figure 8.1)</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SDK              Device OS/Browser        Cryptographic Svc         Partner Platform</w:t>
      </w:r>
      <w:r>
        <w:rPr>
          <w:rFonts w:ascii="Consolas" w:cs="Consolas" w:eastAsia="Consolas" w:hAnsi="Consolas"/>
          <w:color w:val="1A2B4C"/>
          <w:sz w:val="18"/>
          <w:szCs w:val="18"/>
        </w:rPr>
        <w:br/>
        <w:t xml:space="preserve"> |                      |                        |                        |</w:t>
      </w:r>
      <w:r>
        <w:rPr>
          <w:rFonts w:ascii="Consolas" w:cs="Consolas" w:eastAsia="Consolas" w:hAnsi="Consolas"/>
          <w:color w:val="1A2B4C"/>
          <w:sz w:val="18"/>
          <w:szCs w:val="18"/>
        </w:rPr>
        <w:br/>
        <w:t xml:space="preserve"> |-complete a full          |                        |                        |</w:t>
      </w:r>
      <w:r>
        <w:rPr>
          <w:rFonts w:ascii="Consolas" w:cs="Consolas" w:eastAsia="Consolas" w:hAnsi="Consolas"/>
          <w:color w:val="1A2B4C"/>
          <w:sz w:val="18"/>
          <w:szCs w:val="18"/>
        </w:rPr>
        <w:br/>
        <w:t xml:space="preserve"> |  verification session      |                        |                        |</w:t>
      </w:r>
      <w:r>
        <w:rPr>
          <w:rFonts w:ascii="Consolas" w:cs="Consolas" w:eastAsia="Consolas" w:hAnsi="Consolas"/>
          <w:color w:val="1A2B4C"/>
          <w:sz w:val="18"/>
          <w:szCs w:val="18"/>
        </w:rPr>
        <w:br/>
        <w:t xml:space="preserve"> |  (Figure 5.1 above)          |                        |                        |</w:t>
      </w:r>
      <w:r>
        <w:rPr>
          <w:rFonts w:ascii="Consolas" w:cs="Consolas" w:eastAsia="Consolas" w:hAnsi="Consolas"/>
          <w:color w:val="1A2B4C"/>
          <w:sz w:val="18"/>
          <w:szCs w:val="18"/>
        </w:rPr>
        <w:br/>
        <w:t xml:space="preserve"> |-present distinct consent       |                        |                        |</w:t>
      </w:r>
      <w:r>
        <w:rPr>
          <w:rFonts w:ascii="Consolas" w:cs="Consolas" w:eastAsia="Consolas" w:hAnsi="Consolas"/>
          <w:color w:val="1A2B4C"/>
          <w:sz w:val="18"/>
          <w:szCs w:val="18"/>
        </w:rPr>
        <w:br/>
        <w:t xml:space="preserve"> |  for Trusted Device Layer        |                        |                        |</w:t>
      </w:r>
      <w:r>
        <w:rPr>
          <w:rFonts w:ascii="Consolas" w:cs="Consolas" w:eastAsia="Consolas" w:hAnsi="Consolas"/>
          <w:color w:val="1A2B4C"/>
          <w:sz w:val="18"/>
          <w:szCs w:val="18"/>
        </w:rPr>
        <w:br/>
        <w:t xml:space="preserve"> |  (PRD FR-5.6)----------------------------------------------------------------&gt;|</w:t>
      </w:r>
      <w:r>
        <w:rPr>
          <w:rFonts w:ascii="Consolas" w:cs="Consolas" w:eastAsia="Consolas" w:hAnsi="Consolas"/>
          <w:color w:val="1A2B4C"/>
          <w:sz w:val="18"/>
          <w:szCs w:val="18"/>
        </w:rPr>
        <w:br/>
        <w:t xml:space="preserve"> |&lt;-consent granted-------------------------------------------------------------|</w:t>
      </w:r>
      <w:r>
        <w:rPr>
          <w:rFonts w:ascii="Consolas" w:cs="Consolas" w:eastAsia="Consolas" w:hAnsi="Consolas"/>
          <w:color w:val="1A2B4C"/>
          <w:sz w:val="18"/>
          <w:szCs w:val="18"/>
        </w:rPr>
        <w:br/>
        <w:t xml:space="preserve"> |-request hardware/platform  |                        |                        |</w:t>
      </w:r>
      <w:r>
        <w:rPr>
          <w:rFonts w:ascii="Consolas" w:cs="Consolas" w:eastAsia="Consolas" w:hAnsi="Consolas"/>
          <w:color w:val="1A2B4C"/>
          <w:sz w:val="18"/>
          <w:szCs w:val="18"/>
        </w:rPr>
        <w:br/>
        <w:t xml:space="preserve"> |  attestation---------------&gt;|                        |                        |</w:t>
      </w:r>
      <w:r>
        <w:rPr>
          <w:rFonts w:ascii="Consolas" w:cs="Consolas" w:eastAsia="Consolas" w:hAnsi="Consolas"/>
          <w:color w:val="1A2B4C"/>
          <w:sz w:val="18"/>
          <w:szCs w:val="18"/>
        </w:rPr>
        <w:br/>
        <w:t xml:space="preserve"> |&lt;-attestation result-----------|                        |                        |</w:t>
      </w:r>
      <w:r>
        <w:rPr>
          <w:rFonts w:ascii="Consolas" w:cs="Consolas" w:eastAsia="Consolas" w:hAnsi="Consolas"/>
          <w:color w:val="1A2B4C"/>
          <w:sz w:val="18"/>
          <w:szCs w:val="18"/>
        </w:rPr>
        <w:br/>
        <w:t xml:space="preserve"> |-submit attestation result +                             |                        |</w:t>
      </w:r>
      <w:r>
        <w:rPr>
          <w:rFonts w:ascii="Consolas" w:cs="Consolas" w:eastAsia="Consolas" w:hAnsi="Consolas"/>
          <w:color w:val="1A2B4C"/>
          <w:sz w:val="18"/>
          <w:szCs w:val="18"/>
        </w:rPr>
        <w:br/>
        <w:t xml:space="preserve"> |  platform_scope_id (Technical Requirements Document        |                        |</w:t>
      </w:r>
      <w:r>
        <w:rPr>
          <w:rFonts w:ascii="Consolas" w:cs="Consolas" w:eastAsia="Consolas" w:hAnsi="Consolas"/>
          <w:color w:val="1A2B4C"/>
          <w:sz w:val="18"/>
          <w:szCs w:val="18"/>
        </w:rPr>
        <w:br/>
        <w:t xml:space="preserve"> |  Section 8.3)----------------------------------------------&gt;|                        |</w:t>
      </w:r>
      <w:r>
        <w:rPr>
          <w:rFonts w:ascii="Consolas" w:cs="Consolas" w:eastAsia="Consolas" w:hAnsi="Consolas"/>
          <w:color w:val="1A2B4C"/>
          <w:sz w:val="18"/>
          <w:szCs w:val="18"/>
        </w:rPr>
        <w:br/>
        <w:t xml:space="preserve"> |                      |                        |-validate against        |</w:t>
      </w:r>
      <w:r>
        <w:rPr>
          <w:rFonts w:ascii="Consolas" w:cs="Consolas" w:eastAsia="Consolas" w:hAnsi="Consolas"/>
          <w:color w:val="1A2B4C"/>
          <w:sz w:val="18"/>
          <w:szCs w:val="18"/>
        </w:rPr>
        <w:br/>
        <w:t xml:space="preserve"> |                      |                        |  OS/browser vendor        |</w:t>
      </w:r>
      <w:r>
        <w:rPr>
          <w:rFonts w:ascii="Consolas" w:cs="Consolas" w:eastAsia="Consolas" w:hAnsi="Consolas"/>
          <w:color w:val="1A2B4C"/>
          <w:sz w:val="18"/>
          <w:szCs w:val="18"/>
        </w:rPr>
        <w:br/>
        <w:t xml:space="preserve"> |                      |                        |  root of trust             |</w:t>
      </w:r>
      <w:r>
        <w:rPr>
          <w:rFonts w:ascii="Consolas" w:cs="Consolas" w:eastAsia="Consolas" w:hAnsi="Consolas"/>
          <w:color w:val="1A2B4C"/>
          <w:sz w:val="18"/>
          <w:szCs w:val="18"/>
        </w:rPr>
        <w:br/>
        <w:t xml:space="preserve"> |                      |                        |-determine trust tier         |</w:t>
      </w:r>
      <w:r>
        <w:rPr>
          <w:rFonts w:ascii="Consolas" w:cs="Consolas" w:eastAsia="Consolas" w:hAnsi="Consolas"/>
          <w:color w:val="1A2B4C"/>
          <w:sz w:val="18"/>
          <w:szCs w:val="18"/>
        </w:rPr>
        <w:br/>
        <w:t xml:space="preserve"> |                      |                        |  (Table 8.1)                   |</w:t>
      </w:r>
      <w:r>
        <w:rPr>
          <w:rFonts w:ascii="Consolas" w:cs="Consolas" w:eastAsia="Consolas" w:hAnsi="Consolas"/>
          <w:color w:val="1A2B4C"/>
          <w:sz w:val="18"/>
          <w:szCs w:val="18"/>
        </w:rPr>
        <w:br/>
        <w:t xml:space="preserve"> |                      |                        |-issue Trusted Device            |</w:t>
      </w:r>
      <w:r>
        <w:rPr>
          <w:rFonts w:ascii="Consolas" w:cs="Consolas" w:eastAsia="Consolas" w:hAnsi="Consolas"/>
          <w:color w:val="1A2B4C"/>
          <w:sz w:val="18"/>
          <w:szCs w:val="18"/>
        </w:rPr>
        <w:br/>
        <w:t xml:space="preserve"> |                      |                        |  Token, bind platform_scope_id   |</w:t>
      </w:r>
      <w:r>
        <w:rPr>
          <w:rFonts w:ascii="Consolas" w:cs="Consolas" w:eastAsia="Consolas" w:hAnsi="Consolas"/>
          <w:color w:val="1A2B4C"/>
          <w:sz w:val="18"/>
          <w:szCs w:val="18"/>
        </w:rPr>
        <w:br/>
        <w:t xml:space="preserve"> |                      |                        |  into the token itself             |</w:t>
      </w:r>
      <w:r>
        <w:rPr>
          <w:rFonts w:ascii="Consolas" w:cs="Consolas" w:eastAsia="Consolas" w:hAnsi="Consolas"/>
          <w:color w:val="1A2B4C"/>
          <w:sz w:val="18"/>
          <w:szCs w:val="18"/>
        </w:rPr>
        <w:br/>
        <w:t xml:space="preserve"> |&lt;-Trusted Device Token + tier-----------------------|                        |</w:t>
      </w:r>
    </w:p>
    <w:p>
      <w:pPr>
        <w:spacing w:after="260" w:before="80"/>
      </w:pPr>
      <w:r>
        <w:rPr>
          <w:i/>
          <w:iCs/>
          <w:color w:val="6B7280"/>
          <w:sz w:val="18"/>
          <w:szCs w:val="18"/>
        </w:rPr>
        <w:t xml:space="preserve">Figure 5.3 — Trusted Device Token issuance, showing the distinct consent step (PRD FR-5.6) that precedes any attestation request — consent is obtained before, not after, the hardware attestation call.</w:t>
      </w:r>
    </w:p>
    <w:p>
      <w:pPr>
        <w:pStyle w:val="Heading2"/>
        <w:spacing w:after="180" w:before="360"/>
      </w:pPr>
      <w:r>
        <w:rPr>
          <w:b/>
          <w:bCs/>
          <w:color w:val="2E5EAA"/>
          <w:sz w:val="26"/>
          <w:szCs w:val="26"/>
        </w:rPr>
        <w:t xml:space="preserve">5.4 Trusted Device Token validation and reuse (skipping full re-verification)</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SDK              Backend API           Cryptographic Svc</w:t>
      </w:r>
      <w:r>
        <w:rPr>
          <w:rFonts w:ascii="Consolas" w:cs="Consolas" w:eastAsia="Consolas" w:hAnsi="Consolas"/>
          <w:color w:val="1A2B4C"/>
          <w:sz w:val="18"/>
          <w:szCs w:val="18"/>
        </w:rPr>
        <w:br/>
        <w:t xml:space="preserve"> |                    |                        |</w:t>
      </w:r>
      <w:r>
        <w:rPr>
          <w:rFonts w:ascii="Consolas" w:cs="Consolas" w:eastAsia="Consolas" w:hAnsi="Consolas"/>
          <w:color w:val="1A2B4C"/>
          <w:sz w:val="18"/>
          <w:szCs w:val="18"/>
        </w:rPr>
        <w:br/>
        <w:t xml:space="preserve"> |-new session, present     |                        |</w:t>
      </w:r>
      <w:r>
        <w:rPr>
          <w:rFonts w:ascii="Consolas" w:cs="Consolas" w:eastAsia="Consolas" w:hAnsi="Consolas"/>
          <w:color w:val="1A2B4C"/>
          <w:sz w:val="18"/>
          <w:szCs w:val="18"/>
        </w:rPr>
        <w:br/>
        <w:t xml:space="preserve"> |  Trusted Device Token-------&gt;|                        |</w:t>
      </w:r>
      <w:r>
        <w:rPr>
          <w:rFonts w:ascii="Consolas" w:cs="Consolas" w:eastAsia="Consolas" w:hAnsi="Consolas"/>
          <w:color w:val="1A2B4C"/>
          <w:sz w:val="18"/>
          <w:szCs w:val="18"/>
        </w:rPr>
        <w:br/>
        <w:t xml:space="preserve"> |                    |-validate token------------&gt;|</w:t>
      </w:r>
      <w:r>
        <w:rPr>
          <w:rFonts w:ascii="Consolas" w:cs="Consolas" w:eastAsia="Consolas" w:hAnsi="Consolas"/>
          <w:color w:val="1A2B4C"/>
          <w:sz w:val="18"/>
          <w:szCs w:val="18"/>
        </w:rPr>
        <w:br/>
        <w:t xml:space="preserve"> |                    |                        |-check: not expired,</w:t>
      </w:r>
      <w:r>
        <w:rPr>
          <w:rFonts w:ascii="Consolas" w:cs="Consolas" w:eastAsia="Consolas" w:hAnsi="Consolas"/>
          <w:color w:val="1A2B4C"/>
          <w:sz w:val="18"/>
          <w:szCs w:val="18"/>
        </w:rPr>
        <w:br/>
        <w:t xml:space="preserve"> |                    |                        |  not revoked, platform_</w:t>
      </w:r>
      <w:r>
        <w:rPr>
          <w:rFonts w:ascii="Consolas" w:cs="Consolas" w:eastAsia="Consolas" w:hAnsi="Consolas"/>
          <w:color w:val="1A2B4C"/>
          <w:sz w:val="18"/>
          <w:szCs w:val="18"/>
        </w:rPr>
        <w:br/>
        <w:t xml:space="preserve"> |                    |                        |  scope_id matches</w:t>
      </w:r>
      <w:r>
        <w:rPr>
          <w:rFonts w:ascii="Consolas" w:cs="Consolas" w:eastAsia="Consolas" w:hAnsi="Consolas"/>
          <w:color w:val="1A2B4C"/>
          <w:sz w:val="18"/>
          <w:szCs w:val="18"/>
        </w:rPr>
        <w:br/>
        <w:t xml:space="preserve"> |                    |                        |  requesting platform</w:t>
      </w:r>
      <w:r>
        <w:rPr>
          <w:rFonts w:ascii="Consolas" w:cs="Consolas" w:eastAsia="Consolas" w:hAnsi="Consolas"/>
          <w:color w:val="1A2B4C"/>
          <w:sz w:val="18"/>
          <w:szCs w:val="18"/>
        </w:rPr>
        <w:br/>
        <w:t xml:space="preserve"> |                    |&lt;-valid, trust_tier=hardware_attested|</w:t>
      </w:r>
      <w:r>
        <w:rPr>
          <w:rFonts w:ascii="Consolas" w:cs="Consolas" w:eastAsia="Consolas" w:hAnsi="Consolas"/>
          <w:color w:val="1A2B4C"/>
          <w:sz w:val="18"/>
          <w:szCs w:val="18"/>
        </w:rPr>
        <w:br/>
        <w:t xml:space="preserve"> |                    |-skip full re-verification;    |</w:t>
      </w:r>
      <w:r>
        <w:rPr>
          <w:rFonts w:ascii="Consolas" w:cs="Consolas" w:eastAsia="Consolas" w:hAnsi="Consolas"/>
          <w:color w:val="1A2B4C"/>
          <w:sz w:val="18"/>
          <w:szCs w:val="18"/>
        </w:rPr>
        <w:br/>
        <w:t xml:space="preserve"> |                    |  proceed with reduced-friction   |</w:t>
      </w:r>
      <w:r>
        <w:rPr>
          <w:rFonts w:ascii="Consolas" w:cs="Consolas" w:eastAsia="Consolas" w:hAnsi="Consolas"/>
          <w:color w:val="1A2B4C"/>
          <w:sz w:val="18"/>
          <w:szCs w:val="18"/>
        </w:rPr>
        <w:br/>
        <w:t xml:space="preserve"> |                    |  session start (per partner's      |</w:t>
      </w:r>
      <w:r>
        <w:rPr>
          <w:rFonts w:ascii="Consolas" w:cs="Consolas" w:eastAsia="Consolas" w:hAnsi="Consolas"/>
          <w:color w:val="1A2B4C"/>
          <w:sz w:val="18"/>
          <w:szCs w:val="18"/>
        </w:rPr>
        <w:br/>
        <w:t xml:space="preserve"> |                    |  configured policy for this tier)   |</w:t>
      </w:r>
      <w:r>
        <w:rPr>
          <w:rFonts w:ascii="Consolas" w:cs="Consolas" w:eastAsia="Consolas" w:hAnsi="Consolas"/>
          <w:color w:val="1A2B4C"/>
          <w:sz w:val="18"/>
          <w:szCs w:val="18"/>
        </w:rPr>
        <w:br/>
        <w:t xml:space="preserve"> |&lt;-session started (fast path)|                        |</w:t>
      </w:r>
    </w:p>
    <w:p>
      <w:pPr>
        <w:spacing w:after="260" w:before="80"/>
      </w:pPr>
      <w:r>
        <w:rPr>
          <w:i/>
          <w:iCs/>
          <w:color w:val="6B7280"/>
          <w:sz w:val="18"/>
          <w:szCs w:val="18"/>
        </w:rPr>
        <w:t xml:space="preserve">Figure 5.4 — Trusted Device Token validation flow, implementing PRD FR-D.2. Note that the trust tier (Table 8.1) is returned alongside validity, letting the partner's policy treat a hardware-attested token differently from a software-only one.</w:t>
      </w:r>
    </w:p>
    <w:p>
      <w:pPr>
        <w:pStyle w:val="Heading2"/>
        <w:spacing w:after="180" w:before="360"/>
      </w:pPr>
      <w:r>
        <w:rPr>
          <w:b/>
          <w:bCs/>
          <w:color w:val="2E5EAA"/>
          <w:sz w:val="26"/>
          <w:szCs w:val="26"/>
        </w:rPr>
        <w:t xml:space="preserve">5.5 Device-switch detection flow</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SDK (new device)     Backend API          Cryptographic Svc</w:t>
      </w:r>
      <w:r>
        <w:rPr>
          <w:rFonts w:ascii="Consolas" w:cs="Consolas" w:eastAsia="Consolas" w:hAnsi="Consolas"/>
          <w:color w:val="1A2B4C"/>
          <w:sz w:val="18"/>
          <w:szCs w:val="18"/>
        </w:rPr>
        <w:br/>
        <w:t xml:space="preserve"> |                        |                       |</w:t>
      </w:r>
      <w:r>
        <w:rPr>
          <w:rFonts w:ascii="Consolas" w:cs="Consolas" w:eastAsia="Consolas" w:hAnsi="Consolas"/>
          <w:color w:val="1A2B4C"/>
          <w:sz w:val="18"/>
          <w:szCs w:val="18"/>
        </w:rPr>
        <w:br/>
        <w:t xml:space="preserve"> |-new session, account X,     |                       |</w:t>
      </w:r>
      <w:r>
        <w:rPr>
          <w:rFonts w:ascii="Consolas" w:cs="Consolas" w:eastAsia="Consolas" w:hAnsi="Consolas"/>
          <w:color w:val="1A2B4C"/>
          <w:sz w:val="18"/>
          <w:szCs w:val="18"/>
        </w:rPr>
        <w:br/>
        <w:t xml:space="preserve"> |  no Trusted Device Token       |                       |</w:t>
      </w:r>
      <w:r>
        <w:rPr>
          <w:rFonts w:ascii="Consolas" w:cs="Consolas" w:eastAsia="Consolas" w:hAnsi="Consolas"/>
          <w:color w:val="1A2B4C"/>
          <w:sz w:val="18"/>
          <w:szCs w:val="18"/>
        </w:rPr>
        <w:br/>
        <w:t xml:space="preserve"> |  presented for this device------&gt;|                       |</w:t>
      </w:r>
      <w:r>
        <w:rPr>
          <w:rFonts w:ascii="Consolas" w:cs="Consolas" w:eastAsia="Consolas" w:hAnsi="Consolas"/>
          <w:color w:val="1A2B4C"/>
          <w:sz w:val="18"/>
          <w:szCs w:val="18"/>
        </w:rPr>
        <w:br/>
        <w:t xml:space="preserve"> |                        |-check: does account X          |</w:t>
      </w:r>
      <w:r>
        <w:rPr>
          <w:rFonts w:ascii="Consolas" w:cs="Consolas" w:eastAsia="Consolas" w:hAnsi="Consolas"/>
          <w:color w:val="1A2B4C"/>
          <w:sz w:val="18"/>
          <w:szCs w:val="18"/>
        </w:rPr>
        <w:br/>
        <w:t xml:space="preserve"> |                        |  have an active Trusted          |</w:t>
      </w:r>
      <w:r>
        <w:rPr>
          <w:rFonts w:ascii="Consolas" w:cs="Consolas" w:eastAsia="Consolas" w:hAnsi="Consolas"/>
          <w:color w:val="1A2B4C"/>
          <w:sz w:val="18"/>
          <w:szCs w:val="18"/>
        </w:rPr>
        <w:br/>
        <w:t xml:space="preserve"> |                        |  Device Token on a DIFFERENT       |</w:t>
      </w:r>
      <w:r>
        <w:rPr>
          <w:rFonts w:ascii="Consolas" w:cs="Consolas" w:eastAsia="Consolas" w:hAnsi="Consolas"/>
          <w:color w:val="1A2B4C"/>
          <w:sz w:val="18"/>
          <w:szCs w:val="18"/>
        </w:rPr>
        <w:br/>
        <w:t xml:space="preserve"> |                        |  device?---------------------------&gt;|</w:t>
      </w:r>
      <w:r>
        <w:rPr>
          <w:rFonts w:ascii="Consolas" w:cs="Consolas" w:eastAsia="Consolas" w:hAnsi="Consolas"/>
          <w:color w:val="1A2B4C"/>
          <w:sz w:val="18"/>
          <w:szCs w:val="18"/>
        </w:rPr>
        <w:br/>
        <w:t xml:space="preserve"> |                        |&lt;-yes, active token exists              |</w:t>
      </w:r>
      <w:r>
        <w:rPr>
          <w:rFonts w:ascii="Consolas" w:cs="Consolas" w:eastAsia="Consolas" w:hAnsi="Consolas"/>
          <w:color w:val="1A2B4C"/>
          <w:sz w:val="18"/>
          <w:szCs w:val="18"/>
        </w:rPr>
        <w:br/>
        <w:t xml:space="preserve"> |                        |  on a different device                  |</w:t>
      </w:r>
      <w:r>
        <w:rPr>
          <w:rFonts w:ascii="Consolas" w:cs="Consolas" w:eastAsia="Consolas" w:hAnsi="Consolas"/>
          <w:color w:val="1A2B4C"/>
          <w:sz w:val="18"/>
          <w:szCs w:val="18"/>
        </w:rPr>
        <w:br/>
        <w:t xml:space="preserve"> |                        |-emit device_switch_detected               |</w:t>
      </w:r>
      <w:r>
        <w:rPr>
          <w:rFonts w:ascii="Consolas" w:cs="Consolas" w:eastAsia="Consolas" w:hAnsi="Consolas"/>
          <w:color w:val="1A2B4C"/>
          <w:sz w:val="18"/>
          <w:szCs w:val="18"/>
        </w:rPr>
        <w:br/>
        <w:t xml:space="preserve"> |                        |  (distinct from a failed liveness           |</w:t>
      </w:r>
      <w:r>
        <w:rPr>
          <w:rFonts w:ascii="Consolas" w:cs="Consolas" w:eastAsia="Consolas" w:hAnsi="Consolas"/>
          <w:color w:val="1A2B4C"/>
          <w:sz w:val="18"/>
          <w:szCs w:val="18"/>
        </w:rPr>
        <w:br/>
        <w:t xml:space="preserve"> |                        |   check - PRD FR-D.6)                        |</w:t>
      </w:r>
      <w:r>
        <w:rPr>
          <w:rFonts w:ascii="Consolas" w:cs="Consolas" w:eastAsia="Consolas" w:hAnsi="Consolas"/>
          <w:color w:val="1A2B4C"/>
          <w:sz w:val="18"/>
          <w:szCs w:val="18"/>
        </w:rPr>
        <w:br/>
        <w:t xml:space="preserve"> |                        |-route per partner's configured                |</w:t>
      </w:r>
      <w:r>
        <w:rPr>
          <w:rFonts w:ascii="Consolas" w:cs="Consolas" w:eastAsia="Consolas" w:hAnsi="Consolas"/>
          <w:color w:val="1A2B4C"/>
          <w:sz w:val="18"/>
          <w:szCs w:val="18"/>
        </w:rPr>
        <w:br/>
        <w:t xml:space="preserve"> |                        |  response (full re-verification,                |</w:t>
      </w:r>
      <w:r>
        <w:rPr>
          <w:rFonts w:ascii="Consolas" w:cs="Consolas" w:eastAsia="Consolas" w:hAnsi="Consolas"/>
          <w:color w:val="1A2B4C"/>
          <w:sz w:val="18"/>
          <w:szCs w:val="18"/>
        </w:rPr>
        <w:br/>
        <w:t xml:space="preserve"> |                        |  step-up challenge, or trust &amp; safety              |</w:t>
      </w:r>
      <w:r>
        <w:rPr>
          <w:rFonts w:ascii="Consolas" w:cs="Consolas" w:eastAsia="Consolas" w:hAnsi="Consolas"/>
          <w:color w:val="1A2B4C"/>
          <w:sz w:val="18"/>
          <w:szCs w:val="18"/>
        </w:rPr>
        <w:br/>
        <w:t xml:space="preserve"> |                        |  alert)</w:t>
      </w:r>
    </w:p>
    <w:p>
      <w:pPr>
        <w:spacing w:after="260" w:before="80"/>
      </w:pPr>
      <w:r>
        <w:rPr>
          <w:i/>
          <w:iCs/>
          <w:color w:val="6B7280"/>
          <w:sz w:val="18"/>
          <w:szCs w:val="18"/>
        </w:rPr>
        <w:t xml:space="preserve">Figure 5.5 — Device-switch detection flow, implementing PRD FR-D.6.</w:t>
      </w:r>
    </w:p>
    <w:p>
      <w:pPr>
        <w:pStyle w:val="Heading1"/>
        <w:pageBreakBefore/>
        <w:spacing w:after="240" w:before="480"/>
      </w:pPr>
      <w:r>
        <w:rPr>
          <w:b/>
          <w:bCs/>
          <w:color w:val="1A2B4C"/>
          <w:sz w:val="32"/>
          <w:szCs w:val="32"/>
        </w:rPr>
        <w:t xml:space="preserve">6. Scaling Strategy (Revised Additions)</w:t>
      </w:r>
    </w:p>
    <w:p>
      <w:pPr>
        <w:spacing w:after="200" w:line="300"/>
        <w:jc w:val="both"/>
      </w:pPr>
      <w:r>
        <w:rPr>
          <w:sz w:val="21"/>
          <w:szCs w:val="21"/>
        </w:rPr>
        <w:t xml:space="preserve">Version 1.0's scaling guidance (per-service autoscaling triggers, load-testing methodology, cost-aware scaling) still applies to every backend service. This section adds scaling dimensions that only exist because inference now runs on partner devices rather than exclusively in Certivo's own infrastructure.</w:t>
      </w:r>
    </w:p>
    <w:p>
      <w:pPr>
        <w:pStyle w:val="Heading2"/>
        <w:spacing w:after="180" w:before="360"/>
      </w:pPr>
      <w:r>
        <w:rPr>
          <w:b/>
          <w:bCs/>
          <w:color w:val="2E5EAA"/>
          <w:sz w:val="26"/>
          <w:szCs w:val="26"/>
        </w:rPr>
        <w:t xml:space="preserve">6.1 A different backend load shape</w:t>
      </w:r>
    </w:p>
    <w:p>
      <w:pPr>
        <w:spacing w:after="200" w:line="300"/>
        <w:jc w:val="both"/>
      </w:pPr>
      <w:r>
        <w:rPr>
          <w:sz w:val="21"/>
          <w:szCs w:val="21"/>
        </w:rPr>
        <w:t xml:space="preserve">Version 1.0's Backend API Service scaled against discrete request bursts (one request per point-in-time verification). Continuous verification instead produces a steady, predictable trickle of small packets per active call — total backend load scales with concurrent call volume multiplied by (call duration divided by re-evaluation interval), not with the number of distinct verification events. This is a gentler load shape per call but a much higher aggregate request rate at scale, since a single one-hour call now generates dozens or hundreds of score-event writes instead of one. The continuous_score_events table (Technical Requirements Document, Table 16.3) is the component most directly affected and inherits the same partitioning discipline already established for audit_log_entries in Version 1.0 (Document 4, Section 5.1's partitioning candidates), applied here from the start rather than only once a growth trigger is met, since the write-volume profile is predictable in advance.</w:t>
      </w:r>
    </w:p>
    <w:p>
      <w:pPr>
        <w:pStyle w:val="Heading2"/>
        <w:spacing w:after="180" w:before="360"/>
      </w:pPr>
      <w:r>
        <w:rPr>
          <w:b/>
          <w:bCs/>
          <w:color w:val="2E5EAA"/>
          <w:sz w:val="26"/>
          <w:szCs w:val="26"/>
        </w:rPr>
        <w:t xml:space="preserve">6.2 SDK distribution and rollout: a new kind of scaling problem</w:t>
      </w:r>
    </w:p>
    <w:p>
      <w:pPr>
        <w:spacing w:after="200" w:line="300"/>
        <w:jc w:val="both"/>
      </w:pPr>
      <w:r>
        <w:rPr>
          <w:sz w:val="21"/>
          <w:szCs w:val="21"/>
        </w:rPr>
        <w:t xml:space="preserve">Every backend service in Version 1.0 can be redeployed independently and immediately (Section 11's zero-downtime deployment). The Edge Inference SDK cannot: it ships inside a partner platform's own mobile app, subject to that partner's own release cycle and, for iOS and Android specifically, app store review timelines outside Certivo's control. This has two concrete architectural implications this document did not need to address in Version 1.0:</w:t>
      </w:r>
    </w:p>
    <w:p>
      <w:pPr>
        <w:pStyle w:val="ListParagraph"/>
        <w:numPr>
          <w:ilvl w:val="0"/>
          <w:numId w:val="2"/>
        </w:numPr>
        <w:spacing w:after="100" w:line="280"/>
      </w:pPr>
      <w:r>
        <w:rPr>
          <w:sz w:val="21"/>
          <w:szCs w:val="21"/>
        </w:rPr>
        <w:t xml:space="preserve">A new edge model or SDK bug fix does not reach production instantly — rollout is gated by each partner's own app release cadence, meaning multiple SDK versions are in production simultaneously at any given time, for an extended period, by default rather than as a rare transitional state.</w:t>
      </w:r>
    </w:p>
    <w:p>
      <w:pPr>
        <w:pStyle w:val="ListParagraph"/>
        <w:numPr>
          <w:ilvl w:val="0"/>
          <w:numId w:val="2"/>
        </w:numPr>
        <w:spacing w:after="100" w:line="280"/>
      </w:pPr>
      <w:r>
        <w:rPr>
          <w:sz w:val="21"/>
          <w:szCs w:val="21"/>
        </w:rPr>
        <w:t xml:space="preserve">The Backend API Service and Cryptographic Service must therefore support multiple concurrent SDK protocol versions gracefully (extending the API versioning policy, Technical Requirements Document Section 13.2, to explicitly plan for long-tail version coexistence rather than a short deprecation window).</w:t>
      </w:r>
    </w:p>
    <w:p>
      <w:pPr>
        <w:pStyle w:val="Heading2"/>
        <w:spacing w:after="180" w:before="360"/>
      </w:pPr>
      <w:r>
        <w:rPr>
          <w:b/>
          <w:bCs/>
          <w:color w:val="2E5EAA"/>
          <w:sz w:val="26"/>
          <w:szCs w:val="26"/>
        </w:rPr>
        <w:t xml:space="preserve">6.3 Edge model update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A2B4C" w:val="clear"/>
            <w:tcMar>
              <w:top w:type="dxa" w:w="100"/>
              <w:left w:type="dxa" w:w="140"/>
              <w:bottom w:type="dxa" w:w="100"/>
              <w:right w:type="dxa" w:w="140"/>
            </w:tcMar>
          </w:tcPr>
          <w:p>
            <w:r>
              <w:rPr>
                <w:b/>
                <w:bCs/>
                <w:color w:val="FFFFFF"/>
                <w:sz w:val="19"/>
                <w:szCs w:val="19"/>
              </w:rPr>
              <w:t xml:space="preserve">Approach</w:t>
            </w:r>
          </w:p>
        </w:tc>
        <w:tc>
          <w:tcPr>
            <w:tcW w:type="dxa" w:w="5600"/>
            <w:shd w:fill="1A2B4C" w:val="clear"/>
            <w:tcMar>
              <w:top w:type="dxa" w:w="100"/>
              <w:left w:type="dxa" w:w="140"/>
              <w:bottom w:type="dxa" w:w="100"/>
              <w:right w:type="dxa" w:w="140"/>
            </w:tcMar>
          </w:tcPr>
          <w:p>
            <w:r>
              <w:rPr>
                <w:b/>
                <w:bCs/>
                <w:color w:val="FFFFFF"/>
                <w:sz w:val="19"/>
                <w:szCs w:val="19"/>
              </w:rPr>
              <w:t xml:space="preserve">Trade-off</w:t>
            </w:r>
          </w:p>
        </w:tc>
      </w:tr>
      <w:tr>
        <w:tc>
          <w:tcPr>
            <w:tcW w:type="dxa" w:w="3600"/>
            <w:shd w:fill="F4F6F9" w:val="clear"/>
            <w:tcMar>
              <w:top w:type="dxa" w:w="100"/>
              <w:left w:type="dxa" w:w="140"/>
              <w:bottom w:type="dxa" w:w="100"/>
              <w:right w:type="dxa" w:w="140"/>
            </w:tcMar>
          </w:tcPr>
          <w:p>
            <w:r>
              <w:rPr>
                <w:sz w:val="19"/>
                <w:szCs w:val="19"/>
              </w:rPr>
              <w:t xml:space="preserve">Bundle the model inside the app binary</w:t>
            </w:r>
          </w:p>
        </w:tc>
        <w:tc>
          <w:tcPr>
            <w:tcW w:type="dxa" w:w="5600"/>
            <w:shd w:fill="F4F6F9" w:val="clear"/>
            <w:tcMar>
              <w:top w:type="dxa" w:w="100"/>
              <w:left w:type="dxa" w:w="140"/>
              <w:bottom w:type="dxa" w:w="100"/>
              <w:right w:type="dxa" w:w="140"/>
            </w:tcMar>
          </w:tcPr>
          <w:p>
            <w:r>
              <w:rPr>
                <w:sz w:val="19"/>
                <w:szCs w:val="19"/>
              </w:rPr>
              <w:t xml:space="preserve">Simplest, no additional runtime download or storage cost, but every model update requires a full app store release and review cycle — the slowest possible iteration speed for model improvements, directly in tension with the ML lifecycle's continuous-evaluation philosophy (ML Architecture, Document 7, Section 4.3, to be revised for the edge model class).</w:t>
            </w:r>
          </w:p>
        </w:tc>
      </w:tr>
      <w:tr>
        <w:tc>
          <w:tcPr>
            <w:tcW w:type="dxa" w:w="3600"/>
            <w:shd w:fill="FFFFFF" w:val="clear"/>
            <w:tcMar>
              <w:top w:type="dxa" w:w="100"/>
              <w:left w:type="dxa" w:w="140"/>
              <w:bottom w:type="dxa" w:w="100"/>
              <w:right w:type="dxa" w:w="140"/>
            </w:tcMar>
          </w:tcPr>
          <w:p>
            <w:r>
              <w:rPr>
                <w:sz w:val="19"/>
                <w:szCs w:val="19"/>
              </w:rPr>
              <w:t xml:space="preserve">Dynamic model download at SDK initialization</w:t>
            </w:r>
          </w:p>
        </w:tc>
        <w:tc>
          <w:tcPr>
            <w:tcW w:type="dxa" w:w="5600"/>
            <w:shd w:fill="FFFFFF" w:val="clear"/>
            <w:tcMar>
              <w:top w:type="dxa" w:w="100"/>
              <w:left w:type="dxa" w:w="140"/>
              <w:bottom w:type="dxa" w:w="100"/>
              <w:right w:type="dxa" w:w="140"/>
            </w:tcMar>
          </w:tcPr>
          <w:p>
            <w:r>
              <w:rPr>
                <w:sz w:val="19"/>
                <w:szCs w:val="19"/>
              </w:rPr>
              <w:t xml:space="preserve">Enables faster model iteration independent of app release cycles, at the cost of added startup latency and on-device storage for the downloaded model, and a new integrity concern (validating the downloaded model itself hasn't been tampered with in transit).</w:t>
            </w:r>
          </w:p>
        </w:tc>
      </w:tr>
    </w:tbl>
    <w:p>
      <w:pPr>
        <w:spacing w:after="260" w:before="80"/>
      </w:pPr>
      <w:r>
        <w:rPr>
          <w:i/>
          <w:iCs/>
          <w:color w:val="6B7280"/>
          <w:sz w:val="18"/>
          <w:szCs w:val="18"/>
        </w:rPr>
        <w:t xml:space="preserve">Table 6.1 — Edge model update strategy trade-off. Recommended approach: bundle a baseline model for reliability and zero-dependency operation, with dynamic download as a Phase 2+ enhancement once the integrity-validation mechanism (signed model artifacts, verified against a published Cryptographic Service key before use) is built — not a Phase 0 requirement, since Phase 0's priority is proving the core flow works at all (Technical Requirements Document roadmap reference, Section 9.1 of the PRD).</w:t>
      </w:r>
    </w:p>
    <w:p>
      <w:pPr>
        <w:pStyle w:val="Heading1"/>
        <w:pageBreakBefore/>
        <w:spacing w:after="240" w:before="480"/>
      </w:pPr>
      <w:r>
        <w:rPr>
          <w:b/>
          <w:bCs/>
          <w:color w:val="1A2B4C"/>
          <w:sz w:val="32"/>
          <w:szCs w:val="32"/>
        </w:rPr>
        <w:t xml:space="preserve">7. Disaster Recovery (Revised Additions)</w:t>
      </w:r>
    </w:p>
    <w:p>
      <w:pPr>
        <w:spacing w:after="200" w:line="300"/>
        <w:jc w:val="both"/>
      </w:pPr>
      <w:r>
        <w:rPr>
          <w:sz w:val="21"/>
          <w:szCs w:val="21"/>
        </w:rPr>
        <w:t xml:space="preserve">Version 1.0's recovery objectives, backup strategy, and failure-scenario table (Document 5, Sections 7.1-7.3) are unchanged for point-in-time verticals and backend infrastructure generally. This section addresses a scenario Version 1.0 did not need to: what happens to an in-progress live call when Certivo's backend becomes unreachable.</w:t>
      </w:r>
    </w:p>
    <w:p>
      <w:pPr>
        <w:pStyle w:val="Heading2"/>
        <w:spacing w:after="180" w:before="360"/>
      </w:pPr>
      <w:r>
        <w:rPr>
          <w:b/>
          <w:bCs/>
          <w:color w:val="2E5EAA"/>
          <w:sz w:val="26"/>
          <w:szCs w:val="26"/>
        </w:rPr>
        <w:t xml:space="preserve">7.1 Backend unavailability during an active call</w:t>
      </w:r>
    </w:p>
    <w:p>
      <w:pPr>
        <w:spacing w:after="200" w:line="300"/>
        <w:jc w:val="both"/>
      </w:pPr>
      <w:r>
        <w:rPr>
          <w:sz w:val="21"/>
          <w:szCs w:val="21"/>
        </w:rPr>
        <w:t xml:space="preserve">Because ending or degrading a live call is a materially worse outcome than briefly pausing verification, the Edge Inference SDK is designed to continue local, on-device inference and buffer signed score packets locally when the Backend API Service is unreachable, rather than treating a missed transmission as a call-ending failure. On reconnection, buffered packets are submitted with their original timestamps intact, preserving an accurate verification history even across a connectivity gap — and if the gap exceeds a configured maximum, the resulting session-length attestation explicitly discloses the coverage gap rather than silently presenting the session as fully, continuously verified when it was not.</w:t>
      </w:r>
    </w:p>
    <w:p>
      <w:pPr>
        <w:pStyle w:val="Heading2"/>
        <w:spacing w:after="180" w:before="360"/>
      </w:pPr>
      <w:r>
        <w:rPr>
          <w:b/>
          <w:bCs/>
          <w:color w:val="2E5EAA"/>
          <w:sz w:val="26"/>
          <w:szCs w:val="26"/>
        </w:rPr>
        <w:t xml:space="preserve">7.2 Recovery objectives for continuous-verification-specific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800"/>
      </w:tblGrid>
      <w:tr>
        <w:trPr>
          <w:tblHeader/>
        </w:trPr>
        <w:tc>
          <w:tcPr>
            <w:tcW w:type="dxa" w:w="3400"/>
            <w:shd w:fill="1A2B4C" w:val="clear"/>
            <w:tcMar>
              <w:top w:type="dxa" w:w="100"/>
              <w:left w:type="dxa" w:w="140"/>
              <w:bottom w:type="dxa" w:w="100"/>
              <w:right w:type="dxa" w:w="140"/>
            </w:tcMar>
          </w:tcPr>
          <w:p>
            <w:r>
              <w:rPr>
                <w:b/>
                <w:bCs/>
                <w:color w:val="FFFFFF"/>
                <w:sz w:val="19"/>
                <w:szCs w:val="19"/>
              </w:rPr>
              <w:t xml:space="preserve">Component</w:t>
            </w:r>
          </w:p>
        </w:tc>
        <w:tc>
          <w:tcPr>
            <w:tcW w:type="dxa" w:w="2000"/>
            <w:shd w:fill="1A2B4C" w:val="clear"/>
            <w:tcMar>
              <w:top w:type="dxa" w:w="100"/>
              <w:left w:type="dxa" w:w="140"/>
              <w:bottom w:type="dxa" w:w="100"/>
              <w:right w:type="dxa" w:w="140"/>
            </w:tcMar>
          </w:tcPr>
          <w:p>
            <w:r>
              <w:rPr>
                <w:b/>
                <w:bCs/>
                <w:color w:val="FFFFFF"/>
                <w:sz w:val="19"/>
                <w:szCs w:val="19"/>
              </w:rPr>
              <w:t xml:space="preserve">RTO</w:t>
            </w:r>
          </w:p>
        </w:tc>
        <w:tc>
          <w:tcPr>
            <w:tcW w:type="dxa" w:w="2000"/>
            <w:shd w:fill="1A2B4C" w:val="clear"/>
            <w:tcMar>
              <w:top w:type="dxa" w:w="100"/>
              <w:left w:type="dxa" w:w="140"/>
              <w:bottom w:type="dxa" w:w="100"/>
              <w:right w:type="dxa" w:w="140"/>
            </w:tcMar>
          </w:tcPr>
          <w:p>
            <w:r>
              <w:rPr>
                <w:b/>
                <w:bCs/>
                <w:color w:val="FFFFFF"/>
                <w:sz w:val="19"/>
                <w:szCs w:val="19"/>
              </w:rPr>
              <w:t xml:space="preserve">RPO</w:t>
            </w:r>
          </w:p>
        </w:tc>
        <w:tc>
          <w:tcPr>
            <w:tcW w:type="dxa" w:w="1800"/>
            <w:shd w:fill="1A2B4C" w:val="clear"/>
            <w:tcMar>
              <w:top w:type="dxa" w:w="100"/>
              <w:left w:type="dxa" w:w="140"/>
              <w:bottom w:type="dxa" w:w="100"/>
              <w:right w:type="dxa" w:w="140"/>
            </w:tcMar>
          </w:tcPr>
          <w:p>
            <w:r>
              <w:rPr>
                <w:b/>
                <w:bCs/>
                <w:color w:val="FFFFFF"/>
                <w:sz w:val="19"/>
                <w:szCs w:val="19"/>
              </w:rPr>
              <w:t xml:space="preserve">Notes</w:t>
            </w:r>
          </w:p>
        </w:tc>
      </w:tr>
      <w:tr>
        <w:tc>
          <w:tcPr>
            <w:tcW w:type="dxa" w:w="3400"/>
            <w:shd w:fill="F4F6F9" w:val="clear"/>
            <w:tcMar>
              <w:top w:type="dxa" w:w="100"/>
              <w:left w:type="dxa" w:w="140"/>
              <w:bottom w:type="dxa" w:w="100"/>
              <w:right w:type="dxa" w:w="140"/>
            </w:tcMar>
          </w:tcPr>
          <w:p>
            <w:r>
              <w:rPr>
                <w:sz w:val="19"/>
                <w:szCs w:val="19"/>
              </w:rPr>
              <w:t xml:space="preserve">Backend API Service (score-event ingestion)</w:t>
            </w:r>
          </w:p>
        </w:tc>
        <w:tc>
          <w:tcPr>
            <w:tcW w:type="dxa" w:w="2000"/>
            <w:shd w:fill="F4F6F9" w:val="clear"/>
            <w:tcMar>
              <w:top w:type="dxa" w:w="100"/>
              <w:left w:type="dxa" w:w="140"/>
              <w:bottom w:type="dxa" w:w="100"/>
              <w:right w:type="dxa" w:w="140"/>
            </w:tcMar>
          </w:tcPr>
          <w:p>
            <w:r>
              <w:rPr>
                <w:sz w:val="19"/>
                <w:szCs w:val="19"/>
              </w:rPr>
              <w:t xml:space="preserve">Under 1 hour (Tier 1, per Version 1.0 Table 7.1)</w:t>
            </w:r>
          </w:p>
        </w:tc>
        <w:tc>
          <w:tcPr>
            <w:tcW w:type="dxa" w:w="2000"/>
            <w:shd w:fill="F4F6F9" w:val="clear"/>
            <w:tcMar>
              <w:top w:type="dxa" w:w="100"/>
              <w:left w:type="dxa" w:w="140"/>
              <w:bottom w:type="dxa" w:w="100"/>
              <w:right w:type="dxa" w:w="140"/>
            </w:tcMar>
          </w:tcPr>
          <w:p>
            <w:r>
              <w:rPr>
                <w:sz w:val="19"/>
                <w:szCs w:val="19"/>
              </w:rPr>
              <w:t xml:space="preserve">Buffered client-side per Section 7.1 — effectively near-zero loss for short outages</w:t>
            </w:r>
          </w:p>
        </w:tc>
        <w:tc>
          <w:tcPr>
            <w:tcW w:type="dxa" w:w="1800"/>
            <w:shd w:fill="F4F6F9" w:val="clear"/>
            <w:tcMar>
              <w:top w:type="dxa" w:w="100"/>
              <w:left w:type="dxa" w:w="140"/>
              <w:bottom w:type="dxa" w:w="100"/>
              <w:right w:type="dxa" w:w="140"/>
            </w:tcMar>
          </w:tcPr>
          <w:p>
            <w:r>
              <w:rPr>
                <w:sz w:val="19"/>
                <w:szCs w:val="19"/>
              </w:rPr>
              <w:t xml:space="preserve">A brief outage degrades to the disclosed-coverage-gap behavior above rather than failing calls outright</w:t>
            </w:r>
          </w:p>
        </w:tc>
      </w:tr>
      <w:tr>
        <w:tc>
          <w:tcPr>
            <w:tcW w:type="dxa" w:w="3400"/>
            <w:shd w:fill="FFFFFF" w:val="clear"/>
            <w:tcMar>
              <w:top w:type="dxa" w:w="100"/>
              <w:left w:type="dxa" w:w="140"/>
              <w:bottom w:type="dxa" w:w="100"/>
              <w:right w:type="dxa" w:w="140"/>
            </w:tcMar>
          </w:tcPr>
          <w:p>
            <w:r>
              <w:rPr>
                <w:sz w:val="19"/>
                <w:szCs w:val="19"/>
              </w:rPr>
              <w:t xml:space="preserve">Cryptographic Service (session-length attestation signing)</w:t>
            </w:r>
          </w:p>
        </w:tc>
        <w:tc>
          <w:tcPr>
            <w:tcW w:type="dxa" w:w="2000"/>
            <w:shd w:fill="FFFFFF" w:val="clear"/>
            <w:tcMar>
              <w:top w:type="dxa" w:w="100"/>
              <w:left w:type="dxa" w:w="140"/>
              <w:bottom w:type="dxa" w:w="100"/>
              <w:right w:type="dxa" w:w="140"/>
            </w:tcMar>
          </w:tcPr>
          <w:p>
            <w:r>
              <w:rPr>
                <w:sz w:val="19"/>
                <w:szCs w:val="19"/>
              </w:rPr>
              <w:t xml:space="preserve">Under 1 hour (Tier 1)</w:t>
            </w:r>
          </w:p>
        </w:tc>
        <w:tc>
          <w:tcPr>
            <w:tcW w:type="dxa" w:w="2000"/>
            <w:shd w:fill="FFFFFF" w:val="clear"/>
            <w:tcMar>
              <w:top w:type="dxa" w:w="100"/>
              <w:left w:type="dxa" w:w="140"/>
              <w:bottom w:type="dxa" w:w="100"/>
              <w:right w:type="dxa" w:w="140"/>
            </w:tcMar>
          </w:tcPr>
          <w:p>
            <w:r>
              <w:rPr>
                <w:sz w:val="19"/>
                <w:szCs w:val="19"/>
              </w:rPr>
              <w:t xml:space="preserve">Under 5 minutes</w:t>
            </w:r>
          </w:p>
        </w:tc>
        <w:tc>
          <w:tcPr>
            <w:tcW w:type="dxa" w:w="1800"/>
            <w:shd w:fill="FFFFFF" w:val="clear"/>
            <w:tcMar>
              <w:top w:type="dxa" w:w="100"/>
              <w:left w:type="dxa" w:w="140"/>
              <w:bottom w:type="dxa" w:w="100"/>
              <w:right w:type="dxa" w:w="140"/>
            </w:tcMar>
          </w:tcPr>
          <w:p>
            <w:r>
              <w:rPr>
                <w:sz w:val="19"/>
                <w:szCs w:val="19"/>
              </w:rPr>
              <w:t xml:space="preserve">A call that ends while this service is unavailable queues its attestation-signing request for retry rather than failing to produce a session record at all</w:t>
            </w:r>
          </w:p>
        </w:tc>
      </w:tr>
    </w:tbl>
    <w:p>
      <w:pPr>
        <w:spacing w:after="260" w:before="80"/>
      </w:pPr>
      <w:r>
        <w:rPr>
          <w:i/>
          <w:iCs/>
          <w:color w:val="6B7280"/>
          <w:sz w:val="18"/>
          <w:szCs w:val="18"/>
        </w:rPr>
        <w:t xml:space="preserve">Table 7.1 — Recovery objectives for continuous-verification-specific components, extending Version 1.0's Table 7.1.</w:t>
      </w:r>
    </w:p>
    <w:p>
      <w:pPr>
        <w:pStyle w:val="Heading2"/>
        <w:spacing w:after="180" w:before="360"/>
      </w:pPr>
      <w:r>
        <w:rPr>
          <w:b/>
          <w:bCs/>
          <w:color w:val="2E5EAA"/>
          <w:sz w:val="26"/>
          <w:szCs w:val="26"/>
        </w:rPr>
        <w:t xml:space="preserve">7.3 A new failure scenario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400"/>
      </w:tblGrid>
      <w:tr>
        <w:trPr>
          <w:tblHeader/>
        </w:trPr>
        <w:tc>
          <w:tcPr>
            <w:tcW w:type="dxa" w:w="3600"/>
            <w:shd w:fill="1A2B4C" w:val="clear"/>
            <w:tcMar>
              <w:top w:type="dxa" w:w="100"/>
              <w:left w:type="dxa" w:w="140"/>
              <w:bottom w:type="dxa" w:w="100"/>
              <w:right w:type="dxa" w:w="140"/>
            </w:tcMar>
          </w:tcPr>
          <w:p>
            <w:r>
              <w:rPr>
                <w:b/>
                <w:bCs/>
                <w:color w:val="FFFFFF"/>
                <w:sz w:val="19"/>
                <w:szCs w:val="19"/>
              </w:rPr>
              <w:t xml:space="preserve">Scenario</w:t>
            </w:r>
          </w:p>
        </w:tc>
        <w:tc>
          <w:tcPr>
            <w:tcW w:type="dxa" w:w="3000"/>
            <w:shd w:fill="1A2B4C" w:val="clear"/>
            <w:tcMar>
              <w:top w:type="dxa" w:w="100"/>
              <w:left w:type="dxa" w:w="140"/>
              <w:bottom w:type="dxa" w:w="100"/>
              <w:right w:type="dxa" w:w="140"/>
            </w:tcMar>
          </w:tcPr>
          <w:p>
            <w:r>
              <w:rPr>
                <w:b/>
                <w:bCs/>
                <w:color w:val="FFFFFF"/>
                <w:sz w:val="19"/>
                <w:szCs w:val="19"/>
              </w:rPr>
              <w:t xml:space="preserve">Detection</w:t>
            </w:r>
          </w:p>
        </w:tc>
        <w:tc>
          <w:tcPr>
            <w:tcW w:type="dxa" w:w="3400"/>
            <w:shd w:fill="1A2B4C" w:val="clear"/>
            <w:tcMar>
              <w:top w:type="dxa" w:w="100"/>
              <w:left w:type="dxa" w:w="140"/>
              <w:bottom w:type="dxa" w:w="100"/>
              <w:right w:type="dxa" w:w="140"/>
            </w:tcMar>
          </w:tcPr>
          <w:p>
            <w:r>
              <w:rPr>
                <w:b/>
                <w:bCs/>
                <w:color w:val="FFFFFF"/>
                <w:sz w:val="19"/>
                <w:szCs w:val="19"/>
              </w:rPr>
              <w:t xml:space="preserve">Response</w:t>
            </w:r>
          </w:p>
        </w:tc>
      </w:tr>
      <w:tr>
        <w:tc>
          <w:tcPr>
            <w:tcW w:type="dxa" w:w="3600"/>
            <w:shd w:fill="F4F6F9" w:val="clear"/>
            <w:tcMar>
              <w:top w:type="dxa" w:w="100"/>
              <w:left w:type="dxa" w:w="140"/>
              <w:bottom w:type="dxa" w:w="100"/>
              <w:right w:type="dxa" w:w="140"/>
            </w:tcMar>
          </w:tcPr>
          <w:p>
            <w:r>
              <w:rPr>
                <w:sz w:val="19"/>
                <w:szCs w:val="19"/>
              </w:rPr>
              <w:t xml:space="preserve">Widespread SDK-side failure across a specific device/OS version (e.g. an OS update breaks the edge model runtime)</w:t>
            </w:r>
          </w:p>
        </w:tc>
        <w:tc>
          <w:tcPr>
            <w:tcW w:type="dxa" w:w="3000"/>
            <w:shd w:fill="F4F6F9" w:val="clear"/>
            <w:tcMar>
              <w:top w:type="dxa" w:w="100"/>
              <w:left w:type="dxa" w:w="140"/>
              <w:bottom w:type="dxa" w:w="100"/>
              <w:right w:type="dxa" w:w="140"/>
            </w:tcMar>
          </w:tcPr>
          <w:p>
            <w:r>
              <w:rPr>
                <w:sz w:val="19"/>
                <w:szCs w:val="19"/>
              </w:rPr>
              <w:t xml:space="preserve">A spike in client-reported errors or a drop in score-event volume concentrated in a specific device/OS segment, visible via the SDK telemetry (Technical Requirements Document, Section 2.6)</w:t>
            </w:r>
          </w:p>
        </w:tc>
        <w:tc>
          <w:tcPr>
            <w:tcW w:type="dxa" w:w="3400"/>
            <w:shd w:fill="F4F6F9" w:val="clear"/>
            <w:tcMar>
              <w:top w:type="dxa" w:w="100"/>
              <w:left w:type="dxa" w:w="140"/>
              <w:bottom w:type="dxa" w:w="100"/>
              <w:right w:type="dxa" w:w="140"/>
            </w:tcMar>
          </w:tcPr>
          <w:p>
            <w:r>
              <w:rPr>
                <w:sz w:val="19"/>
                <w:szCs w:val="19"/>
              </w:rPr>
              <w:t xml:space="preserve">Partner platforms are notified per the Notification Service; affected sessions fall back to the partner's configured degraded behavior (Technical Requirements Document, Section 2.4's 'verification paused' state) rather than silently failing; a hotfix SDK release is prioritized, acknowledging the rollout-speed limitation described in Section 6.2.</w:t>
            </w:r>
          </w:p>
        </w:tc>
      </w:tr>
    </w:tbl>
    <w:p>
      <w:pPr>
        <w:spacing w:after="260" w:before="80"/>
      </w:pPr>
      <w:r>
        <w:rPr>
          <w:i/>
          <w:iCs/>
          <w:color w:val="6B7280"/>
          <w:sz w:val="18"/>
          <w:szCs w:val="18"/>
        </w:rPr>
        <w:t xml:space="preserve">Table 7.2 — New disaster-recovery failure scenario specific to edge-distributed inference.</w:t>
      </w:r>
    </w:p>
    <w:p>
      <w:pPr>
        <w:pStyle w:val="Heading1"/>
        <w:pageBreakBefore/>
        <w:spacing w:after="240" w:before="480"/>
      </w:pPr>
      <w:r>
        <w:rPr>
          <w:b/>
          <w:bCs/>
          <w:color w:val="1A2B4C"/>
          <w:sz w:val="32"/>
          <w:szCs w:val="32"/>
        </w:rPr>
        <w:t xml:space="preserve">9. Appendix: Diagram-to-Requirement Traceability (Revised)</w:t>
      </w:r>
    </w:p>
    <w:p>
      <w:pPr>
        <w:spacing w:after="200" w:line="300"/>
        <w:jc w:val="both"/>
      </w:pPr>
      <w:r>
        <w:rPr>
          <w:sz w:val="21"/>
          <w:szCs w:val="21"/>
        </w:rPr>
        <w:t xml:space="preserve">Extends Version 1.0's traceability appendix with the new diagrams introduced in this revision.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shd w:fill="1A2B4C" w:val="clear"/>
            <w:tcMar>
              <w:top w:type="dxa" w:w="100"/>
              <w:left w:type="dxa" w:w="140"/>
              <w:bottom w:type="dxa" w:w="100"/>
              <w:right w:type="dxa" w:w="140"/>
            </w:tcMar>
          </w:tcPr>
          <w:p>
            <w:r>
              <w:rPr>
                <w:b/>
                <w:bCs/>
                <w:color w:val="FFFFFF"/>
                <w:sz w:val="19"/>
                <w:szCs w:val="19"/>
              </w:rPr>
              <w:t xml:space="preserve">Diagram</w:t>
            </w:r>
          </w:p>
        </w:tc>
        <w:tc>
          <w:tcPr>
            <w:tcW w:type="dxa" w:w="5600"/>
            <w:shd w:fill="1A2B4C" w:val="clear"/>
            <w:tcMar>
              <w:top w:type="dxa" w:w="100"/>
              <w:left w:type="dxa" w:w="140"/>
              <w:bottom w:type="dxa" w:w="100"/>
              <w:right w:type="dxa" w:w="140"/>
            </w:tcMar>
          </w:tcPr>
          <w:p>
            <w:r>
              <w:rPr>
                <w:b/>
                <w:bCs/>
                <w:color w:val="FFFFFF"/>
                <w:sz w:val="19"/>
                <w:szCs w:val="19"/>
              </w:rPr>
              <w:t xml:space="preserve">Governing requirement(s)</w:t>
            </w:r>
          </w:p>
        </w:tc>
      </w:tr>
      <w:tr>
        <w:tc>
          <w:tcPr>
            <w:tcW w:type="dxa" w:w="3800"/>
            <w:shd w:fill="F4F6F9" w:val="clear"/>
            <w:tcMar>
              <w:top w:type="dxa" w:w="100"/>
              <w:left w:type="dxa" w:w="140"/>
              <w:bottom w:type="dxa" w:w="100"/>
              <w:right w:type="dxa" w:w="140"/>
            </w:tcMar>
          </w:tcPr>
          <w:p>
            <w:r>
              <w:rPr>
                <w:sz w:val="19"/>
                <w:szCs w:val="19"/>
              </w:rPr>
              <w:t xml:space="preserve">Figure 5.1 — Continuous verification flow</w:t>
            </w:r>
          </w:p>
        </w:tc>
        <w:tc>
          <w:tcPr>
            <w:tcW w:type="dxa" w:w="5600"/>
            <w:shd w:fill="F4F6F9" w:val="clear"/>
            <w:tcMar>
              <w:top w:type="dxa" w:w="100"/>
              <w:left w:type="dxa" w:w="140"/>
              <w:bottom w:type="dxa" w:w="100"/>
              <w:right w:type="dxa" w:w="140"/>
            </w:tcMar>
          </w:tcPr>
          <w:p>
            <w:r>
              <w:rPr>
                <w:sz w:val="19"/>
                <w:szCs w:val="19"/>
              </w:rPr>
              <w:t xml:space="preserve">PRD FR-C.1-C.6; Technical Requirements Document Section 2</w:t>
            </w:r>
          </w:p>
        </w:tc>
      </w:tr>
      <w:tr>
        <w:tc>
          <w:tcPr>
            <w:tcW w:type="dxa" w:w="3800"/>
            <w:shd w:fill="FFFFFF" w:val="clear"/>
            <w:tcMar>
              <w:top w:type="dxa" w:w="100"/>
              <w:left w:type="dxa" w:w="140"/>
              <w:bottom w:type="dxa" w:w="100"/>
              <w:right w:type="dxa" w:w="140"/>
            </w:tcMar>
          </w:tcPr>
          <w:p>
            <w:r>
              <w:rPr>
                <w:sz w:val="19"/>
                <w:szCs w:val="19"/>
              </w:rPr>
              <w:t xml:space="preserve">Figure 5.2 — Mid-call injection detection and response</w:t>
            </w:r>
          </w:p>
        </w:tc>
        <w:tc>
          <w:tcPr>
            <w:tcW w:type="dxa" w:w="5600"/>
            <w:shd w:fill="FFFFFF" w:val="clear"/>
            <w:tcMar>
              <w:top w:type="dxa" w:w="100"/>
              <w:left w:type="dxa" w:w="140"/>
              <w:bottom w:type="dxa" w:w="100"/>
              <w:right w:type="dxa" w:w="140"/>
            </w:tcMar>
          </w:tcPr>
          <w:p>
            <w:r>
              <w:rPr>
                <w:sz w:val="19"/>
                <w:szCs w:val="19"/>
              </w:rPr>
              <w:t xml:space="preserve">PRD FR-C.3, FR-C.8</w:t>
            </w:r>
          </w:p>
        </w:tc>
      </w:tr>
      <w:tr>
        <w:tc>
          <w:tcPr>
            <w:tcW w:type="dxa" w:w="3800"/>
            <w:shd w:fill="F4F6F9" w:val="clear"/>
            <w:tcMar>
              <w:top w:type="dxa" w:w="100"/>
              <w:left w:type="dxa" w:w="140"/>
              <w:bottom w:type="dxa" w:w="100"/>
              <w:right w:type="dxa" w:w="140"/>
            </w:tcMar>
          </w:tcPr>
          <w:p>
            <w:r>
              <w:rPr>
                <w:sz w:val="19"/>
                <w:szCs w:val="19"/>
              </w:rPr>
              <w:t xml:space="preserve">Figure 5.3 — Trusted Device Token issuance</w:t>
            </w:r>
          </w:p>
        </w:tc>
        <w:tc>
          <w:tcPr>
            <w:tcW w:type="dxa" w:w="5600"/>
            <w:shd w:fill="F4F6F9" w:val="clear"/>
            <w:tcMar>
              <w:top w:type="dxa" w:w="100"/>
              <w:left w:type="dxa" w:w="140"/>
              <w:bottom w:type="dxa" w:w="100"/>
              <w:right w:type="dxa" w:w="140"/>
            </w:tcMar>
          </w:tcPr>
          <w:p>
            <w:r>
              <w:rPr>
                <w:sz w:val="19"/>
                <w:szCs w:val="19"/>
              </w:rPr>
              <w:t xml:space="preserve">PRD FR-D.1, FR-D.3, FR-5.6; Technical Requirements Document Section 8</w:t>
            </w:r>
          </w:p>
        </w:tc>
      </w:tr>
      <w:tr>
        <w:tc>
          <w:tcPr>
            <w:tcW w:type="dxa" w:w="3800"/>
            <w:shd w:fill="FFFFFF" w:val="clear"/>
            <w:tcMar>
              <w:top w:type="dxa" w:w="100"/>
              <w:left w:type="dxa" w:w="140"/>
              <w:bottom w:type="dxa" w:w="100"/>
              <w:right w:type="dxa" w:w="140"/>
            </w:tcMar>
          </w:tcPr>
          <w:p>
            <w:r>
              <w:rPr>
                <w:sz w:val="19"/>
                <w:szCs w:val="19"/>
              </w:rPr>
              <w:t xml:space="preserve">Figure 5.4 — Trusted Device Token validation and reuse</w:t>
            </w:r>
          </w:p>
        </w:tc>
        <w:tc>
          <w:tcPr>
            <w:tcW w:type="dxa" w:w="5600"/>
            <w:shd w:fill="FFFFFF" w:val="clear"/>
            <w:tcMar>
              <w:top w:type="dxa" w:w="100"/>
              <w:left w:type="dxa" w:w="140"/>
              <w:bottom w:type="dxa" w:w="100"/>
              <w:right w:type="dxa" w:w="140"/>
            </w:tcMar>
          </w:tcPr>
          <w:p>
            <w:r>
              <w:rPr>
                <w:sz w:val="19"/>
                <w:szCs w:val="19"/>
              </w:rPr>
              <w:t xml:space="preserve">PRD FR-D.2</w:t>
            </w:r>
          </w:p>
        </w:tc>
      </w:tr>
      <w:tr>
        <w:tc>
          <w:tcPr>
            <w:tcW w:type="dxa" w:w="3800"/>
            <w:shd w:fill="F4F6F9" w:val="clear"/>
            <w:tcMar>
              <w:top w:type="dxa" w:w="100"/>
              <w:left w:type="dxa" w:w="140"/>
              <w:bottom w:type="dxa" w:w="100"/>
              <w:right w:type="dxa" w:w="140"/>
            </w:tcMar>
          </w:tcPr>
          <w:p>
            <w:r>
              <w:rPr>
                <w:sz w:val="19"/>
                <w:szCs w:val="19"/>
              </w:rPr>
              <w:t xml:space="preserve">Figure 5.5 — Device-switch detection</w:t>
            </w:r>
          </w:p>
        </w:tc>
        <w:tc>
          <w:tcPr>
            <w:tcW w:type="dxa" w:w="5600"/>
            <w:shd w:fill="F4F6F9" w:val="clear"/>
            <w:tcMar>
              <w:top w:type="dxa" w:w="100"/>
              <w:left w:type="dxa" w:w="140"/>
              <w:bottom w:type="dxa" w:w="100"/>
              <w:right w:type="dxa" w:w="140"/>
            </w:tcMar>
          </w:tcPr>
          <w:p>
            <w:r>
              <w:rPr>
                <w:sz w:val="19"/>
                <w:szCs w:val="19"/>
              </w:rPr>
              <w:t xml:space="preserve">PRD FR-D.6</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System Design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2026-07-06T06:51:37.104Z</dcterms:created>
  <dcterms:modified xsi:type="dcterms:W3CDTF">2026-07-06T06:51:37.119Z</dcterms:modified>
</cp:coreProperties>
</file>

<file path=docProps/custom.xml><?xml version="1.0" encoding="utf-8"?>
<Properties xmlns="http://schemas.openxmlformats.org/officeDocument/2006/custom-properties" xmlns:vt="http://schemas.openxmlformats.org/officeDocument/2006/docPropsVTypes"/>
</file>