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A2B4C"/>
          <w:sz w:val="72"/>
          <w:szCs w:val="72"/>
        </w:rPr>
        <w:t xml:space="preserve">CERTIVO</w:t>
      </w:r>
    </w:p>
    <w:p>
      <w:pPr>
        <w:spacing w:after="200" w:before="200"/>
        <w:jc w:val="center"/>
      </w:pPr>
      <w:r>
        <w:rPr>
          <w:i/>
          <w:iCs/>
          <w:color w:val="2E5EAA"/>
          <w:sz w:val="26"/>
          <w:szCs w:val="26"/>
        </w:rPr>
        <w:t xml:space="preserve">Trust Infrastructure for the Age of Artificial Intelligence</w:t>
      </w:r>
    </w:p>
    <w:p>
      <w:pPr>
        <w:spacing w:before="800"/>
        <w:jc w:val="center"/>
      </w:pPr>
      <w:r>
        <w:rPr>
          <w:b/>
          <w:bCs/>
          <w:color w:val="6B7280"/>
          <w:sz w:val="32"/>
          <w:szCs w:val="32"/>
        </w:rPr>
        <w:t xml:space="preserve">AI RESEARCH SPECIFICATION</w:t>
      </w:r>
    </w:p>
    <w:p>
      <w:pPr>
        <w:spacing w:before="200"/>
        <w:jc w:val="center"/>
      </w:pPr>
      <w:r>
        <w:rPr>
          <w:color w:val="6B7280"/>
          <w:sz w:val="20"/>
          <w:szCs w:val="20"/>
        </w:rPr>
        <w:t xml:space="preserve">Document 8 of 18 — Phase 3: Machine Learning — Version 2.0</w:t>
      </w:r>
    </w:p>
    <w:p>
      <w:pPr>
        <w:spacing w:before="100"/>
        <w:jc w:val="center"/>
      </w:pPr>
      <w:r>
        <w:rPr>
          <w:color w:val="6B7280"/>
          <w:sz w:val="18"/>
          <w:szCs w:val="18"/>
        </w:rPr>
        <w:t xml:space="preserve">Version 1.0  |  Confidential  |  Internal Use</w:t>
      </w:r>
    </w:p>
    <w:p>
      <w:r>
        <w:br w:type="page"/>
      </w:r>
    </w:p>
    <w:p>
      <w:pPr>
        <w:pStyle w:val="Heading1"/>
        <w:spacing w:after="240" w:before="480"/>
      </w:pPr>
      <w:r>
        <w:rPr>
          <w:b/>
          <w:bCs/>
          <w:color w:val="1A2B4C"/>
          <w:sz w:val="32"/>
          <w:szCs w:val="32"/>
        </w:rPr>
        <w:t xml:space="preserve">Revision Note (Version 2.0)</w:t>
      </w:r>
    </w:p>
    <w:p>
      <w:pPr>
        <w:spacing w:after="200" w:line="300"/>
        <w:jc w:val="both"/>
      </w:pPr>
      <w:r>
        <w:rPr>
          <w:sz w:val="21"/>
          <w:szCs w:val="21"/>
        </w:rPr>
        <w:t xml:space="preserve">This document supersedes Version 1.0. On-device inference — filed under Future Research in Version 1.0 (Section 9.1) — is now the flagship's core, immediate requirement, not a future ambition, and this revision moves it into the document's main body accordingly. It adds three genuinely new research areas the point-in-time flagship never required: model compression for edge deployment, temporal change-point detection (distinct from Version 1.0's whole-clip temporal analysis), and real-time codec robustness. It also adds cross-platform consistency as a research question in its own right.</w:t>
      </w:r>
    </w:p>
    <w:p>
      <w:pPr>
        <w:pStyle w:val="Heading1"/>
        <w:pageBreakBefore/>
        <w:spacing w:after="240" w:before="480"/>
      </w:pPr>
      <w:r>
        <w:rPr>
          <w:b/>
          <w:bCs/>
          <w:color w:val="1A2B4C"/>
          <w:sz w:val="32"/>
          <w:szCs w:val="32"/>
        </w:rPr>
        <w:t xml:space="preserve">2. Model Compression and Edge Deployment (New — Promoted from Future Research)</w:t>
      </w:r>
    </w:p>
    <w:p>
      <w:pPr>
        <w:spacing w:after="200" w:line="300"/>
        <w:jc w:val="both"/>
      </w:pPr>
      <w:r>
        <w:rPr>
          <w:sz w:val="21"/>
          <w:szCs w:val="21"/>
        </w:rPr>
        <w:t xml:space="preserve">This is now the single highest-priority research area given the flagship, since every edge model (ML Architecture, Document 7, Section 2.1) depends on it working well.</w:t>
      </w:r>
    </w:p>
    <w:p>
      <w:pPr>
        <w:pStyle w:val="Heading2"/>
        <w:spacing w:after="180" w:before="360"/>
      </w:pPr>
      <w:r>
        <w:rPr>
          <w:b/>
          <w:bCs/>
          <w:color w:val="2E5EAA"/>
          <w:sz w:val="26"/>
          <w:szCs w:val="26"/>
        </w:rPr>
        <w:t xml:space="preserve">2.1 Technique families under consideration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1A2B4C" w:val="clear"/>
            <w:tcMar>
              <w:top w:type="dxa" w:w="100"/>
              <w:left w:type="dxa" w:w="140"/>
              <w:bottom w:type="dxa" w:w="100"/>
              <w:right w:type="dxa" w:w="140"/>
            </w:tcMar>
          </w:tcPr>
          <w:p>
            <w:r>
              <w:rPr>
                <w:b/>
                <w:bCs/>
                <w:color w:val="FFFFFF"/>
                <w:sz w:val="19"/>
                <w:szCs w:val="19"/>
              </w:rPr>
              <w:t xml:space="preserve">Technique family</w:t>
            </w:r>
          </w:p>
        </w:tc>
        <w:tc>
          <w:tcPr>
            <w:tcW w:type="dxa" w:w="3600"/>
            <w:shd w:fill="1A2B4C" w:val="clear"/>
            <w:tcMar>
              <w:top w:type="dxa" w:w="100"/>
              <w:left w:type="dxa" w:w="140"/>
              <w:bottom w:type="dxa" w:w="100"/>
              <w:right w:type="dxa" w:w="140"/>
            </w:tcMar>
          </w:tcPr>
          <w:p>
            <w:r>
              <w:rPr>
                <w:b/>
                <w:bCs/>
                <w:color w:val="FFFFFF"/>
                <w:sz w:val="19"/>
                <w:szCs w:val="19"/>
              </w:rPr>
              <w:t xml:space="preserve">Core idea</w:t>
            </w:r>
          </w:p>
        </w:tc>
        <w:tc>
          <w:tcPr>
            <w:tcW w:type="dxa" w:w="3200"/>
            <w:shd w:fill="1A2B4C" w:val="clear"/>
            <w:tcMar>
              <w:top w:type="dxa" w:w="100"/>
              <w:left w:type="dxa" w:w="140"/>
              <w:bottom w:type="dxa" w:w="100"/>
              <w:right w:type="dxa" w:w="140"/>
            </w:tcMar>
          </w:tcPr>
          <w:p>
            <w:r>
              <w:rPr>
                <w:b/>
                <w:bCs/>
                <w:color w:val="FFFFFF"/>
                <w:sz w:val="19"/>
                <w:szCs w:val="19"/>
              </w:rPr>
              <w:t xml:space="preserve">Research status for Certivo</w:t>
            </w:r>
          </w:p>
        </w:tc>
      </w:tr>
      <w:tr>
        <w:tc>
          <w:tcPr>
            <w:tcW w:type="dxa" w:w="2400"/>
            <w:shd w:fill="F4F6F9" w:val="clear"/>
            <w:tcMar>
              <w:top w:type="dxa" w:w="100"/>
              <w:left w:type="dxa" w:w="140"/>
              <w:bottom w:type="dxa" w:w="100"/>
              <w:right w:type="dxa" w:w="140"/>
            </w:tcMar>
          </w:tcPr>
          <w:p>
            <w:r>
              <w:rPr>
                <w:sz w:val="19"/>
                <w:szCs w:val="19"/>
              </w:rPr>
              <w:t xml:space="preserve">Knowledge distillation</w:t>
            </w:r>
          </w:p>
        </w:tc>
        <w:tc>
          <w:tcPr>
            <w:tcW w:type="dxa" w:w="3600"/>
            <w:shd w:fill="F4F6F9" w:val="clear"/>
            <w:tcMar>
              <w:top w:type="dxa" w:w="100"/>
              <w:left w:type="dxa" w:w="140"/>
              <w:bottom w:type="dxa" w:w="100"/>
              <w:right w:type="dxa" w:w="140"/>
            </w:tcMar>
          </w:tcPr>
          <w:p>
            <w:r>
              <w:rPr>
                <w:sz w:val="19"/>
                <w:szCs w:val="19"/>
              </w:rPr>
              <w:t xml:space="preserve">Train a small 'student' model to approximate a larger, already-validated 'teacher' model's behavior, per ML Architecture (Document 7, Section 2.1)'s chosen approach.</w:t>
            </w:r>
          </w:p>
        </w:tc>
        <w:tc>
          <w:tcPr>
            <w:tcW w:type="dxa" w:w="3200"/>
            <w:shd w:fill="F4F6F9" w:val="clear"/>
            <w:tcMar>
              <w:top w:type="dxa" w:w="100"/>
              <w:left w:type="dxa" w:w="140"/>
              <w:bottom w:type="dxa" w:w="100"/>
              <w:right w:type="dxa" w:w="140"/>
            </w:tcMar>
          </w:tcPr>
          <w:p>
            <w:r>
              <w:rPr>
                <w:sz w:val="19"/>
                <w:szCs w:val="19"/>
              </w:rPr>
              <w:t xml:space="preserve">Primary technique in active use; open research question is how much of the teacher's calibration quality (not just raw accuracy) survives distillation, since calibration matters as much as accuracy per the constitution's explainability principle.</w:t>
            </w:r>
          </w:p>
        </w:tc>
      </w:tr>
      <w:tr>
        <w:tc>
          <w:tcPr>
            <w:tcW w:type="dxa" w:w="2400"/>
            <w:shd w:fill="FFFFFF" w:val="clear"/>
            <w:tcMar>
              <w:top w:type="dxa" w:w="100"/>
              <w:left w:type="dxa" w:w="140"/>
              <w:bottom w:type="dxa" w:w="100"/>
              <w:right w:type="dxa" w:w="140"/>
            </w:tcMar>
          </w:tcPr>
          <w:p>
            <w:r>
              <w:rPr>
                <w:sz w:val="19"/>
                <w:szCs w:val="19"/>
              </w:rPr>
              <w:t xml:space="preserve">Quantization (e.g. int8 or float16 weight/activation precision)</w:t>
            </w:r>
          </w:p>
        </w:tc>
        <w:tc>
          <w:tcPr>
            <w:tcW w:type="dxa" w:w="3600"/>
            <w:shd w:fill="FFFFFF" w:val="clear"/>
            <w:tcMar>
              <w:top w:type="dxa" w:w="100"/>
              <w:left w:type="dxa" w:w="140"/>
              <w:bottom w:type="dxa" w:w="100"/>
              <w:right w:type="dxa" w:w="140"/>
            </w:tcMar>
          </w:tcPr>
          <w:p>
            <w:r>
              <w:rPr>
                <w:sz w:val="19"/>
                <w:szCs w:val="19"/>
              </w:rPr>
              <w:t xml:space="preserve">Reduce model size and inference cost by representing weights/activations with fewer bits, at some accuracy cost.</w:t>
            </w:r>
          </w:p>
        </w:tc>
        <w:tc>
          <w:tcPr>
            <w:tcW w:type="dxa" w:w="3200"/>
            <w:shd w:fill="FFFFFF" w:val="clear"/>
            <w:tcMar>
              <w:top w:type="dxa" w:w="100"/>
              <w:left w:type="dxa" w:w="140"/>
              <w:bottom w:type="dxa" w:w="100"/>
              <w:right w:type="dxa" w:w="140"/>
            </w:tcMar>
          </w:tcPr>
          <w:p>
            <w:r>
              <w:rPr>
                <w:sz w:val="19"/>
                <w:szCs w:val="19"/>
              </w:rPr>
              <w:t xml:space="preserve">Directly relevant to the model-size requirement (Technical Requirements Document, Table 2.1); research priority is measuring accuracy degradation specifically on the hardest, adversarial examples, not only average-case accuracy, since a model that quantizes well on average but poorly on hard cases would be a dangerous trade to make silently.</w:t>
            </w:r>
          </w:p>
        </w:tc>
      </w:tr>
      <w:tr>
        <w:tc>
          <w:tcPr>
            <w:tcW w:type="dxa" w:w="2400"/>
            <w:shd w:fill="F4F6F9" w:val="clear"/>
            <w:tcMar>
              <w:top w:type="dxa" w:w="100"/>
              <w:left w:type="dxa" w:w="140"/>
              <w:bottom w:type="dxa" w:w="100"/>
              <w:right w:type="dxa" w:w="140"/>
            </w:tcMar>
          </w:tcPr>
          <w:p>
            <w:r>
              <w:rPr>
                <w:sz w:val="19"/>
                <w:szCs w:val="19"/>
              </w:rPr>
              <w:t xml:space="preserve">Structured pruning</w:t>
            </w:r>
          </w:p>
        </w:tc>
        <w:tc>
          <w:tcPr>
            <w:tcW w:type="dxa" w:w="3600"/>
            <w:shd w:fill="F4F6F9" w:val="clear"/>
            <w:tcMar>
              <w:top w:type="dxa" w:w="100"/>
              <w:left w:type="dxa" w:w="140"/>
              <w:bottom w:type="dxa" w:w="100"/>
              <w:right w:type="dxa" w:w="140"/>
            </w:tcMar>
          </w:tcPr>
          <w:p>
            <w:r>
              <w:rPr>
                <w:sz w:val="19"/>
                <w:szCs w:val="19"/>
              </w:rPr>
              <w:t xml:space="preserve">Remove entire channels/layers with low contribution to the model's output, rather than only reducing numeric precision.</w:t>
            </w:r>
          </w:p>
        </w:tc>
        <w:tc>
          <w:tcPr>
            <w:tcW w:type="dxa" w:w="3200"/>
            <w:shd w:fill="F4F6F9" w:val="clear"/>
            <w:tcMar>
              <w:top w:type="dxa" w:w="100"/>
              <w:left w:type="dxa" w:w="140"/>
              <w:bottom w:type="dxa" w:w="100"/>
              <w:right w:type="dxa" w:w="140"/>
            </w:tcMar>
          </w:tcPr>
          <w:p>
            <w:r>
              <w:rPr>
                <w:sz w:val="19"/>
                <w:szCs w:val="19"/>
              </w:rPr>
              <w:t xml:space="preserve">Complementary to quantization; research question is whether pruning disproportionately harms performance on underrepresented subgroups (ML Architecture, Document 7, Section 10.1's device/platform fairness dimension) — pruning decisions made against average-case validation data could inadvertently encode exactly this kind of disparity.</w:t>
            </w:r>
          </w:p>
        </w:tc>
      </w:tr>
      <w:tr>
        <w:tc>
          <w:tcPr>
            <w:tcW w:type="dxa" w:w="2400"/>
            <w:shd w:fill="FFFFFF" w:val="clear"/>
            <w:tcMar>
              <w:top w:type="dxa" w:w="100"/>
              <w:left w:type="dxa" w:w="140"/>
              <w:bottom w:type="dxa" w:w="100"/>
              <w:right w:type="dxa" w:w="140"/>
            </w:tcMar>
          </w:tcPr>
          <w:p>
            <w:r>
              <w:rPr>
                <w:sz w:val="19"/>
                <w:szCs w:val="19"/>
              </w:rPr>
              <w:t xml:space="preserve">Architecture search for edge-native model families</w:t>
            </w:r>
          </w:p>
        </w:tc>
        <w:tc>
          <w:tcPr>
            <w:tcW w:type="dxa" w:w="3600"/>
            <w:shd w:fill="FFFFFF" w:val="clear"/>
            <w:tcMar>
              <w:top w:type="dxa" w:w="100"/>
              <w:left w:type="dxa" w:w="140"/>
              <w:bottom w:type="dxa" w:w="100"/>
              <w:right w:type="dxa" w:w="140"/>
            </w:tcMar>
          </w:tcPr>
          <w:p>
            <w:r>
              <w:rPr>
                <w:sz w:val="19"/>
                <w:szCs w:val="19"/>
              </w:rPr>
              <w:t xml:space="preserve">Rather than compressing an architecture designed for server deployment, search for architectures natively suited to mobile/edge inference from the start.</w:t>
            </w:r>
          </w:p>
        </w:tc>
        <w:tc>
          <w:tcPr>
            <w:tcW w:type="dxa" w:w="3200"/>
            <w:shd w:fill="FFFFFF" w:val="clear"/>
            <w:tcMar>
              <w:top w:type="dxa" w:w="100"/>
              <w:left w:type="dxa" w:w="140"/>
              <w:bottom w:type="dxa" w:w="100"/>
              <w:right w:type="dxa" w:w="140"/>
            </w:tcMar>
          </w:tcPr>
          <w:p>
            <w:r>
              <w:rPr>
                <w:sz w:val="19"/>
                <w:szCs w:val="19"/>
              </w:rPr>
              <w:t xml:space="preserve">Longer-term research bet; higher potential payoff (a model that's efficient by design rather than by compression) but a larger research investment than distillation/quantization of an existing architecture.</w:t>
            </w:r>
          </w:p>
        </w:tc>
      </w:tr>
    </w:tbl>
    <w:p>
      <w:pPr>
        <w:spacing w:after="260" w:before="80"/>
      </w:pPr>
      <w:r>
        <w:rPr>
          <w:i/>
          <w:iCs/>
          <w:color w:val="6B7280"/>
          <w:sz w:val="18"/>
          <w:szCs w:val="18"/>
        </w:rPr>
        <w:t xml:space="preserve">Table 2.1 — Model compression technique families under research consideration.</w:t>
      </w:r>
    </w:p>
    <w:p>
      <w:pPr>
        <w:pStyle w:val="Heading2"/>
        <w:spacing w:after="180" w:before="360"/>
      </w:pPr>
      <w:r>
        <w:rPr>
          <w:b/>
          <w:bCs/>
          <w:color w:val="2E5EAA"/>
          <w:sz w:val="26"/>
          <w:szCs w:val="26"/>
        </w:rPr>
        <w:t xml:space="preserve">2.2 Key open research questions</w:t>
      </w:r>
    </w:p>
    <w:p>
      <w:pPr>
        <w:pStyle w:val="ListParagraph"/>
        <w:numPr>
          <w:ilvl w:val="0"/>
          <w:numId w:val="2"/>
        </w:numPr>
        <w:spacing w:after="100" w:line="280"/>
      </w:pPr>
      <w:r>
        <w:rPr>
          <w:sz w:val="21"/>
          <w:szCs w:val="21"/>
        </w:rPr>
        <w:t xml:space="preserve">How much of the teacher model's calibration quality (ML Architecture, Document 7, Section 2.1) survives distillation, and is a dedicated post-distillation recalibration step (beyond the standard temperature-scaling approach) necessary for the edge model specifically?</w:t>
      </w:r>
    </w:p>
    <w:p>
      <w:pPr>
        <w:pStyle w:val="ListParagraph"/>
        <w:numPr>
          <w:ilvl w:val="0"/>
          <w:numId w:val="2"/>
        </w:numPr>
        <w:spacing w:after="100" w:line="280"/>
      </w:pPr>
      <w:r>
        <w:rPr>
          <w:sz w:val="21"/>
          <w:szCs w:val="21"/>
        </w:rPr>
        <w:t xml:space="preserve">What is the accuracy/latency/size Pareto frontier across the technique families in Table 2.1, evaluated specifically against the edge evaluation benchmark (ML Architecture, Document 7, Section 2.3), not a generic compression benchmark from the broader research literature measured under different conditions?</w:t>
      </w:r>
    </w:p>
    <w:p>
      <w:pPr>
        <w:pStyle w:val="ListParagraph"/>
        <w:numPr>
          <w:ilvl w:val="0"/>
          <w:numId w:val="2"/>
        </w:numPr>
        <w:spacing w:after="100" w:line="280"/>
      </w:pPr>
      <w:r>
        <w:rPr>
          <w:sz w:val="21"/>
          <w:szCs w:val="21"/>
        </w:rPr>
        <w:t xml:space="preserve">Do compression techniques interact badly with the subgroup fairness requirement (ML Architecture, Document 7, Section 10) — i.e., does a compressed model disproportionately lose accuracy on subgroups already underrepresented in training data, compounding rather than merely maintaining existing disparity?</w:t>
      </w:r>
    </w:p>
    <w:p>
      <w:pPr>
        <w:pStyle w:val="Heading1"/>
        <w:pageBreakBefore/>
        <w:spacing w:after="240" w:before="480"/>
      </w:pPr>
      <w:r>
        <w:rPr>
          <w:b/>
          <w:bCs/>
          <w:color w:val="1A2B4C"/>
          <w:sz w:val="32"/>
          <w:szCs w:val="32"/>
        </w:rPr>
        <w:t xml:space="preserve">3. Temporal Change-Point Detection (New — Distinct from Whole-Clip Temporal Analysis)</w:t>
      </w:r>
    </w:p>
    <w:p>
      <w:pPr>
        <w:spacing w:after="200" w:line="300"/>
        <w:jc w:val="both"/>
      </w:pPr>
      <w:r>
        <w:rPr>
          <w:sz w:val="21"/>
          <w:szCs w:val="21"/>
        </w:rPr>
        <w:t xml:space="preserve">Version 1.0's Temporal Analysis section (Document 8, Section 8) addressed frame-to-frame consistency within a single clip evaluated as a whole. Mid-call injection detection (PRD FR-C.3) is a different problem: detecting a discontinuity at an unknown point within an ongoing, ostensibly-continuous stream, where most of the stream is genuinely fine and only a specific transition point is not.</w:t>
      </w:r>
    </w:p>
    <w:p>
      <w:pPr>
        <w:pStyle w:val="Heading2"/>
        <w:spacing w:after="180" w:before="360"/>
      </w:pPr>
      <w:r>
        <w:rPr>
          <w:b/>
          <w:bCs/>
          <w:color w:val="2E5EAA"/>
          <w:sz w:val="26"/>
          <w:szCs w:val="26"/>
        </w:rPr>
        <w:t xml:space="preserve">3.1 Technique families under consideration</w:t>
      </w:r>
    </w:p>
    <w:p>
      <w:pPr>
        <w:pStyle w:val="ListParagraph"/>
        <w:numPr>
          <w:ilvl w:val="0"/>
          <w:numId w:val="3"/>
        </w:numPr>
        <w:spacing w:after="100" w:line="280"/>
      </w:pPr>
      <w:r>
        <w:rPr>
          <w:sz w:val="21"/>
          <w:szCs w:val="21"/>
        </w:rPr>
        <w:t xml:space="preserve">Sliding-window consistency scoring: continuously comparing a short recent window of frames against a slightly earlier window, flagging a significant shift in the underlying consistency signal (texture, motion, or the edge model's own confidence trajectory) rather than evaluating the whole call as one unit.</w:t>
      </w:r>
    </w:p>
    <w:p>
      <w:pPr>
        <w:pStyle w:val="ListParagraph"/>
        <w:numPr>
          <w:ilvl w:val="0"/>
          <w:numId w:val="3"/>
        </w:numPr>
        <w:spacing w:after="100" w:line="280"/>
      </w:pPr>
      <w:r>
        <w:rPr>
          <w:sz w:val="21"/>
          <w:szCs w:val="21"/>
        </w:rPr>
        <w:t xml:space="preserve">Online change-point detection algorithms: adapting statistical change-point detection methods (established in time-series analysis generally) to the specific signal the edge model produces frame-to-frame, distinguishing a genuine, abrupt transition from ordinary natural variation (a participant turning their head, momentary lighting change).</w:t>
      </w:r>
    </w:p>
    <w:p>
      <w:pPr>
        <w:pStyle w:val="ListParagraph"/>
        <w:numPr>
          <w:ilvl w:val="0"/>
          <w:numId w:val="3"/>
        </w:numPr>
        <w:spacing w:after="100" w:line="280"/>
      </w:pPr>
      <w:r>
        <w:rPr>
          <w:sz w:val="21"/>
          <w:szCs w:val="21"/>
        </w:rPr>
        <w:t xml:space="preserve">Confidence-trajectory anomaly detection: treating the edge model's own confidence score over time as a signal in itself — a sudden, sustained drop is itself evidence of a possible injection event, distinct from and complementary to re-running the core liveness/synthetic-media analysis on the most recent window alone.</w:t>
      </w:r>
    </w:p>
    <w:p>
      <w:pPr>
        <w:pStyle w:val="Heading2"/>
        <w:spacing w:after="180" w:before="360"/>
      </w:pPr>
      <w:r>
        <w:rPr>
          <w:b/>
          <w:bCs/>
          <w:color w:val="2E5EAA"/>
          <w:sz w:val="26"/>
          <w:szCs w:val="26"/>
        </w:rPr>
        <w:t xml:space="preserve">3.2 Key open research questions</w:t>
      </w:r>
    </w:p>
    <w:p>
      <w:pPr>
        <w:pStyle w:val="ListParagraph"/>
        <w:numPr>
          <w:ilvl w:val="0"/>
          <w:numId w:val="2"/>
        </w:numPr>
        <w:spacing w:after="100" w:line="280"/>
      </w:pPr>
      <w:r>
        <w:rPr>
          <w:sz w:val="21"/>
          <w:szCs w:val="21"/>
        </w:rPr>
        <w:t xml:space="preserve">What sliding-window size best balances detection latency (ML Architecture, Document 7, Section 4.2's core metric) against false-trigger rate (Section 4.3) — a shorter window detects faster but has less signal to distinguish a genuine transition from noise.</w:t>
      </w:r>
    </w:p>
    <w:p>
      <w:pPr>
        <w:pStyle w:val="ListParagraph"/>
        <w:numPr>
          <w:ilvl w:val="0"/>
          <w:numId w:val="2"/>
        </w:numPr>
        <w:spacing w:after="100" w:line="280"/>
      </w:pPr>
      <w:r>
        <w:rPr>
          <w:sz w:val="21"/>
          <w:szCs w:val="21"/>
        </w:rPr>
        <w:t xml:space="preserve">Can a single edge model be trained to directly output a change-point signal, rather than requiring a separate downstream statistical process layered on top of a per-frame confidence score — and what is the on-device compute cost of each approach relative to the model-size and latency budgets already established (Technical Requirements Document, Table 2.1)?</w:t>
      </w:r>
    </w:p>
    <w:p>
      <w:pPr>
        <w:pStyle w:val="Heading1"/>
        <w:pageBreakBefore/>
        <w:spacing w:after="240" w:before="480"/>
      </w:pPr>
      <w:r>
        <w:rPr>
          <w:b/>
          <w:bCs/>
          <w:color w:val="1A2B4C"/>
          <w:sz w:val="32"/>
          <w:szCs w:val="32"/>
        </w:rPr>
        <w:t xml:space="preserve">4. Real-Time Codec Robustness (New)</w:t>
      </w:r>
    </w:p>
    <w:p>
      <w:pPr>
        <w:spacing w:after="200" w:line="300"/>
        <w:jc w:val="both"/>
      </w:pPr>
      <w:r>
        <w:rPr>
          <w:sz w:val="21"/>
          <w:szCs w:val="21"/>
        </w:rPr>
        <w:t xml:space="preserve">Version 1.0's models were evaluated primarily against dedicated verification captures, not heavily compressed real-time call video. This is a materially different input distribution and a dedicated research area in its own right.</w:t>
      </w:r>
    </w:p>
    <w:p>
      <w:pPr>
        <w:pStyle w:val="Heading2"/>
        <w:spacing w:after="180" w:before="360"/>
      </w:pPr>
      <w:r>
        <w:rPr>
          <w:b/>
          <w:bCs/>
          <w:color w:val="2E5EAA"/>
          <w:sz w:val="26"/>
          <w:szCs w:val="26"/>
        </w:rPr>
        <w:t xml:space="preserve">4.1 Key open research questions</w:t>
      </w:r>
    </w:p>
    <w:p>
      <w:pPr>
        <w:pStyle w:val="ListParagraph"/>
        <w:numPr>
          <w:ilvl w:val="0"/>
          <w:numId w:val="2"/>
        </w:numPr>
        <w:spacing w:after="100" w:line="280"/>
      </w:pPr>
      <w:r>
        <w:rPr>
          <w:sz w:val="21"/>
          <w:szCs w:val="21"/>
        </w:rPr>
        <w:t xml:space="preserve">How much does detection accuracy (both liveness and synthetic-media) degrade under the specific compression profiles real WebRTC-based calling platforms actually use, across a realistic range of network conditions (ML Architecture, Document 7, Section 2.2), compared to the uncompressed or lightly-compressed captures the original benchmark assumed?</w:t>
      </w:r>
    </w:p>
    <w:p>
      <w:pPr>
        <w:pStyle w:val="ListParagraph"/>
        <w:numPr>
          <w:ilvl w:val="0"/>
          <w:numId w:val="2"/>
        </w:numPr>
        <w:spacing w:after="100" w:line="280"/>
      </w:pPr>
      <w:r>
        <w:rPr>
          <w:sz w:val="21"/>
          <w:szCs w:val="21"/>
        </w:rPr>
        <w:t xml:space="preserve">Are there compression artifacts that specifically mimic or specifically mask manipulation signatures, in either direction — a false-positive risk (compression mistaken for manipulation) and a false-negative risk (compression masking a real manipulation artifact) both need independent evaluation, not just an aggregate accuracy number that could hide either failure mode.</w:t>
      </w:r>
    </w:p>
    <w:p>
      <w:pPr>
        <w:pStyle w:val="ListParagraph"/>
        <w:numPr>
          <w:ilvl w:val="0"/>
          <w:numId w:val="2"/>
        </w:numPr>
        <w:spacing w:after="100" w:line="280"/>
      </w:pPr>
      <w:r>
        <w:rPr>
          <w:sz w:val="21"/>
          <w:szCs w:val="21"/>
        </w:rPr>
        <w:t xml:space="preserve">Should the edge model be trained with compression-augmented data (deliberately including compressed examples in training, not only evaluation) to build in robustness rather than discovering a gap only at evaluation time?</w:t>
      </w:r>
    </w:p>
    <w:p>
      <w:pPr>
        <w:pStyle w:val="Heading1"/>
        <w:pageBreakBefore/>
        <w:spacing w:after="240" w:before="480"/>
      </w:pPr>
      <w:r>
        <w:rPr>
          <w:b/>
          <w:bCs/>
          <w:color w:val="1A2B4C"/>
          <w:sz w:val="32"/>
          <w:szCs w:val="32"/>
        </w:rPr>
        <w:t xml:space="preserve">5. Cross-Platform Edge Consistency (New)</w:t>
      </w:r>
    </w:p>
    <w:p>
      <w:pPr>
        <w:spacing w:after="200" w:line="300"/>
        <w:jc w:val="both"/>
      </w:pPr>
      <w:r>
        <w:rPr>
          <w:sz w:val="21"/>
          <w:szCs w:val="21"/>
        </w:rPr>
        <w:t xml:space="preserve">Directly supporting the promotion-gate requirement introduced in ML Architecture (Document 7, Section 11's cross-runtime inconsistency failure mode).</w:t>
      </w:r>
    </w:p>
    <w:p>
      <w:pPr>
        <w:pStyle w:val="Heading2"/>
        <w:spacing w:after="180" w:before="360"/>
      </w:pPr>
      <w:r>
        <w:rPr>
          <w:b/>
          <w:bCs/>
          <w:color w:val="2E5EAA"/>
          <w:sz w:val="26"/>
          <w:szCs w:val="26"/>
        </w:rPr>
        <w:t xml:space="preserve">5.1 Key open research questions</w:t>
      </w:r>
    </w:p>
    <w:p>
      <w:pPr>
        <w:pStyle w:val="ListParagraph"/>
        <w:numPr>
          <w:ilvl w:val="0"/>
          <w:numId w:val="2"/>
        </w:numPr>
        <w:spacing w:after="100" w:line="280"/>
      </w:pPr>
      <w:r>
        <w:rPr>
          <w:sz w:val="21"/>
          <w:szCs w:val="21"/>
        </w:rPr>
        <w:t xml:space="preserve">What is the actual measured output variance between Core ML, TensorFlow Lite/NNAPI, and ONNX Runtime Mobile deployments of the same distilled/quantized model, on identical input — and is that variance small enough to be immaterial to policy decisions, or large enough to require per-platform calibration adjustment?</w:t>
      </w:r>
    </w:p>
    <w:p>
      <w:pPr>
        <w:pStyle w:val="ListParagraph"/>
        <w:numPr>
          <w:ilvl w:val="0"/>
          <w:numId w:val="2"/>
        </w:numPr>
        <w:spacing w:after="100" w:line="280"/>
      </w:pPr>
      <w:r>
        <w:rPr>
          <w:sz w:val="21"/>
          <w:szCs w:val="21"/>
        </w:rPr>
        <w:t xml:space="preserve">Do quantization schemes (Section 2.1) behave consistently across these three runtimes, or does the same nominal quantization approach produce different numerical behavior per runtime — a question with direct bearing on whether a single edge model artifact can genuinely serve all three platforms or whether platform-specific tuning is required?</w:t>
      </w:r>
    </w:p>
    <w:p>
      <w:pPr>
        <w:pStyle w:val="Heading1"/>
        <w:pageBreakBefore/>
        <w:spacing w:after="240" w:before="480"/>
      </w:pPr>
      <w:r>
        <w:rPr>
          <w:b/>
          <w:bCs/>
          <w:color w:val="1A2B4C"/>
          <w:sz w:val="32"/>
          <w:szCs w:val="32"/>
        </w:rPr>
        <w:t xml:space="preserve">9. Future Research (Revised)</w:t>
      </w:r>
    </w:p>
    <w:p>
      <w:pPr>
        <w:spacing w:after="200" w:line="300"/>
        <w:jc w:val="both"/>
      </w:pPr>
      <w:r>
        <w:rPr>
          <w:sz w:val="21"/>
          <w:szCs w:val="21"/>
        </w:rPr>
        <w:t xml:space="preserve">With on-device inference now promoted to current, active research (Section 2), the future research list is revised accordingly. Retained from Version 1.0: continuous, passive re-verification (already substantially addressed by the flagship's core design, though further refinement of re-evaluation interval tuning remains open); agent-authorization attestation; standardization and interoperability research. Cross-platform trust portability (Vision Document, Document 1, Section 4.3) remains appropriately deferred, given its cryptographic and privacy design difficulty, and is not pulled forward by this revision.</w:t>
      </w:r>
    </w:p>
    <w:p>
      <w:pPr>
        <w:pStyle w:val="Heading1"/>
        <w:pageBreakBefore/>
        <w:spacing w:after="240" w:before="480"/>
      </w:pPr>
      <w:r>
        <w:rPr>
          <w:b/>
          <w:bCs/>
          <w:color w:val="1A2B4C"/>
          <w:sz w:val="32"/>
          <w:szCs w:val="32"/>
        </w:rPr>
        <w:t xml:space="preserve">10. Benchmarks (Revised Addition)</w:t>
      </w:r>
    </w:p>
    <w:p>
      <w:pPr>
        <w:spacing w:after="200" w:line="300"/>
        <w:jc w:val="both"/>
      </w:pPr>
      <w:r>
        <w:rPr>
          <w:sz w:val="21"/>
          <w:szCs w:val="21"/>
        </w:rPr>
        <w:t xml:space="preserve">Version 1.0's internal benchmark suite and external-benchmark discipline (Document 8, Section 10) are extended with one edge-specific consideration: public academic benchmarks for deepfake/liveness detection are overwhelmingly evaluated for accuracy alone, on high-quality, uncompressed, or lightly-compressed data, with little to no attention to model size, on-device latency, or real-time call-codec robustness. This means Section 4's codec-robustness questions and the model-size/latency trade-offs in Section 2 cannot be answered by reference to public leaderboards at all — Certivo's own internal edge evaluation benchmark (ML Architecture, Document 7, Section 2.3) is, for this specific model class, the primary and in some respects the only relevant evaluation methodology, not merely the primary one as Version 1.0 stated more generally for the point-in-time models.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CERTIVO — AI Research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2026-07-06T21:51:34.156Z</dcterms:created>
  <dcterms:modified xsi:type="dcterms:W3CDTF">2026-07-06T21:51:34.156Z</dcterms:modified>
</cp:coreProperties>
</file>

<file path=docProps/custom.xml><?xml version="1.0" encoding="utf-8"?>
<Properties xmlns="http://schemas.openxmlformats.org/officeDocument/2006/custom-properties" xmlns:vt="http://schemas.openxmlformats.org/officeDocument/2006/docPropsVTypes"/>
</file>