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PRIVACY ARCHITECTURE</w:t>
      </w:r>
    </w:p>
    <w:p>
      <w:pPr>
        <w:spacing w:before="200"/>
        <w:jc w:val="center"/>
      </w:pPr>
      <w:r>
        <w:rPr>
          <w:color w:val="6B7280"/>
          <w:sz w:val="20"/>
          <w:szCs w:val="20"/>
        </w:rPr>
        <w:t xml:space="preserve">Document 10 of 18 — Phase 4: Security — Version 2.0</w:t>
      </w:r>
    </w:p>
    <w:p>
      <w:pPr>
        <w:spacing w:before="100"/>
        <w:jc w:val="center"/>
      </w:pPr>
      <w:r>
        <w:rPr>
          <w:color w:val="6B7280"/>
          <w:sz w:val="18"/>
          <w:szCs w:val="18"/>
        </w:rPr>
        <w:t xml:space="preserve">Version 1.0  |  Confidential  |  Internal Use</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It extends the biometric perimeter concept to the device itself (Section 1), gives the Trusted Device Layer its own retention/consent/deletion treatment as a genuinely new persistent data category (Section 2), and formalizes cross-platform tracking prevention as a privacy design requirement, not only an architectural one (Section 3). Version 1.0's GDPR-style principles mapping and data subject rights support remain the baseline and are extended, not replaced.</w:t>
      </w:r>
    </w:p>
    <w:p>
      <w:pPr>
        <w:pStyle w:val="Heading1"/>
        <w:pageBreakBefore/>
        <w:spacing w:after="240" w:before="480"/>
      </w:pPr>
      <w:r>
        <w:rPr>
          <w:b/>
          <w:bCs/>
          <w:color w:val="1A2B4C"/>
          <w:sz w:val="32"/>
          <w:szCs w:val="32"/>
        </w:rPr>
        <w:t xml:space="preserve">1. The Data Flow Perimeter, Extended to the Device</w:t>
      </w:r>
    </w:p>
    <w:p>
      <w:pPr>
        <w:spacing w:after="200" w:line="300"/>
        <w:jc w:val="both"/>
      </w:pPr>
      <w:r>
        <w:rPr>
          <w:sz w:val="21"/>
          <w:szCs w:val="21"/>
        </w:rPr>
        <w:t xml:space="preserve">Version 1.0's biometric perimeter (Document 10, Section 7.1) established that raw biometric data lives only within the ML Inference Service and Device Trust Service, in memory, for a single inference request. The edge-inference architecture (Technical Requirements Document, Section 2) extends this principle to its logical, stronger conclusion: for continuous verification, raw video/audio never reaches Certivo's infrastructure at all, in any form, at any point. It is processed entirely on the participant's own device, and only a derived, non-reconstructive score-and-explanation packet is ever transmitted.</w:t>
      </w:r>
    </w:p>
    <w:p>
      <w:pPr>
        <w:pStyle w:val="Heading2"/>
        <w:spacing w:after="180" w:before="360"/>
      </w:pPr>
      <w:r>
        <w:rPr>
          <w:b/>
          <w:bCs/>
          <w:color w:val="2E5EAA"/>
          <w:sz w:val="26"/>
          <w:szCs w:val="26"/>
        </w:rPr>
        <w:t xml:space="preserve">1.1 Revised data flow for a continuous session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600"/>
      </w:tblGrid>
      <w:tr>
        <w:trPr>
          <w:tblHeader/>
        </w:trPr>
        <w:tc>
          <w:tcPr>
            <w:tcW w:type="dxa" w:w="2400"/>
            <w:shd w:fill="1A2B4C" w:val="clear"/>
            <w:tcMar>
              <w:top w:type="dxa" w:w="100"/>
              <w:left w:type="dxa" w:w="140"/>
              <w:bottom w:type="dxa" w:w="100"/>
              <w:right w:type="dxa" w:w="140"/>
            </w:tcMar>
          </w:tcPr>
          <w:p>
            <w:r>
              <w:rPr>
                <w:b/>
                <w:bCs/>
                <w:color w:val="FFFFFF"/>
                <w:sz w:val="19"/>
                <w:szCs w:val="19"/>
              </w:rPr>
              <w:t xml:space="preserve">Step</w:t>
            </w:r>
          </w:p>
        </w:tc>
        <w:tc>
          <w:tcPr>
            <w:tcW w:type="dxa" w:w="2400"/>
            <w:shd w:fill="1A2B4C" w:val="clear"/>
            <w:tcMar>
              <w:top w:type="dxa" w:w="100"/>
              <w:left w:type="dxa" w:w="140"/>
              <w:bottom w:type="dxa" w:w="100"/>
              <w:right w:type="dxa" w:w="140"/>
            </w:tcMar>
          </w:tcPr>
          <w:p>
            <w:r>
              <w:rPr>
                <w:b/>
                <w:bCs/>
                <w:color w:val="FFFFFF"/>
                <w:sz w:val="19"/>
                <w:szCs w:val="19"/>
              </w:rPr>
              <w:t xml:space="preserve">Data involved</w:t>
            </w:r>
          </w:p>
        </w:tc>
        <w:tc>
          <w:tcPr>
            <w:tcW w:type="dxa" w:w="2000"/>
            <w:shd w:fill="1A2B4C" w:val="clear"/>
            <w:tcMar>
              <w:top w:type="dxa" w:w="100"/>
              <w:left w:type="dxa" w:w="140"/>
              <w:bottom w:type="dxa" w:w="100"/>
              <w:right w:type="dxa" w:w="140"/>
            </w:tcMar>
          </w:tcPr>
          <w:p>
            <w:r>
              <w:rPr>
                <w:b/>
                <w:bCs/>
                <w:color w:val="FFFFFF"/>
                <w:sz w:val="19"/>
                <w:szCs w:val="19"/>
              </w:rPr>
              <w:t xml:space="preserve">Classification</w:t>
            </w:r>
          </w:p>
        </w:tc>
        <w:tc>
          <w:tcPr>
            <w:tcW w:type="dxa" w:w="2600"/>
            <w:shd w:fill="1A2B4C" w:val="clear"/>
            <w:tcMar>
              <w:top w:type="dxa" w:w="100"/>
              <w:left w:type="dxa" w:w="140"/>
              <w:bottom w:type="dxa" w:w="100"/>
              <w:right w:type="dxa" w:w="140"/>
            </w:tcMar>
          </w:tcPr>
          <w:p>
            <w:r>
              <w:rPr>
                <w:b/>
                <w:bCs/>
                <w:color w:val="FFFFFF"/>
                <w:sz w:val="19"/>
                <w:szCs w:val="19"/>
              </w:rPr>
              <w:t xml:space="preserve">Handling</w:t>
            </w:r>
          </w:p>
        </w:tc>
      </w:tr>
      <w:tr>
        <w:tc>
          <w:tcPr>
            <w:tcW w:type="dxa" w:w="2400"/>
            <w:shd w:fill="F4F6F9" w:val="clear"/>
            <w:tcMar>
              <w:top w:type="dxa" w:w="100"/>
              <w:left w:type="dxa" w:w="140"/>
              <w:bottom w:type="dxa" w:w="100"/>
              <w:right w:type="dxa" w:w="140"/>
            </w:tcMar>
          </w:tcPr>
          <w:p>
            <w:r>
              <w:rPr>
                <w:sz w:val="19"/>
                <w:szCs w:val="19"/>
              </w:rPr>
              <w:t xml:space="preserve">1. Consent (base + Trusted Device Layer, distinct)</w:t>
            </w:r>
          </w:p>
        </w:tc>
        <w:tc>
          <w:tcPr>
            <w:tcW w:type="dxa" w:w="2400"/>
            <w:shd w:fill="F4F6F9" w:val="clear"/>
            <w:tcMar>
              <w:top w:type="dxa" w:w="100"/>
              <w:left w:type="dxa" w:w="140"/>
              <w:bottom w:type="dxa" w:w="100"/>
              <w:right w:type="dxa" w:w="140"/>
            </w:tcMar>
          </w:tcPr>
          <w:p>
            <w:r>
              <w:rPr>
                <w:sz w:val="19"/>
                <w:szCs w:val="19"/>
              </w:rPr>
              <w:t xml:space="preserve">Consent language versions, timestamps</w:t>
            </w:r>
          </w:p>
        </w:tc>
        <w:tc>
          <w:tcPr>
            <w:tcW w:type="dxa" w:w="2000"/>
            <w:shd w:fill="F4F6F9" w:val="clear"/>
            <w:tcMar>
              <w:top w:type="dxa" w:w="100"/>
              <w:left w:type="dxa" w:w="140"/>
              <w:bottom w:type="dxa" w:w="100"/>
              <w:right w:type="dxa" w:w="140"/>
            </w:tcMar>
          </w:tcPr>
          <w:p>
            <w:r>
              <w:rPr>
                <w:sz w:val="19"/>
                <w:szCs w:val="19"/>
              </w:rPr>
              <w:t xml:space="preserve">Non-biometric, personal</w:t>
            </w:r>
          </w:p>
        </w:tc>
        <w:tc>
          <w:tcPr>
            <w:tcW w:type="dxa" w:w="2600"/>
            <w:shd w:fill="F4F6F9" w:val="clear"/>
            <w:tcMar>
              <w:top w:type="dxa" w:w="100"/>
              <w:left w:type="dxa" w:w="140"/>
              <w:bottom w:type="dxa" w:w="100"/>
              <w:right w:type="dxa" w:w="140"/>
            </w:tcMar>
          </w:tcPr>
          <w:p>
            <w:r>
              <w:rPr>
                <w:sz w:val="19"/>
                <w:szCs w:val="19"/>
              </w:rPr>
              <w:t xml:space="preserve">Persisted by the Privacy/Consent Service, per Section 2 below for the Trusted Device Layer specifically</w:t>
            </w:r>
          </w:p>
        </w:tc>
      </w:tr>
      <w:tr>
        <w:tc>
          <w:tcPr>
            <w:tcW w:type="dxa" w:w="2400"/>
            <w:shd w:fill="FFFFFF" w:val="clear"/>
            <w:tcMar>
              <w:top w:type="dxa" w:w="100"/>
              <w:left w:type="dxa" w:w="140"/>
              <w:bottom w:type="dxa" w:w="100"/>
              <w:right w:type="dxa" w:w="140"/>
            </w:tcMar>
          </w:tcPr>
          <w:p>
            <w:r>
              <w:rPr>
                <w:sz w:val="19"/>
                <w:szCs w:val="19"/>
              </w:rPr>
              <w:t xml:space="preserve">2. On-device capture and inference</w:t>
            </w:r>
          </w:p>
        </w:tc>
        <w:tc>
          <w:tcPr>
            <w:tcW w:type="dxa" w:w="2400"/>
            <w:shd w:fill="FFFFFF" w:val="clear"/>
            <w:tcMar>
              <w:top w:type="dxa" w:w="100"/>
              <w:left w:type="dxa" w:w="140"/>
              <w:bottom w:type="dxa" w:w="100"/>
              <w:right w:type="dxa" w:w="140"/>
            </w:tcMar>
          </w:tcPr>
          <w:p>
            <w:r>
              <w:rPr>
                <w:sz w:val="19"/>
                <w:szCs w:val="19"/>
              </w:rPr>
              <w:t xml:space="preserve">Raw video/audio frames</w:t>
            </w:r>
          </w:p>
        </w:tc>
        <w:tc>
          <w:tcPr>
            <w:tcW w:type="dxa" w:w="2000"/>
            <w:shd w:fill="FFFFFF" w:val="clear"/>
            <w:tcMar>
              <w:top w:type="dxa" w:w="100"/>
              <w:left w:type="dxa" w:w="140"/>
              <w:bottom w:type="dxa" w:w="100"/>
              <w:right w:type="dxa" w:w="140"/>
            </w:tcMar>
          </w:tcPr>
          <w:p>
            <w:r>
              <w:rPr>
                <w:sz w:val="19"/>
                <w:szCs w:val="19"/>
              </w:rPr>
              <w:t xml:space="preserve">Biometric, highest sensitivity</w:t>
            </w:r>
          </w:p>
        </w:tc>
        <w:tc>
          <w:tcPr>
            <w:tcW w:type="dxa" w:w="2600"/>
            <w:shd w:fill="FFFFFF" w:val="clear"/>
            <w:tcMar>
              <w:top w:type="dxa" w:w="100"/>
              <w:left w:type="dxa" w:w="140"/>
              <w:bottom w:type="dxa" w:w="100"/>
              <w:right w:type="dxa" w:w="140"/>
            </w:tcMar>
          </w:tcPr>
          <w:p>
            <w:r>
              <w:rPr>
                <w:sz w:val="19"/>
                <w:szCs w:val="19"/>
              </w:rPr>
              <w:t xml:space="preserve">Never leaves the device; held in memory only, within the Edge Inference SDK's process, for the duration of one inference interval (Technical Requirements Document, Section 2.1)</w:t>
            </w:r>
          </w:p>
        </w:tc>
      </w:tr>
      <w:tr>
        <w:tc>
          <w:tcPr>
            <w:tcW w:type="dxa" w:w="2400"/>
            <w:shd w:fill="F4F6F9" w:val="clear"/>
            <w:tcMar>
              <w:top w:type="dxa" w:w="100"/>
              <w:left w:type="dxa" w:w="140"/>
              <w:bottom w:type="dxa" w:w="100"/>
              <w:right w:type="dxa" w:w="140"/>
            </w:tcMar>
          </w:tcPr>
          <w:p>
            <w:r>
              <w:rPr>
                <w:sz w:val="19"/>
                <w:szCs w:val="19"/>
              </w:rPr>
              <w:t xml:space="preserve">3. Score-packet transmission</w:t>
            </w:r>
          </w:p>
        </w:tc>
        <w:tc>
          <w:tcPr>
            <w:tcW w:type="dxa" w:w="2400"/>
            <w:shd w:fill="F4F6F9" w:val="clear"/>
            <w:tcMar>
              <w:top w:type="dxa" w:w="100"/>
              <w:left w:type="dxa" w:w="140"/>
              <w:bottom w:type="dxa" w:w="100"/>
              <w:right w:type="dxa" w:w="140"/>
            </w:tcMar>
          </w:tcPr>
          <w:p>
            <w:r>
              <w:rPr>
                <w:sz w:val="19"/>
                <w:szCs w:val="19"/>
              </w:rPr>
              <w:t xml:space="preserve">Confidence score, explanation, device signature</w:t>
            </w:r>
          </w:p>
        </w:tc>
        <w:tc>
          <w:tcPr>
            <w:tcW w:type="dxa" w:w="2000"/>
            <w:shd w:fill="F4F6F9" w:val="clear"/>
            <w:tcMar>
              <w:top w:type="dxa" w:w="100"/>
              <w:left w:type="dxa" w:w="140"/>
              <w:bottom w:type="dxa" w:w="100"/>
              <w:right w:type="dxa" w:w="140"/>
            </w:tcMar>
          </w:tcPr>
          <w:p>
            <w:r>
              <w:rPr>
                <w:sz w:val="19"/>
                <w:szCs w:val="19"/>
              </w:rPr>
              <w:t xml:space="preserve">Non-biometric, derived</w:t>
            </w:r>
          </w:p>
        </w:tc>
        <w:tc>
          <w:tcPr>
            <w:tcW w:type="dxa" w:w="2600"/>
            <w:shd w:fill="F4F6F9" w:val="clear"/>
            <w:tcMar>
              <w:top w:type="dxa" w:w="100"/>
              <w:left w:type="dxa" w:w="140"/>
              <w:bottom w:type="dxa" w:w="100"/>
              <w:right w:type="dxa" w:w="140"/>
            </w:tcMar>
          </w:tcPr>
          <w:p>
            <w:r>
              <w:rPr>
                <w:sz w:val="19"/>
                <w:szCs w:val="19"/>
              </w:rPr>
              <w:t xml:space="preserve">The only data that ever reaches Certivo's infrastructure for a continuous session's per-interval processing</w:t>
            </w:r>
          </w:p>
        </w:tc>
      </w:tr>
      <w:tr>
        <w:tc>
          <w:tcPr>
            <w:tcW w:type="dxa" w:w="2400"/>
            <w:shd w:fill="FFFFFF" w:val="clear"/>
            <w:tcMar>
              <w:top w:type="dxa" w:w="100"/>
              <w:left w:type="dxa" w:w="140"/>
              <w:bottom w:type="dxa" w:w="100"/>
              <w:right w:type="dxa" w:w="140"/>
            </w:tcMar>
          </w:tcPr>
          <w:p>
            <w:r>
              <w:rPr>
                <w:sz w:val="19"/>
                <w:szCs w:val="19"/>
              </w:rPr>
              <w:t xml:space="preserve">4. Backend policy evaluation and persistence</w:t>
            </w:r>
          </w:p>
        </w:tc>
        <w:tc>
          <w:tcPr>
            <w:tcW w:type="dxa" w:w="2400"/>
            <w:shd w:fill="FFFFFF" w:val="clear"/>
            <w:tcMar>
              <w:top w:type="dxa" w:w="100"/>
              <w:left w:type="dxa" w:w="140"/>
              <w:bottom w:type="dxa" w:w="100"/>
              <w:right w:type="dxa" w:w="140"/>
            </w:tcMar>
          </w:tcPr>
          <w:p>
            <w:r>
              <w:rPr>
                <w:sz w:val="19"/>
                <w:szCs w:val="19"/>
              </w:rPr>
              <w:t xml:space="preserve">Continuous_score_events rows (Database Design, Table 2.3)</w:t>
            </w:r>
          </w:p>
        </w:tc>
        <w:tc>
          <w:tcPr>
            <w:tcW w:type="dxa" w:w="2000"/>
            <w:shd w:fill="FFFFFF" w:val="clear"/>
            <w:tcMar>
              <w:top w:type="dxa" w:w="100"/>
              <w:left w:type="dxa" w:w="140"/>
              <w:bottom w:type="dxa" w:w="100"/>
              <w:right w:type="dxa" w:w="140"/>
            </w:tcMar>
          </w:tcPr>
          <w:p>
            <w:r>
              <w:rPr>
                <w:sz w:val="19"/>
                <w:szCs w:val="19"/>
              </w:rPr>
              <w:t xml:space="preserve">Non-biometric, derived</w:t>
            </w:r>
          </w:p>
        </w:tc>
        <w:tc>
          <w:tcPr>
            <w:tcW w:type="dxa" w:w="2600"/>
            <w:shd w:fill="FFFFFF" w:val="clear"/>
            <w:tcMar>
              <w:top w:type="dxa" w:w="100"/>
              <w:left w:type="dxa" w:w="140"/>
              <w:bottom w:type="dxa" w:w="100"/>
              <w:right w:type="dxa" w:w="140"/>
            </w:tcMar>
          </w:tcPr>
          <w:p>
            <w:r>
              <w:rPr>
                <w:sz w:val="19"/>
                <w:szCs w:val="19"/>
              </w:rPr>
              <w:t xml:space="preserve">Retained per the retention schedule (Section 2.2 below), shorter than the session-length attestation's own retention given the events' diminishing individual value after the session's outcome is signed</w:t>
            </w:r>
          </w:p>
        </w:tc>
      </w:tr>
      <w:tr>
        <w:tc>
          <w:tcPr>
            <w:tcW w:type="dxa" w:w="2400"/>
            <w:shd w:fill="F4F6F9" w:val="clear"/>
            <w:tcMar>
              <w:top w:type="dxa" w:w="100"/>
              <w:left w:type="dxa" w:w="140"/>
              <w:bottom w:type="dxa" w:w="100"/>
              <w:right w:type="dxa" w:w="140"/>
            </w:tcMar>
          </w:tcPr>
          <w:p>
            <w:r>
              <w:rPr>
                <w:sz w:val="19"/>
                <w:szCs w:val="19"/>
              </w:rPr>
              <w:t xml:space="preserve">5. Session-length attestation</w:t>
            </w:r>
          </w:p>
        </w:tc>
        <w:tc>
          <w:tcPr>
            <w:tcW w:type="dxa" w:w="2400"/>
            <w:shd w:fill="F4F6F9" w:val="clear"/>
            <w:tcMar>
              <w:top w:type="dxa" w:w="100"/>
              <w:left w:type="dxa" w:w="140"/>
              <w:bottom w:type="dxa" w:w="100"/>
              <w:right w:type="dxa" w:w="140"/>
            </w:tcMar>
          </w:tcPr>
          <w:p>
            <w:r>
              <w:rPr>
                <w:sz w:val="19"/>
                <w:szCs w:val="19"/>
              </w:rPr>
              <w:t xml:space="preserve">Signed session summary</w:t>
            </w:r>
          </w:p>
        </w:tc>
        <w:tc>
          <w:tcPr>
            <w:tcW w:type="dxa" w:w="2000"/>
            <w:shd w:fill="F4F6F9" w:val="clear"/>
            <w:tcMar>
              <w:top w:type="dxa" w:w="100"/>
              <w:left w:type="dxa" w:w="140"/>
              <w:bottom w:type="dxa" w:w="100"/>
              <w:right w:type="dxa" w:w="140"/>
            </w:tcMar>
          </w:tcPr>
          <w:p>
            <w:r>
              <w:rPr>
                <w:sz w:val="19"/>
                <w:szCs w:val="19"/>
              </w:rPr>
              <w:t xml:space="preserve">Non-biometric, derived</w:t>
            </w:r>
          </w:p>
        </w:tc>
        <w:tc>
          <w:tcPr>
            <w:tcW w:type="dxa" w:w="2600"/>
            <w:shd w:fill="F4F6F9" w:val="clear"/>
            <w:tcMar>
              <w:top w:type="dxa" w:w="100"/>
              <w:left w:type="dxa" w:w="140"/>
              <w:bottom w:type="dxa" w:w="100"/>
              <w:right w:type="dxa" w:w="140"/>
            </w:tcMar>
          </w:tcPr>
          <w:p>
            <w:r>
              <w:rPr>
                <w:sz w:val="19"/>
                <w:szCs w:val="19"/>
              </w:rPr>
              <w:t xml:space="preserve">Persisted per Version 1.0's attestation retention (Document 10, Table 3.1)</w:t>
            </w:r>
          </w:p>
        </w:tc>
      </w:tr>
    </w:tbl>
    <w:p>
      <w:pPr>
        <w:spacing w:after="260" w:before="80"/>
      </w:pPr>
      <w:r>
        <w:rPr>
          <w:i/>
          <w:iCs/>
          <w:color w:val="6B7280"/>
          <w:sz w:val="18"/>
          <w:szCs w:val="18"/>
        </w:rPr>
        <w:t xml:space="preserve">Table 1.1 — Revised data flow for a continuous session. Note that Step 2 — where raw biometric data actually exists — never crosses into Certivo's own infrastructure boundary at all, a stronger property than Version 1.0's point-in-time flow, which at least received raw data at the ML Inference Service's edge even if it discarded it immediately after.</w:t>
      </w:r>
    </w:p>
    <w:p>
      <w:pPr>
        <w:pStyle w:val="Heading2"/>
        <w:spacing w:after="180" w:before="360"/>
      </w:pPr>
      <w:r>
        <w:rPr>
          <w:b/>
          <w:bCs/>
          <w:color w:val="2E5EAA"/>
          <w:sz w:val="26"/>
          <w:szCs w:val="26"/>
        </w:rPr>
        <w:t xml:space="preserve">1.2 Why this is a stronger, not merely different, privacy property</w:t>
      </w:r>
    </w:p>
    <w:p>
      <w:pPr>
        <w:spacing w:after="200" w:line="300"/>
        <w:jc w:val="both"/>
      </w:pPr>
      <w:r>
        <w:rPr>
          <w:sz w:val="21"/>
          <w:szCs w:val="21"/>
        </w:rPr>
        <w:t xml:space="preserve">Version 1.0's biometric perimeter still required a customer's raw biometric data to reach Certivo's servers, if only fleetingly, in order to be processed and discarded. The edge architecture removes even that fleeting transit — Certivo's infrastructure, at no point, ever receives, holds, or has the technical capability to reconstruct a participant's raw video or audio from a continuous verification session. This is a materially stronger guarantee to make to a partner platform's compliance team than Version 1.0's original design, and should be communicated as such rather than treated as a mere implementation detail.</w:t>
      </w:r>
    </w:p>
    <w:p>
      <w:pPr>
        <w:pStyle w:val="Heading1"/>
        <w:pageBreakBefore/>
        <w:spacing w:after="240" w:before="480"/>
      </w:pPr>
      <w:r>
        <w:rPr>
          <w:b/>
          <w:bCs/>
          <w:color w:val="1A2B4C"/>
          <w:sz w:val="32"/>
          <w:szCs w:val="32"/>
        </w:rPr>
        <w:t xml:space="preserve">2. Trusted Device Layer: Privacy Treatment (New)</w:t>
      </w:r>
    </w:p>
    <w:p>
      <w:pPr>
        <w:spacing w:after="200" w:line="300"/>
        <w:jc w:val="both"/>
      </w:pPr>
      <w:r>
        <w:rPr>
          <w:sz w:val="21"/>
          <w:szCs w:val="21"/>
        </w:rPr>
        <w:t xml:space="preserve">The Trusted Device Token is a genuinely new data category for this platform: unlike every other artifact in Version 1.0's data flow, it is designed to persist across sessions, by definition. This section gives it the dedicated privacy treatment its persistence requires, since none of Version 1.0's retention or consent design assumed anything would legitimately persist beyond a single verification's minimal window.</w:t>
      </w:r>
    </w:p>
    <w:p>
      <w:pPr>
        <w:pStyle w:val="Heading2"/>
        <w:spacing w:after="180" w:before="360"/>
      </w:pPr>
      <w:r>
        <w:rPr>
          <w:b/>
          <w:bCs/>
          <w:color w:val="2E5EAA"/>
          <w:sz w:val="26"/>
          <w:szCs w:val="26"/>
        </w:rPr>
        <w:t xml:space="preserve">2.1 Is a Trusted Device Token biometric data?</w:t>
      </w:r>
    </w:p>
    <w:p>
      <w:pPr>
        <w:spacing w:after="200" w:line="300"/>
        <w:jc w:val="both"/>
      </w:pPr>
      <w:r>
        <w:rPr>
          <w:sz w:val="21"/>
          <w:szCs w:val="21"/>
        </w:rPr>
        <w:t xml:space="preserve">No — consistent with Version 1.0's classification discipline (Document 10, Table 7.1), the token itself (a device public key, a trust tier, issuance/expiry timestamps, a platform scope identifier) contains no biometric data and cannot be used to reconstruct a participant's face, voice, or any other biometric characteristic. It is, however, still personal data under most privacy frameworks, since it can identify and track a specific device (and, indirectly, its likely user) over time — and is treated with commensurate care in this section, distinct from but not lesser than the care applied to biometric data itself.</w:t>
      </w:r>
    </w:p>
    <w:p>
      <w:pPr>
        <w:pStyle w:val="Heading2"/>
        <w:spacing w:after="180" w:before="360"/>
      </w:pPr>
      <w:r>
        <w:rPr>
          <w:b/>
          <w:bCs/>
          <w:color w:val="2E5EAA"/>
          <w:sz w:val="26"/>
          <w:szCs w:val="26"/>
        </w:rPr>
        <w:t xml:space="preserve">2.2 Retention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1A2B4C" w:val="clear"/>
            <w:tcMar>
              <w:top w:type="dxa" w:w="100"/>
              <w:left w:type="dxa" w:w="140"/>
              <w:bottom w:type="dxa" w:w="100"/>
              <w:right w:type="dxa" w:w="140"/>
            </w:tcMar>
          </w:tcPr>
          <w:p>
            <w:r>
              <w:rPr>
                <w:b/>
                <w:bCs/>
                <w:color w:val="FFFFFF"/>
                <w:sz w:val="19"/>
                <w:szCs w:val="19"/>
              </w:rPr>
              <w:t xml:space="preserve">Data category</w:t>
            </w:r>
          </w:p>
        </w:tc>
        <w:tc>
          <w:tcPr>
            <w:tcW w:type="dxa" w:w="3200"/>
            <w:shd w:fill="1A2B4C" w:val="clear"/>
            <w:tcMar>
              <w:top w:type="dxa" w:w="100"/>
              <w:left w:type="dxa" w:w="140"/>
              <w:bottom w:type="dxa" w:w="100"/>
              <w:right w:type="dxa" w:w="140"/>
            </w:tcMar>
          </w:tcPr>
          <w:p>
            <w:r>
              <w:rPr>
                <w:b/>
                <w:bCs/>
                <w:color w:val="FFFFFF"/>
                <w:sz w:val="19"/>
                <w:szCs w:val="19"/>
              </w:rPr>
              <w:t xml:space="preserve">Default retention</w:t>
            </w:r>
          </w:p>
        </w:tc>
        <w:tc>
          <w:tcPr>
            <w:tcW w:type="dxa" w:w="3200"/>
            <w:shd w:fill="1A2B4C" w:val="clear"/>
            <w:tcMar>
              <w:top w:type="dxa" w:w="100"/>
              <w:left w:type="dxa" w:w="140"/>
              <w:bottom w:type="dxa" w:w="100"/>
              <w:right w:type="dxa" w:w="140"/>
            </w:tcMar>
          </w:tcPr>
          <w:p>
            <w:r>
              <w:rPr>
                <w:b/>
                <w:bCs/>
                <w:color w:val="FFFFFF"/>
                <w:sz w:val="19"/>
                <w:szCs w:val="19"/>
              </w:rPr>
              <w:t xml:space="preserve">Justification</w:t>
            </w:r>
          </w:p>
        </w:tc>
      </w:tr>
      <w:tr>
        <w:tc>
          <w:tcPr>
            <w:tcW w:type="dxa" w:w="3000"/>
            <w:shd w:fill="F4F6F9" w:val="clear"/>
            <w:tcMar>
              <w:top w:type="dxa" w:w="100"/>
              <w:left w:type="dxa" w:w="140"/>
              <w:bottom w:type="dxa" w:w="100"/>
              <w:right w:type="dxa" w:w="140"/>
            </w:tcMar>
          </w:tcPr>
          <w:p>
            <w:r>
              <w:rPr>
                <w:sz w:val="19"/>
                <w:szCs w:val="19"/>
              </w:rPr>
              <w:t xml:space="preserve">Trusted Device Token (active)</w:t>
            </w:r>
          </w:p>
        </w:tc>
        <w:tc>
          <w:tcPr>
            <w:tcW w:type="dxa" w:w="3200"/>
            <w:shd w:fill="F4F6F9" w:val="clear"/>
            <w:tcMar>
              <w:top w:type="dxa" w:w="100"/>
              <w:left w:type="dxa" w:w="140"/>
              <w:bottom w:type="dxa" w:w="100"/>
              <w:right w:type="dxa" w:w="140"/>
            </w:tcMar>
          </w:tcPr>
          <w:p>
            <w:r>
              <w:rPr>
                <w:sz w:val="19"/>
                <w:szCs w:val="19"/>
              </w:rPr>
              <w:t xml:space="preserve">Until its configured expiry (Technical Requirements Document, FR-D.5 — never permanent) or explicit revocation</w:t>
            </w:r>
          </w:p>
        </w:tc>
        <w:tc>
          <w:tcPr>
            <w:tcW w:type="dxa" w:w="3200"/>
            <w:shd w:fill="F4F6F9" w:val="clear"/>
            <w:tcMar>
              <w:top w:type="dxa" w:w="100"/>
              <w:left w:type="dxa" w:w="140"/>
              <w:bottom w:type="dxa" w:w="100"/>
              <w:right w:type="dxa" w:w="140"/>
            </w:tcMar>
          </w:tcPr>
          <w:p>
            <w:r>
              <w:rPr>
                <w:sz w:val="19"/>
                <w:szCs w:val="19"/>
              </w:rPr>
              <w:t xml:space="preserve">Serves its purpose (recognizing a returning, previously-verified device) only while active; an indefinitely-lived token would be a data-minimization violation given the platform's own non-negotiable against unnecessary persistence (Vision Document, Document 1, Section 6)</w:t>
            </w:r>
          </w:p>
        </w:tc>
      </w:tr>
      <w:tr>
        <w:tc>
          <w:tcPr>
            <w:tcW w:type="dxa" w:w="3000"/>
            <w:shd w:fill="FFFFFF" w:val="clear"/>
            <w:tcMar>
              <w:top w:type="dxa" w:w="100"/>
              <w:left w:type="dxa" w:w="140"/>
              <w:bottom w:type="dxa" w:w="100"/>
              <w:right w:type="dxa" w:w="140"/>
            </w:tcMar>
          </w:tcPr>
          <w:p>
            <w:r>
              <w:rPr>
                <w:sz w:val="19"/>
                <w:szCs w:val="19"/>
              </w:rPr>
              <w:t xml:space="preserve">Trusted Device Token (revoked or expired)</w:t>
            </w:r>
          </w:p>
        </w:tc>
        <w:tc>
          <w:tcPr>
            <w:tcW w:type="dxa" w:w="3200"/>
            <w:shd w:fill="FFFFFF" w:val="clear"/>
            <w:tcMar>
              <w:top w:type="dxa" w:w="100"/>
              <w:left w:type="dxa" w:w="140"/>
              <w:bottom w:type="dxa" w:w="100"/>
              <w:right w:type="dxa" w:w="140"/>
            </w:tcMar>
          </w:tcPr>
          <w:p>
            <w:r>
              <w:rPr>
                <w:sz w:val="19"/>
                <w:szCs w:val="19"/>
              </w:rPr>
              <w:t xml:space="preserve">Short, defined window retained for audit/dispute purposes only, then deleted</w:t>
            </w:r>
          </w:p>
        </w:tc>
        <w:tc>
          <w:tcPr>
            <w:tcW w:type="dxa" w:w="3200"/>
            <w:shd w:fill="FFFFFF" w:val="clear"/>
            <w:tcMar>
              <w:top w:type="dxa" w:w="100"/>
              <w:left w:type="dxa" w:w="140"/>
              <w:bottom w:type="dxa" w:w="100"/>
              <w:right w:type="dxa" w:w="140"/>
            </w:tcMar>
          </w:tcPr>
          <w:p>
            <w:r>
              <w:rPr>
                <w:sz w:val="19"/>
                <w:szCs w:val="19"/>
              </w:rPr>
              <w:t xml:space="preserve">A revoked token's continued existence serves only an audit purpose, not an operational one, and should not be retained longer than that purpose requires</w:t>
            </w:r>
          </w:p>
        </w:tc>
      </w:tr>
      <w:tr>
        <w:tc>
          <w:tcPr>
            <w:tcW w:type="dxa" w:w="3000"/>
            <w:shd w:fill="F4F6F9" w:val="clear"/>
            <w:tcMar>
              <w:top w:type="dxa" w:w="100"/>
              <w:left w:type="dxa" w:w="140"/>
              <w:bottom w:type="dxa" w:w="100"/>
              <w:right w:type="dxa" w:w="140"/>
            </w:tcMar>
          </w:tcPr>
          <w:p>
            <w:r>
              <w:rPr>
                <w:sz w:val="19"/>
                <w:szCs w:val="19"/>
              </w:rPr>
              <w:t xml:space="preserve">continuous_score_events (per-interval scores)</w:t>
            </w:r>
          </w:p>
        </w:tc>
        <w:tc>
          <w:tcPr>
            <w:tcW w:type="dxa" w:w="3200"/>
            <w:shd w:fill="F4F6F9" w:val="clear"/>
            <w:tcMar>
              <w:top w:type="dxa" w:w="100"/>
              <w:left w:type="dxa" w:w="140"/>
              <w:bottom w:type="dxa" w:w="100"/>
              <w:right w:type="dxa" w:w="140"/>
            </w:tcMar>
          </w:tcPr>
          <w:p>
            <w:r>
              <w:rPr>
                <w:sz w:val="19"/>
                <w:szCs w:val="19"/>
              </w:rPr>
              <w:t xml:space="preserve">Shorter than the session-length attestation itself</w:t>
            </w:r>
          </w:p>
        </w:tc>
        <w:tc>
          <w:tcPr>
            <w:tcW w:type="dxa" w:w="3200"/>
            <w:shd w:fill="F4F6F9" w:val="clear"/>
            <w:tcMar>
              <w:top w:type="dxa" w:w="100"/>
              <w:left w:type="dxa" w:w="140"/>
              <w:bottom w:type="dxa" w:w="100"/>
              <w:right w:type="dxa" w:w="140"/>
            </w:tcMar>
          </w:tcPr>
          <w:p>
            <w:r>
              <w:rPr>
                <w:sz w:val="19"/>
                <w:szCs w:val="19"/>
              </w:rPr>
              <w:t xml:space="preserve">As established in the Database Design document's partitioning rationale (Document 12, Section 4.2), the attestation — not the granular per-interval data — is the durable record of a session's outcome</w:t>
            </w:r>
          </w:p>
        </w:tc>
      </w:tr>
    </w:tbl>
    <w:p>
      <w:pPr>
        <w:spacing w:after="260" w:before="80"/>
      </w:pPr>
      <w:r>
        <w:rPr>
          <w:i/>
          <w:iCs/>
          <w:color w:val="6B7280"/>
          <w:sz w:val="18"/>
          <w:szCs w:val="18"/>
        </w:rPr>
        <w:t xml:space="preserve">Table 2.1 — Retention schedule for the Trusted Device Layer and continuous-session data.</w:t>
      </w:r>
    </w:p>
    <w:p>
      <w:pPr>
        <w:pStyle w:val="Heading2"/>
        <w:spacing w:after="180" w:before="360"/>
      </w:pPr>
      <w:r>
        <w:rPr>
          <w:b/>
          <w:bCs/>
          <w:color w:val="2E5EAA"/>
          <w:sz w:val="26"/>
          <w:szCs w:val="26"/>
        </w:rPr>
        <w:t xml:space="preserve">2.3 Consent, as a distinct grant</w:t>
      </w:r>
    </w:p>
    <w:p>
      <w:pPr>
        <w:spacing w:after="200" w:line="300"/>
        <w:jc w:val="both"/>
      </w:pPr>
      <w:r>
        <w:rPr>
          <w:sz w:val="21"/>
          <w:szCs w:val="21"/>
        </w:rPr>
        <w:t xml:space="preserve">Per PRD FR-5.6, consent for the Trusted Device Layer is presented and obtained separately from consent for the underlying liveness/synthetic-media verification itself (System Design Document, Figure 5.3) — a user can consent to a one-time or per-session verification without thereby also consenting to a persistent, cross-session credential being created. This separation is a hard product and technical requirement, not merely a recommended practice: the Trusted Device Token issuance flow cannot proceed without this distinct consent having been explicitly granted.</w:t>
      </w:r>
    </w:p>
    <w:p>
      <w:pPr>
        <w:pStyle w:val="Heading2"/>
        <w:spacing w:after="180" w:before="360"/>
      </w:pPr>
      <w:r>
        <w:rPr>
          <w:b/>
          <w:bCs/>
          <w:color w:val="2E5EAA"/>
          <w:sz w:val="26"/>
          <w:szCs w:val="26"/>
        </w:rPr>
        <w:t xml:space="preserve">2.4 Deletion and revocation as equivalent user rights</w:t>
      </w:r>
    </w:p>
    <w:p>
      <w:pPr>
        <w:spacing w:after="200" w:line="300"/>
        <w:jc w:val="both"/>
      </w:pPr>
      <w:r>
        <w:rPr>
          <w:sz w:val="21"/>
          <w:szCs w:val="21"/>
        </w:rPr>
        <w:t xml:space="preserve">Revocation (Technical Requirements Document, Section 8.4) and deletion are treated as the same user-facing right for the Trusted Device Layer specifically: a user requesting deletion of their Trusted Device Token data receives the same immediate-effect guarantee as a security-motivated revocation (Security Architecture, Document 9, Section 4.3, Version 2.0), since — unlike biometric data, which has a meaningful distinction between 'deleted' and 'access revoked' — a token's entire purpose is nullified equally by either action.</w:t>
      </w:r>
    </w:p>
    <w:p>
      <w:pPr>
        <w:pStyle w:val="Heading1"/>
        <w:pageBreakBefore/>
        <w:spacing w:after="240" w:before="480"/>
      </w:pPr>
      <w:r>
        <w:rPr>
          <w:b/>
          <w:bCs/>
          <w:color w:val="1A2B4C"/>
          <w:sz w:val="32"/>
          <w:szCs w:val="32"/>
        </w:rPr>
        <w:t xml:space="preserve">3. Cross-Platform Tracking Prevention as Privacy Design (New)</w:t>
      </w:r>
    </w:p>
    <w:p>
      <w:pPr>
        <w:spacing w:after="200" w:line="300"/>
        <w:jc w:val="both"/>
      </w:pPr>
      <w:r>
        <w:rPr>
          <w:sz w:val="21"/>
          <w:szCs w:val="21"/>
        </w:rPr>
        <w:t xml:space="preserve">The Technical Requirements Document's platform-scoping mechanism (Section 8.3) is an architectural control. This section states the privacy design principle it implements and why the principle, not only the mechanism, matters.</w:t>
      </w:r>
    </w:p>
    <w:p>
      <w:pPr>
        <w:pStyle w:val="Heading2"/>
        <w:spacing w:after="180" w:before="360"/>
      </w:pPr>
      <w:r>
        <w:rPr>
          <w:b/>
          <w:bCs/>
          <w:color w:val="2E5EAA"/>
          <w:sz w:val="26"/>
          <w:szCs w:val="26"/>
        </w:rPr>
        <w:t xml:space="preserve">3.1 The principle</w:t>
      </w:r>
    </w:p>
    <w:p>
      <w:pPr>
        <w:spacing w:after="200" w:line="300"/>
        <w:jc w:val="both"/>
      </w:pPr>
      <w:r>
        <w:rPr>
          <w:sz w:val="21"/>
          <w:szCs w:val="21"/>
        </w:rPr>
        <w:t xml:space="preserve">A person verified on Platform A's dating app has a reasonable expectation that Platform B — a video-calling app, a livestreaming platform, or another dating app — does not automatically learn anything about their presence, activity, or trust status on Platform A, merely because both platforms use Certivo. Building a persistent, cross-session device credential and NOT building this guarantee in from the start would create exactly the kind of cross-platform tracking capability the advertising and data-broker industry has spent the last decade being criticized for — a particularly acute risk for a company whose entire mission (Vision Document, Document 1) is to be a trust layer, not a surveillance layer.</w:t>
      </w:r>
    </w:p>
    <w:p>
      <w:pPr>
        <w:pStyle w:val="Heading2"/>
        <w:spacing w:after="180" w:before="360"/>
      </w:pPr>
      <w:r>
        <w:rPr>
          <w:b/>
          <w:bCs/>
          <w:color w:val="2E5EAA"/>
          <w:sz w:val="26"/>
          <w:szCs w:val="26"/>
        </w:rPr>
        <w:t xml:space="preserve">3.2 Why this is a non-negotiable, not a configurable option</w:t>
      </w:r>
    </w:p>
    <w:p>
      <w:pPr>
        <w:spacing w:after="200" w:line="300"/>
        <w:jc w:val="both"/>
      </w:pPr>
      <w:r>
        <w:rPr>
          <w:sz w:val="21"/>
          <w:szCs w:val="21"/>
        </w:rPr>
        <w:t xml:space="preserve">Consistent with the Vision Document's Non-Negotiables (Document 1, Section 6, Version 2.0's added entry), platform scoping is not offered as an opt-out or a premium configuration a partner could disable — it is a hard architectural property of how the Trusted Device Token is constructed (Technical Requirements Document, Section 8.3's cryptographic scope-binding), meaning no partner, however large or however much they might request it commercially, can be sold a version of the Trusted Device Layer without this guarantee intact.</w:t>
      </w:r>
    </w:p>
    <w:p>
      <w:pPr>
        <w:pStyle w:val="Heading2"/>
        <w:spacing w:after="180" w:before="360"/>
      </w:pPr>
      <w:r>
        <w:rPr>
          <w:b/>
          <w:bCs/>
          <w:color w:val="2E5EAA"/>
          <w:sz w:val="26"/>
          <w:szCs w:val="26"/>
        </w:rPr>
        <w:t xml:space="preserve">3.3 The narrow, explicit exception</w:t>
      </w:r>
    </w:p>
    <w:p>
      <w:pPr>
        <w:spacing w:after="200" w:line="300"/>
        <w:jc w:val="both"/>
      </w:pPr>
      <w:r>
        <w:rPr>
          <w:sz w:val="21"/>
          <w:szCs w:val="21"/>
        </w:rPr>
        <w:t xml:space="preserve">The only path by which information could ever be linked across two platforms is a future, separately-built cross-platform trust portability mechanism (Vision Document, Document 1, Section 4.3; AI Research Specification, Document 8, Section 9), which — per that document's own treatment — is deliberately deferred given its privacy and cryptographic design difficulty, and would itself require its own separate, explicit, per-instance user consent to link two specific platforms' trust relationships, never a blanket or default-on linking capability.</w:t>
      </w:r>
    </w:p>
    <w:p>
      <w:pPr>
        <w:pStyle w:val="Heading1"/>
        <w:pageBreakBefore/>
        <w:spacing w:after="240" w:before="480"/>
      </w:pPr>
      <w:r>
        <w:rPr>
          <w:b/>
          <w:bCs/>
          <w:color w:val="1A2B4C"/>
          <w:sz w:val="32"/>
          <w:szCs w:val="32"/>
        </w:rPr>
        <w:t xml:space="preserve">5. GDPR-Style Principles (Extended)</w:t>
      </w:r>
    </w:p>
    <w:p>
      <w:pPr>
        <w:spacing w:after="200" w:line="300"/>
        <w:jc w:val="both"/>
      </w:pPr>
      <w:r>
        <w:rPr>
          <w:sz w:val="21"/>
          <w:szCs w:val="21"/>
        </w:rPr>
        <w:t xml:space="preserve">Extends Version 1.0's principle mapping (Document 10, Table 5.1) with the Trusted Device Layer's specific implementation of each principle.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Principle</w:t>
            </w:r>
          </w:p>
        </w:tc>
        <w:tc>
          <w:tcPr>
            <w:tcW w:type="dxa" w:w="6800"/>
            <w:shd w:fill="1A2B4C" w:val="clear"/>
            <w:tcMar>
              <w:top w:type="dxa" w:w="100"/>
              <w:left w:type="dxa" w:w="140"/>
              <w:bottom w:type="dxa" w:w="100"/>
              <w:right w:type="dxa" w:w="140"/>
            </w:tcMar>
          </w:tcPr>
          <w:p>
            <w:r>
              <w:rPr>
                <w:b/>
                <w:bCs/>
                <w:color w:val="FFFFFF"/>
                <w:sz w:val="19"/>
                <w:szCs w:val="19"/>
              </w:rPr>
              <w:t xml:space="preserve">Trusted Device Layer implementation</w:t>
            </w:r>
          </w:p>
        </w:tc>
      </w:tr>
      <w:tr>
        <w:tc>
          <w:tcPr>
            <w:tcW w:type="dxa" w:w="2600"/>
            <w:shd w:fill="F4F6F9" w:val="clear"/>
            <w:tcMar>
              <w:top w:type="dxa" w:w="100"/>
              <w:left w:type="dxa" w:w="140"/>
              <w:bottom w:type="dxa" w:w="100"/>
              <w:right w:type="dxa" w:w="140"/>
            </w:tcMar>
          </w:tcPr>
          <w:p>
            <w:r>
              <w:rPr>
                <w:sz w:val="19"/>
                <w:szCs w:val="19"/>
              </w:rPr>
              <w:t xml:space="preserve">Purpose limitation</w:t>
            </w:r>
          </w:p>
        </w:tc>
        <w:tc>
          <w:tcPr>
            <w:tcW w:type="dxa" w:w="6800"/>
            <w:shd w:fill="F4F6F9" w:val="clear"/>
            <w:tcMar>
              <w:top w:type="dxa" w:w="100"/>
              <w:left w:type="dxa" w:w="140"/>
              <w:bottom w:type="dxa" w:w="100"/>
              <w:right w:type="dxa" w:w="140"/>
            </w:tcMar>
          </w:tcPr>
          <w:p>
            <w:r>
              <w:rPr>
                <w:sz w:val="19"/>
                <w:szCs w:val="19"/>
              </w:rPr>
              <w:t xml:space="preserve">A Trusted Device Token's platform-scope binding (Section 3) is itself a purpose-limitation control — the token cannot be repurposed for a use (identifying the device on a different platform) beyond the one it was issued for.</w:t>
            </w:r>
          </w:p>
        </w:tc>
      </w:tr>
      <w:tr>
        <w:tc>
          <w:tcPr>
            <w:tcW w:type="dxa" w:w="2600"/>
            <w:shd w:fill="FFFFFF" w:val="clear"/>
            <w:tcMar>
              <w:top w:type="dxa" w:w="100"/>
              <w:left w:type="dxa" w:w="140"/>
              <w:bottom w:type="dxa" w:w="100"/>
              <w:right w:type="dxa" w:w="140"/>
            </w:tcMar>
          </w:tcPr>
          <w:p>
            <w:r>
              <w:rPr>
                <w:sz w:val="19"/>
                <w:szCs w:val="19"/>
              </w:rPr>
              <w:t xml:space="preserve">Data minimization</w:t>
            </w:r>
          </w:p>
        </w:tc>
        <w:tc>
          <w:tcPr>
            <w:tcW w:type="dxa" w:w="6800"/>
            <w:shd w:fill="FFFFFF" w:val="clear"/>
            <w:tcMar>
              <w:top w:type="dxa" w:w="100"/>
              <w:left w:type="dxa" w:w="140"/>
              <w:bottom w:type="dxa" w:w="100"/>
              <w:right w:type="dxa" w:w="140"/>
            </w:tcMar>
          </w:tcPr>
          <w:p>
            <w:r>
              <w:rPr>
                <w:sz w:val="19"/>
                <w:szCs w:val="19"/>
              </w:rPr>
              <w:t xml:space="preserve">The token stores a device public key and trust tier, not the underlying attestation payload's full detail beyond what's needed for audit (Section 2's attestation_reference field, Database Design Table 2.1) — no biometric data, no behavioral history beyond what the trust tier itself represents.</w:t>
            </w:r>
          </w:p>
        </w:tc>
      </w:tr>
      <w:tr>
        <w:tc>
          <w:tcPr>
            <w:tcW w:type="dxa" w:w="2600"/>
            <w:shd w:fill="F4F6F9" w:val="clear"/>
            <w:tcMar>
              <w:top w:type="dxa" w:w="100"/>
              <w:left w:type="dxa" w:w="140"/>
              <w:bottom w:type="dxa" w:w="100"/>
              <w:right w:type="dxa" w:w="140"/>
            </w:tcMar>
          </w:tcPr>
          <w:p>
            <w:r>
              <w:rPr>
                <w:sz w:val="19"/>
                <w:szCs w:val="19"/>
              </w:rPr>
              <w:t xml:space="preserve">Storage limitation</w:t>
            </w:r>
          </w:p>
        </w:tc>
        <w:tc>
          <w:tcPr>
            <w:tcW w:type="dxa" w:w="6800"/>
            <w:shd w:fill="F4F6F9" w:val="clear"/>
            <w:tcMar>
              <w:top w:type="dxa" w:w="100"/>
              <w:left w:type="dxa" w:w="140"/>
              <w:bottom w:type="dxa" w:w="100"/>
              <w:right w:type="dxa" w:w="140"/>
            </w:tcMar>
          </w:tcPr>
          <w:p>
            <w:r>
              <w:rPr>
                <w:sz w:val="19"/>
                <w:szCs w:val="19"/>
              </w:rPr>
              <w:t xml:space="preserve">Mandatory, non-permanent expiry (FR-D.5) and the short post-revocation retention window (Table 2.1) — no configuration path exists to make a token permanent.</w:t>
            </w:r>
          </w:p>
        </w:tc>
      </w:tr>
      <w:tr>
        <w:tc>
          <w:tcPr>
            <w:tcW w:type="dxa" w:w="2600"/>
            <w:shd w:fill="FFFFFF" w:val="clear"/>
            <w:tcMar>
              <w:top w:type="dxa" w:w="100"/>
              <w:left w:type="dxa" w:w="140"/>
              <w:bottom w:type="dxa" w:w="100"/>
              <w:right w:type="dxa" w:w="140"/>
            </w:tcMar>
          </w:tcPr>
          <w:p>
            <w:r>
              <w:rPr>
                <w:sz w:val="19"/>
                <w:szCs w:val="19"/>
              </w:rPr>
              <w:t xml:space="preserve">Accountability</w:t>
            </w:r>
          </w:p>
        </w:tc>
        <w:tc>
          <w:tcPr>
            <w:tcW w:type="dxa" w:w="6800"/>
            <w:shd w:fill="FFFFFF" w:val="clear"/>
            <w:tcMar>
              <w:top w:type="dxa" w:w="100"/>
              <w:left w:type="dxa" w:w="140"/>
              <w:bottom w:type="dxa" w:w="100"/>
              <w:right w:type="dxa" w:w="140"/>
            </w:tcMar>
          </w:tcPr>
          <w:p>
            <w:r>
              <w:rPr>
                <w:sz w:val="19"/>
                <w:szCs w:val="19"/>
              </w:rPr>
              <w:t xml:space="preserve">Every issuance, validation check, and revocation is audit-logged (Security Architecture, Document 9, Table 8.1, Version 2.0), giving the same demonstrable accountability standard Version 1.0 established for the platform generally.</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Privacy Architecture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2026-07-06T21:56:45.219Z</dcterms:created>
  <dcterms:modified xsi:type="dcterms:W3CDTF">2026-07-06T21:56:45.219Z</dcterms:modified>
</cp:coreProperties>
</file>

<file path=docProps/custom.xml><?xml version="1.0" encoding="utf-8"?>
<Properties xmlns="http://schemas.openxmlformats.org/officeDocument/2006/custom-properties" xmlns:vt="http://schemas.openxmlformats.org/officeDocument/2006/docPropsVTypes"/>
</file>