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b/>
          <w:bCs/>
          <w:color w:val="1A2B4C"/>
          <w:sz w:val="72"/>
          <w:szCs w:val="72"/>
        </w:rPr>
        <w:t xml:space="preserve">CERTIVO</w:t>
      </w:r>
    </w:p>
    <w:p>
      <w:pPr>
        <w:spacing w:after="200" w:before="200"/>
        <w:jc w:val="center"/>
      </w:pPr>
      <w:r>
        <w:rPr>
          <w:i/>
          <w:iCs/>
          <w:color w:val="2E5EAA"/>
          <w:sz w:val="26"/>
          <w:szCs w:val="26"/>
        </w:rPr>
        <w:t xml:space="preserve">Trust Infrastructure for the Age of Artificial Intelligence</w:t>
      </w:r>
    </w:p>
    <w:p>
      <w:pPr>
        <w:spacing w:before="800"/>
        <w:jc w:val="center"/>
      </w:pPr>
      <w:r>
        <w:rPr>
          <w:b/>
          <w:bCs/>
          <w:color w:val="6B7280"/>
          <w:sz w:val="32"/>
          <w:szCs w:val="32"/>
        </w:rPr>
        <w:t xml:space="preserve">UX SPECIFICATION</w:t>
      </w:r>
    </w:p>
    <w:p>
      <w:pPr>
        <w:spacing w:before="200"/>
        <w:jc w:val="center"/>
      </w:pPr>
      <w:r>
        <w:rPr>
          <w:color w:val="6B7280"/>
          <w:sz w:val="20"/>
          <w:szCs w:val="20"/>
        </w:rPr>
        <w:t xml:space="preserve">Document 14 of 18 — Phase 6: Product Design — Version 2.0</w:t>
      </w:r>
    </w:p>
    <w:p>
      <w:pPr>
        <w:spacing w:before="100"/>
        <w:jc w:val="center"/>
      </w:pPr>
      <w:r>
        <w:rPr>
          <w:color w:val="6B7280"/>
          <w:sz w:val="18"/>
          <w:szCs w:val="18"/>
        </w:rPr>
        <w:t xml:space="preserve">Version 1.0  |  Confidential  |  Internal Use</w:t>
      </w:r>
    </w:p>
    <w:p>
      <w:r>
        <w:br w:type="page"/>
      </w:r>
    </w:p>
    <w:p>
      <w:pPr>
        <w:pStyle w:val="Heading1"/>
        <w:spacing w:after="240" w:before="480"/>
      </w:pPr>
      <w:r>
        <w:rPr>
          <w:b/>
          <w:bCs/>
          <w:color w:val="1A2B4C"/>
          <w:sz w:val="32"/>
          <w:szCs w:val="32"/>
        </w:rPr>
        <w:t xml:space="preserve">Revision Note (Version 2.0)</w:t>
      </w:r>
    </w:p>
    <w:p>
      <w:pPr>
        <w:spacing w:after="200" w:line="300"/>
        <w:jc w:val="both"/>
      </w:pPr>
      <w:r>
        <w:rPr>
          <w:sz w:val="21"/>
          <w:szCs w:val="21"/>
        </w:rPr>
        <w:t xml:space="preserve">This document supersedes Version 1.0. It adds the in-call verification flow, the Trusted Device Layer's distinct consent flow, and the device-switch response flow — none of which have a point-in-time equivalent. Version 1.0's error-state, loading-state, and mobile/desktop guidance remain the baseline and are extended, not replaced.</w:t>
      </w:r>
    </w:p>
    <w:p>
      <w:pPr>
        <w:pStyle w:val="Heading1"/>
        <w:pageBreakBefore/>
        <w:spacing w:after="240" w:before="480"/>
      </w:pPr>
      <w:r>
        <w:rPr>
          <w:b/>
          <w:bCs/>
          <w:color w:val="1A2B4C"/>
          <w:sz w:val="32"/>
          <w:szCs w:val="32"/>
        </w:rPr>
        <w:t xml:space="preserve">2. In-Call Verification Flow (New)</w:t>
      </w:r>
    </w:p>
    <w:p>
      <w:pPr>
        <w:pStyle w:val="Heading2"/>
        <w:spacing w:after="180" w:before="360"/>
      </w:pPr>
      <w:r>
        <w:rPr>
          <w:b/>
          <w:bCs/>
          <w:color w:val="2E5EAA"/>
          <w:sz w:val="26"/>
          <w:szCs w:val="26"/>
        </w:rPr>
        <w:t xml:space="preserve">2.1 Detailed screen/state walkthrough</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600"/>
      </w:tblGrid>
      <w:tr>
        <w:trPr>
          <w:tblHeader/>
        </w:trPr>
        <w:tc>
          <w:tcPr>
            <w:tcW w:type="dxa" w:w="2200"/>
            <w:shd w:fill="1A2B4C" w:val="clear"/>
            <w:tcMar>
              <w:top w:type="dxa" w:w="100"/>
              <w:left w:type="dxa" w:w="140"/>
              <w:bottom w:type="dxa" w:w="100"/>
              <w:right w:type="dxa" w:w="140"/>
            </w:tcMar>
          </w:tcPr>
          <w:p>
            <w:r>
              <w:rPr>
                <w:b/>
                <w:bCs/>
                <w:color w:val="FFFFFF"/>
                <w:sz w:val="19"/>
                <w:szCs w:val="19"/>
              </w:rPr>
              <w:t xml:space="preserve">Screen state</w:t>
            </w:r>
          </w:p>
        </w:tc>
        <w:tc>
          <w:tcPr>
            <w:tcW w:type="dxa" w:w="4400"/>
            <w:shd w:fill="1A2B4C" w:val="clear"/>
            <w:tcMar>
              <w:top w:type="dxa" w:w="100"/>
              <w:left w:type="dxa" w:w="140"/>
              <w:bottom w:type="dxa" w:w="100"/>
              <w:right w:type="dxa" w:w="140"/>
            </w:tcMar>
          </w:tcPr>
          <w:p>
            <w:r>
              <w:rPr>
                <w:b/>
                <w:bCs/>
                <w:color w:val="FFFFFF"/>
                <w:sz w:val="19"/>
                <w:szCs w:val="19"/>
              </w:rPr>
              <w:t xml:space="preserve">What each participant sees</w:t>
            </w:r>
          </w:p>
        </w:tc>
        <w:tc>
          <w:tcPr>
            <w:tcW w:type="dxa" w:w="2600"/>
            <w:shd w:fill="1A2B4C" w:val="clear"/>
            <w:tcMar>
              <w:top w:type="dxa" w:w="100"/>
              <w:left w:type="dxa" w:w="140"/>
              <w:bottom w:type="dxa" w:w="100"/>
              <w:right w:type="dxa" w:w="140"/>
            </w:tcMar>
          </w:tcPr>
          <w:p>
            <w:r>
              <w:rPr>
                <w:b/>
                <w:bCs/>
                <w:color w:val="FFFFFF"/>
                <w:sz w:val="19"/>
                <w:szCs w:val="19"/>
              </w:rPr>
              <w:t xml:space="preserve">Design system components used</w:t>
            </w:r>
          </w:p>
        </w:tc>
      </w:tr>
      <w:tr>
        <w:tc>
          <w:tcPr>
            <w:tcW w:type="dxa" w:w="2200"/>
            <w:shd w:fill="F4F6F9" w:val="clear"/>
            <w:tcMar>
              <w:top w:type="dxa" w:w="100"/>
              <w:left w:type="dxa" w:w="140"/>
              <w:bottom w:type="dxa" w:w="100"/>
              <w:right w:type="dxa" w:w="140"/>
            </w:tcMar>
          </w:tcPr>
          <w:p>
            <w:r>
              <w:rPr>
                <w:sz w:val="19"/>
                <w:szCs w:val="19"/>
              </w:rPr>
              <w:t xml:space="preserve">1. Call join, consent (first time on this platform)</w:t>
            </w:r>
          </w:p>
        </w:tc>
        <w:tc>
          <w:tcPr>
            <w:tcW w:type="dxa" w:w="4400"/>
            <w:shd w:fill="F4F6F9" w:val="clear"/>
            <w:tcMar>
              <w:top w:type="dxa" w:w="100"/>
              <w:left w:type="dxa" w:w="140"/>
              <w:bottom w:type="dxa" w:w="100"/>
              <w:right w:type="dxa" w:w="140"/>
            </w:tcMar>
          </w:tcPr>
          <w:p>
            <w:r>
              <w:rPr>
                <w:sz w:val="19"/>
                <w:szCs w:val="19"/>
              </w:rPr>
              <w:t xml:space="preserve">Base verification consent (per Privacy Architecture, Document 10, Section 1) presented once, before camera access begins, per the existing consent flow (Version 1.0, Section 2.1's ConsentNotice component)</w:t>
            </w:r>
          </w:p>
        </w:tc>
        <w:tc>
          <w:tcPr>
            <w:tcW w:type="dxa" w:w="2600"/>
            <w:shd w:fill="F4F6F9" w:val="clear"/>
            <w:tcMar>
              <w:top w:type="dxa" w:w="100"/>
              <w:left w:type="dxa" w:w="140"/>
              <w:bottom w:type="dxa" w:w="100"/>
              <w:right w:type="dxa" w:w="140"/>
            </w:tcMar>
          </w:tcPr>
          <w:p>
            <w:r>
              <w:rPr>
                <w:sz w:val="19"/>
                <w:szCs w:val="19"/>
              </w:rPr>
              <w:t xml:space="preserve">ConsentNotice (unchanged from Version 1.0)</w:t>
            </w:r>
          </w:p>
        </w:tc>
      </w:tr>
      <w:tr>
        <w:tc>
          <w:tcPr>
            <w:tcW w:type="dxa" w:w="2200"/>
            <w:shd w:fill="FFFFFF" w:val="clear"/>
            <w:tcMar>
              <w:top w:type="dxa" w:w="100"/>
              <w:left w:type="dxa" w:w="140"/>
              <w:bottom w:type="dxa" w:w="100"/>
              <w:right w:type="dxa" w:w="140"/>
            </w:tcMar>
          </w:tcPr>
          <w:p>
            <w:r>
              <w:rPr>
                <w:sz w:val="19"/>
                <w:szCs w:val="19"/>
              </w:rPr>
              <w:t xml:space="preserve">2. Call in progress, stable trust</w:t>
            </w:r>
          </w:p>
        </w:tc>
        <w:tc>
          <w:tcPr>
            <w:tcW w:type="dxa" w:w="4400"/>
            <w:shd w:fill="FFFFFF" w:val="clear"/>
            <w:tcMar>
              <w:top w:type="dxa" w:w="100"/>
              <w:left w:type="dxa" w:w="140"/>
              <w:bottom w:type="dxa" w:w="100"/>
              <w:right w:type="dxa" w:w="140"/>
            </w:tcMar>
          </w:tcPr>
          <w:p>
            <w:r>
              <w:rPr>
                <w:sz w:val="19"/>
                <w:szCs w:val="19"/>
              </w:rPr>
              <w:t xml:space="preserve">A small, unobtrusive InCallTrustIndicator for each other participant, in its default state (Design System, Document 13, Table 6.1)</w:t>
            </w:r>
          </w:p>
        </w:tc>
        <w:tc>
          <w:tcPr>
            <w:tcW w:type="dxa" w:w="2600"/>
            <w:shd w:fill="FFFFFF" w:val="clear"/>
            <w:tcMar>
              <w:top w:type="dxa" w:w="100"/>
              <w:left w:type="dxa" w:w="140"/>
              <w:bottom w:type="dxa" w:w="100"/>
              <w:right w:type="dxa" w:w="140"/>
            </w:tcMar>
          </w:tcPr>
          <w:p>
            <w:r>
              <w:rPr>
                <w:sz w:val="19"/>
                <w:szCs w:val="19"/>
              </w:rPr>
              <w:t xml:space="preserve">InCallTrustIndicator (default state)</w:t>
            </w:r>
          </w:p>
        </w:tc>
      </w:tr>
      <w:tr>
        <w:tc>
          <w:tcPr>
            <w:tcW w:type="dxa" w:w="2200"/>
            <w:shd w:fill="F4F6F9" w:val="clear"/>
            <w:tcMar>
              <w:top w:type="dxa" w:w="100"/>
              <w:left w:type="dxa" w:w="140"/>
              <w:bottom w:type="dxa" w:w="100"/>
              <w:right w:type="dxa" w:w="140"/>
            </w:tcMar>
          </w:tcPr>
          <w:p>
            <w:r>
              <w:rPr>
                <w:sz w:val="19"/>
                <w:szCs w:val="19"/>
              </w:rPr>
              <w:t xml:space="preserve">3. Borderline confidence</w:t>
            </w:r>
          </w:p>
        </w:tc>
        <w:tc>
          <w:tcPr>
            <w:tcW w:type="dxa" w:w="4400"/>
            <w:shd w:fill="F4F6F9" w:val="clear"/>
            <w:tcMar>
              <w:top w:type="dxa" w:w="100"/>
              <w:left w:type="dxa" w:w="140"/>
              <w:bottom w:type="dxa" w:w="100"/>
              <w:right w:type="dxa" w:w="140"/>
            </w:tcMar>
          </w:tcPr>
          <w:p>
            <w:r>
              <w:rPr>
                <w:sz w:val="19"/>
                <w:szCs w:val="19"/>
              </w:rPr>
              <w:t xml:space="preserve">Indicator briefly shifts to the warning treatment, then returns to default if confidence recovers, or progresses to state 4 if it doesn't</w:t>
            </w:r>
          </w:p>
        </w:tc>
        <w:tc>
          <w:tcPr>
            <w:tcW w:type="dxa" w:w="2600"/>
            <w:shd w:fill="F4F6F9" w:val="clear"/>
            <w:tcMar>
              <w:top w:type="dxa" w:w="100"/>
              <w:left w:type="dxa" w:w="140"/>
              <w:bottom w:type="dxa" w:w="100"/>
              <w:right w:type="dxa" w:w="140"/>
            </w:tcMar>
          </w:tcPr>
          <w:p>
            <w:r>
              <w:rPr>
                <w:sz w:val="19"/>
                <w:szCs w:val="19"/>
              </w:rPr>
              <w:t xml:space="preserve">InCallTrustIndicator (fallback state)</w:t>
            </w:r>
          </w:p>
        </w:tc>
      </w:tr>
      <w:tr>
        <w:tc>
          <w:tcPr>
            <w:tcW w:type="dxa" w:w="2200"/>
            <w:shd w:fill="FFFFFF" w:val="clear"/>
            <w:tcMar>
              <w:top w:type="dxa" w:w="100"/>
              <w:left w:type="dxa" w:w="140"/>
              <w:bottom w:type="dxa" w:w="100"/>
              <w:right w:type="dxa" w:w="140"/>
            </w:tcMar>
          </w:tcPr>
          <w:p>
            <w:r>
              <w:rPr>
                <w:sz w:val="19"/>
                <w:szCs w:val="19"/>
              </w:rPr>
              <w:t xml:space="preserve">4. Confidence dropped, platform-configured response fires</w:t>
            </w:r>
          </w:p>
        </w:tc>
        <w:tc>
          <w:tcPr>
            <w:tcW w:type="dxa" w:w="4400"/>
            <w:shd w:fill="FFFFFF" w:val="clear"/>
            <w:tcMar>
              <w:top w:type="dxa" w:w="100"/>
              <w:left w:type="dxa" w:w="140"/>
              <w:bottom w:type="dxa" w:w="100"/>
              <w:right w:type="dxa" w:w="140"/>
            </w:tcMar>
          </w:tcPr>
          <w:p>
            <w:r>
              <w:rPr>
                <w:sz w:val="19"/>
                <w:szCs w:val="19"/>
              </w:rPr>
              <w:t xml:space="preserve">Depends entirely on the partner's own trust &amp; safety configuration (Design System, Document 13, Section 6.3) — may range from a private prompt visible only to the affected participant, to a visible-to-all-participants warning, to a silent flag for moderator review with no visible change to any participant</w:t>
            </w:r>
          </w:p>
        </w:tc>
        <w:tc>
          <w:tcPr>
            <w:tcW w:type="dxa" w:w="2600"/>
            <w:shd w:fill="FFFFFF" w:val="clear"/>
            <w:tcMar>
              <w:top w:type="dxa" w:w="100"/>
              <w:left w:type="dxa" w:w="140"/>
              <w:bottom w:type="dxa" w:w="100"/>
              <w:right w:type="dxa" w:w="140"/>
            </w:tcMar>
          </w:tcPr>
          <w:p>
            <w:r>
              <w:rPr>
                <w:sz w:val="19"/>
                <w:szCs w:val="19"/>
              </w:rPr>
              <w:t xml:space="preserve">InCallTrustIndicator (flagged state) + partner-specific response UI, not a single Certivo-mandated treatment</w:t>
            </w:r>
          </w:p>
        </w:tc>
      </w:tr>
      <w:tr>
        <w:tc>
          <w:tcPr>
            <w:tcW w:type="dxa" w:w="2200"/>
            <w:shd w:fill="F4F6F9" w:val="clear"/>
            <w:tcMar>
              <w:top w:type="dxa" w:w="100"/>
              <w:left w:type="dxa" w:w="140"/>
              <w:bottom w:type="dxa" w:w="100"/>
              <w:right w:type="dxa" w:w="140"/>
            </w:tcMar>
          </w:tcPr>
          <w:p>
            <w:r>
              <w:rPr>
                <w:sz w:val="19"/>
                <w:szCs w:val="19"/>
              </w:rPr>
              <w:t xml:space="preserve">5. Verification paused (connectivity issue)</w:t>
            </w:r>
          </w:p>
        </w:tc>
        <w:tc>
          <w:tcPr>
            <w:tcW w:type="dxa" w:w="4400"/>
            <w:shd w:fill="F4F6F9" w:val="clear"/>
            <w:tcMar>
              <w:top w:type="dxa" w:w="100"/>
              <w:left w:type="dxa" w:w="140"/>
              <w:bottom w:type="dxa" w:w="100"/>
              <w:right w:type="dxa" w:w="140"/>
            </w:tcMar>
          </w:tcPr>
          <w:p>
            <w:r>
              <w:rPr>
                <w:sz w:val="19"/>
                <w:szCs w:val="19"/>
              </w:rPr>
              <w:t xml:space="preserve">A neutral, clearly-distinct-from-state-4 indicator, with no implication about any participant's authenticity</w:t>
            </w:r>
          </w:p>
        </w:tc>
        <w:tc>
          <w:tcPr>
            <w:tcW w:type="dxa" w:w="2600"/>
            <w:shd w:fill="F4F6F9" w:val="clear"/>
            <w:tcMar>
              <w:top w:type="dxa" w:w="100"/>
              <w:left w:type="dxa" w:w="140"/>
              <w:bottom w:type="dxa" w:w="100"/>
              <w:right w:type="dxa" w:w="140"/>
            </w:tcMar>
          </w:tcPr>
          <w:p>
            <w:r>
              <w:rPr>
                <w:sz w:val="19"/>
                <w:szCs w:val="19"/>
              </w:rPr>
              <w:t xml:space="preserve">InCallTrustIndicator (paused state)</w:t>
            </w:r>
          </w:p>
        </w:tc>
      </w:tr>
      <w:tr>
        <w:tc>
          <w:tcPr>
            <w:tcW w:type="dxa" w:w="2200"/>
            <w:shd w:fill="FFFFFF" w:val="clear"/>
            <w:tcMar>
              <w:top w:type="dxa" w:w="100"/>
              <w:left w:type="dxa" w:w="140"/>
              <w:bottom w:type="dxa" w:w="100"/>
              <w:right w:type="dxa" w:w="140"/>
            </w:tcMar>
          </w:tcPr>
          <w:p>
            <w:r>
              <w:rPr>
                <w:sz w:val="19"/>
                <w:szCs w:val="19"/>
              </w:rPr>
              <w:t xml:space="preserve">6. Call ends</w:t>
            </w:r>
          </w:p>
        </w:tc>
        <w:tc>
          <w:tcPr>
            <w:tcW w:type="dxa" w:w="4400"/>
            <w:shd w:fill="FFFFFF" w:val="clear"/>
            <w:tcMar>
              <w:top w:type="dxa" w:w="100"/>
              <w:left w:type="dxa" w:w="140"/>
              <w:bottom w:type="dxa" w:w="100"/>
              <w:right w:type="dxa" w:w="140"/>
            </w:tcMar>
          </w:tcPr>
          <w:p>
            <w:r>
              <w:rPr>
                <w:sz w:val="19"/>
                <w:szCs w:val="19"/>
              </w:rPr>
              <w:t xml:space="preserve">No explicit end-of-call summary shown to participants by default (this would be an unusual, potentially unsettling addition to an ordinary call-ending experience) — the session-length attestation is available to the partner platform, not surfaced as a participant-facing screen unless a partner specifically chooses to build one</w:t>
            </w:r>
          </w:p>
        </w:tc>
        <w:tc>
          <w:tcPr>
            <w:tcW w:type="dxa" w:w="2600"/>
            <w:shd w:fill="FFFFFF" w:val="clear"/>
            <w:tcMar>
              <w:top w:type="dxa" w:w="100"/>
              <w:left w:type="dxa" w:w="140"/>
              <w:bottom w:type="dxa" w:w="100"/>
              <w:right w:type="dxa" w:w="140"/>
            </w:tcMar>
          </w:tcPr>
          <w:p>
            <w:r>
              <w:rPr>
                <w:sz w:val="19"/>
                <w:szCs w:val="19"/>
              </w:rPr>
              <w:t xml:space="preserve">N/A — deliberately no new component here</w:t>
            </w:r>
          </w:p>
        </w:tc>
      </w:tr>
    </w:tbl>
    <w:p>
      <w:pPr>
        <w:spacing w:after="260" w:before="80"/>
      </w:pPr>
      <w:r>
        <w:rPr>
          <w:i/>
          <w:iCs/>
          <w:color w:val="6B7280"/>
          <w:sz w:val="18"/>
          <w:szCs w:val="18"/>
        </w:rPr>
        <w:t xml:space="preserve">Table 2.1 — In-call verification flow, screen by screen.</w:t>
      </w:r>
    </w:p>
    <w:p>
      <w:pPr>
        <w:pStyle w:val="Heading2"/>
        <w:spacing w:after="180" w:before="360"/>
      </w:pPr>
      <w:r>
        <w:rPr>
          <w:b/>
          <w:bCs/>
          <w:color w:val="2E5EAA"/>
          <w:sz w:val="26"/>
          <w:szCs w:val="26"/>
        </w:rPr>
        <w:t xml:space="preserve">2.2 Why state 4's exact treatment is deliberately left to the partner</w:t>
      </w:r>
    </w:p>
    <w:p>
      <w:pPr>
        <w:spacing w:after="200" w:line="300"/>
        <w:jc w:val="both"/>
      </w:pPr>
      <w:r>
        <w:rPr>
          <w:sz w:val="21"/>
          <w:szCs w:val="21"/>
        </w:rPr>
        <w:t xml:space="preserve">Unlike Version 1.0's account-recovery flow, where Certivo's own UX guidance could reasonably specify the end-user experience in detail, a confidence-drop event during a live, multi-party call has genuinely different correct answers depending on context — a dating platform's safety needs, a corporate meeting platform's professional-context needs, and a livestreaming platform's large-audience needs are different enough that a single mandated UX pattern would be wrong for at least some partners. The UX Specification's role here is narrower and more deliberate than in Version 1.0: define the visual vocabulary (Design System, Document 13, Table 6.1) and the range of configurable responses, not a single prescribed flow.</w:t>
      </w:r>
    </w:p>
    <w:p>
      <w:pPr>
        <w:pStyle w:val="Heading1"/>
        <w:pageBreakBefore/>
        <w:spacing w:after="240" w:before="480"/>
      </w:pPr>
      <w:r>
        <w:rPr>
          <w:b/>
          <w:bCs/>
          <w:color w:val="1A2B4C"/>
          <w:sz w:val="32"/>
          <w:szCs w:val="32"/>
        </w:rPr>
        <w:t xml:space="preserve">3. Trusted Device Consent Flow (New)</w:t>
      </w:r>
    </w:p>
    <w:p>
      <w:pPr>
        <w:pStyle w:val="Heading2"/>
        <w:spacing w:after="180" w:before="360"/>
      </w:pPr>
      <w:r>
        <w:rPr>
          <w:b/>
          <w:bCs/>
          <w:color w:val="2E5EAA"/>
          <w:sz w:val="26"/>
          <w:szCs w:val="26"/>
        </w:rPr>
        <w:t xml:space="preserve">3.1 Flow</w:t>
      </w:r>
    </w:p>
    <w:p>
      <w:pPr>
        <w:pStyle w:val="ListParagraph"/>
        <w:numPr>
          <w:ilvl w:val="0"/>
          <w:numId w:val="2"/>
        </w:numPr>
        <w:spacing w:after="100" w:line="280"/>
      </w:pPr>
      <w:r>
        <w:rPr>
          <w:sz w:val="21"/>
          <w:szCs w:val="21"/>
        </w:rPr>
        <w:t xml:space="preserve">Participant completes a full, successful base verification (Section 2's flow, or the retained point-in-time flow from Version 1.0 for other verticals).</w:t>
      </w:r>
    </w:p>
    <w:p>
      <w:pPr>
        <w:pStyle w:val="ListParagraph"/>
        <w:numPr>
          <w:ilvl w:val="0"/>
          <w:numId w:val="2"/>
        </w:numPr>
        <w:spacing w:after="100" w:line="280"/>
      </w:pPr>
      <w:r>
        <w:rPr>
          <w:sz w:val="21"/>
          <w:szCs w:val="21"/>
        </w:rPr>
        <w:t xml:space="preserve">A distinct second consent step is presented (ConsentStepper component, Design System Document 13, Section 8) — explicitly separate from and after the base verification consent, explaining in plain language that a persistent, revocable credential will be created for this specific device on this specific platform, and that it will not be shared with or usable by any other platform (Privacy Architecture, Document 10, Section 3, Version 2.0).</w:t>
      </w:r>
    </w:p>
    <w:p>
      <w:pPr>
        <w:pStyle w:val="ListParagraph"/>
        <w:numPr>
          <w:ilvl w:val="0"/>
          <w:numId w:val="2"/>
        </w:numPr>
        <w:spacing w:after="100" w:line="280"/>
      </w:pPr>
      <w:r>
        <w:rPr>
          <w:sz w:val="21"/>
          <w:szCs w:val="21"/>
        </w:rPr>
        <w:t xml:space="preserve">If granted, hardware/platform attestation is requested (System Design Document, Figure 5.3) — this happens after consent, never before, so the attestation request itself doesn't imply consent was already assumed.</w:t>
      </w:r>
    </w:p>
    <w:p>
      <w:pPr>
        <w:pStyle w:val="ListParagraph"/>
        <w:numPr>
          <w:ilvl w:val="0"/>
          <w:numId w:val="2"/>
        </w:numPr>
        <w:spacing w:after="100" w:line="280"/>
      </w:pPr>
      <w:r>
        <w:rPr>
          <w:sz w:val="21"/>
          <w:szCs w:val="21"/>
        </w:rPr>
        <w:t xml:space="preserve">The participant is shown their resulting trust tier (TrustTierBadge component) in plain, non-alarming language regardless of which tier was achieved — a Tier 3 (software-only) outcome is presented as 'device recognized' or equivalent everyday language, never as a warning or a lesser result requiring an apology.</w:t>
      </w:r>
    </w:p>
    <w:p>
      <w:pPr>
        <w:pStyle w:val="ListParagraph"/>
        <w:numPr>
          <w:ilvl w:val="0"/>
          <w:numId w:val="2"/>
        </w:numPr>
        <w:spacing w:after="100" w:line="280"/>
      </w:pPr>
      <w:r>
        <w:rPr>
          <w:sz w:val="21"/>
          <w:szCs w:val="21"/>
        </w:rPr>
        <w:t xml:space="preserve">On a later session, the participant experiences reduced friction (skipping full re-verification, System Design Document Figure 5.4) with no additional screen required — the Trusted Device Layer's value to the end user is invisible convenience, not a visible new step.</w:t>
      </w:r>
    </w:p>
    <w:p>
      <w:pPr>
        <w:pStyle w:val="Heading2"/>
        <w:spacing w:after="180" w:before="360"/>
      </w:pPr>
      <w:r>
        <w:rPr>
          <w:b/>
          <w:bCs/>
          <w:color w:val="2E5EAA"/>
          <w:sz w:val="26"/>
          <w:szCs w:val="26"/>
        </w:rPr>
        <w:t xml:space="preserve">3.2 Revocation, from the end user's side</w:t>
      </w:r>
    </w:p>
    <w:p>
      <w:pPr>
        <w:spacing w:after="200" w:line="300"/>
        <w:jc w:val="both"/>
      </w:pPr>
      <w:r>
        <w:rPr>
          <w:sz w:val="21"/>
          <w:szCs w:val="21"/>
        </w:rPr>
        <w:t xml:space="preserve">A participant can revoke their own Trusted Device Token at any time via the partner platform's account/privacy settings (surfaced by the partner, using the TrustTierBadge and a standard revocation action, Design System Document 13, Section 8) — presented with the same plain-language clarity as granting it, and taking effect immediately (Technical Requirements Document, Section 8.4), never requiring the participant to wait or follow up to confirm it worked.</w:t>
      </w:r>
    </w:p>
    <w:p>
      <w:pPr>
        <w:pStyle w:val="Heading1"/>
        <w:pageBreakBefore/>
        <w:spacing w:after="240" w:before="480"/>
      </w:pPr>
      <w:r>
        <w:rPr>
          <w:b/>
          <w:bCs/>
          <w:color w:val="1A2B4C"/>
          <w:sz w:val="32"/>
          <w:szCs w:val="32"/>
        </w:rPr>
        <w:t xml:space="preserve">4. Device-Switch Response Flow (New)</w:t>
      </w:r>
    </w:p>
    <w:p>
      <w:pPr>
        <w:spacing w:after="200" w:line="300"/>
        <w:jc w:val="both"/>
      </w:pPr>
      <w:r>
        <w:rPr>
          <w:sz w:val="21"/>
          <w:szCs w:val="21"/>
        </w:rPr>
        <w:t xml:space="preserve">A legitimate device switch (a participant genuinely using a new phone) and a suspicious one (potential account compromise) look identical from the system's perspective at the moment of detection (System Design Document, Figure 5.5) — the UX must handle both gracefully without presuming bad faith.</w:t>
      </w:r>
    </w:p>
    <w:p>
      <w:pPr>
        <w:pStyle w:val="Heading2"/>
        <w:spacing w:after="180" w:before="360"/>
      </w:pPr>
      <w:r>
        <w:rPr>
          <w:b/>
          <w:bCs/>
          <w:color w:val="2E5EAA"/>
          <w:sz w:val="26"/>
          <w:szCs w:val="26"/>
        </w:rPr>
        <w:t xml:space="preserve">4.1 End-user experience</w:t>
      </w:r>
    </w:p>
    <w:p>
      <w:pPr>
        <w:pStyle w:val="ListParagraph"/>
        <w:numPr>
          <w:ilvl w:val="0"/>
          <w:numId w:val="2"/>
        </w:numPr>
        <w:spacing w:after="100" w:line="280"/>
      </w:pPr>
      <w:r>
        <w:rPr>
          <w:sz w:val="21"/>
          <w:szCs w:val="21"/>
        </w:rPr>
        <w:t xml:space="preserve">Participant attempts a session on a new, non-trusted device.</w:t>
      </w:r>
    </w:p>
    <w:p>
      <w:pPr>
        <w:pStyle w:val="ListParagraph"/>
        <w:numPr>
          <w:ilvl w:val="0"/>
          <w:numId w:val="2"/>
        </w:numPr>
        <w:spacing w:after="100" w:line="280"/>
      </w:pPr>
      <w:r>
        <w:rPr>
          <w:sz w:val="21"/>
          <w:szCs w:val="21"/>
        </w:rPr>
        <w:t xml:space="preserve">Rather than an alarming 'suspicious activity detected' message, the experience is framed neutrally: a request to complete verification again on this new device, worded identically to a first-time verification experience, not as an accusation.</w:t>
      </w:r>
    </w:p>
    <w:p>
      <w:pPr>
        <w:pStyle w:val="ListParagraph"/>
        <w:numPr>
          <w:ilvl w:val="0"/>
          <w:numId w:val="2"/>
        </w:numPr>
        <w:spacing w:after="100" w:line="280"/>
      </w:pPr>
      <w:r>
        <w:rPr>
          <w:sz w:val="21"/>
          <w:szCs w:val="21"/>
        </w:rPr>
        <w:t xml:space="preserve">Once re-verified, the participant can optionally establish a new Trusted Device Token for this device (Section 3's flow again), with the platform's own policy determining whether the prior device's token is automatically revoked or left active pending the participant's own action.</w:t>
      </w:r>
    </w:p>
    <w:p>
      <w:pPr>
        <w:pStyle w:val="Heading2"/>
        <w:spacing w:after="180" w:before="360"/>
      </w:pPr>
      <w:r>
        <w:rPr>
          <w:b/>
          <w:bCs/>
          <w:color w:val="2E5EAA"/>
          <w:sz w:val="26"/>
          <w:szCs w:val="26"/>
        </w:rPr>
        <w:t xml:space="preserve">4.2 Why this is framed as routine, not exceptional</w:t>
      </w:r>
    </w:p>
    <w:p>
      <w:pPr>
        <w:spacing w:after="200" w:line="300"/>
        <w:jc w:val="both"/>
      </w:pPr>
      <w:r>
        <w:rPr>
          <w:sz w:val="21"/>
          <w:szCs w:val="21"/>
        </w:rPr>
        <w:t xml:space="preserve">Per the calm-confidence design principle (Design System, Document 13, Section 1.1) applied to this specific, sensitive moment: legitimate device switches (a new phone, a reinstalled app) are common and should never feel like being accused of fraud. The distinction between a routine device switch and a genuinely suspicious one is a job for the partner's own trust &amp; safety policy and backend signals (System Design Document, Figure 5.5's routing options), not for alarming front-end copy applied indiscriminately to every occurrence.</w:t>
      </w:r>
    </w:p>
    <w:p>
      <w:pPr>
        <w:pStyle w:val="Heading1"/>
        <w:pageBreakBefore/>
        <w:spacing w:after="240" w:before="480"/>
      </w:pPr>
      <w:r>
        <w:rPr>
          <w:b/>
          <w:bCs/>
          <w:color w:val="1A2B4C"/>
          <w:sz w:val="32"/>
          <w:szCs w:val="32"/>
        </w:rPr>
        <w:t xml:space="preserve">5. Partner Dashboard Extension (Revised)</w:t>
      </w:r>
    </w:p>
    <w:p>
      <w:pPr>
        <w:spacing w:after="200" w:line="300"/>
        <w:jc w:val="both"/>
      </w:pPr>
      <w:r>
        <w:rPr>
          <w:sz w:val="21"/>
          <w:szCs w:val="21"/>
        </w:rPr>
        <w:t xml:space="preserve">Extends Version 1.0's developer dashboard guidance (Document 14, Section 3) with the call-quality-impact view specific to the flagship.</w:t>
      </w:r>
    </w:p>
    <w:p>
      <w:pPr>
        <w:pStyle w:val="Heading2"/>
        <w:spacing w:after="180" w:before="360"/>
      </w:pPr>
      <w:r>
        <w:rPr>
          <w:b/>
          <w:bCs/>
          <w:color w:val="2E5EAA"/>
          <w:sz w:val="26"/>
          <w:szCs w:val="26"/>
        </w:rPr>
        <w:t xml:space="preserve">5.1 Call-quality-impact view</w:t>
      </w:r>
    </w:p>
    <w:p>
      <w:pPr>
        <w:spacing w:after="200" w:line="300"/>
        <w:jc w:val="both"/>
      </w:pPr>
      <w:r>
        <w:rPr>
          <w:sz w:val="21"/>
          <w:szCs w:val="21"/>
        </w:rPr>
        <w:t xml:space="preserve">Given the Jordan Reyes and Priya Shah personas' (Product Requirements Document, Document 2, Section 4.1, Version 2.0) stated priority — confirming the SDK doesn't hurt call quality before trusting it further — the partner dashboard's home view surfaces the CallQualityImpactChart (Design System, Document 13, Section 8) alongside, not below, the decision/verification analytics Version 1.0 already specified, reflecting that this audience's first question is about performance impact, not verification volume.</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CERTIVO — UX Specification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2026-07-07T05:47:30.646Z</dcterms:created>
  <dcterms:modified xsi:type="dcterms:W3CDTF">2026-07-07T05:47:30.646Z</dcterms:modified>
</cp:coreProperties>
</file>

<file path=docProps/custom.xml><?xml version="1.0" encoding="utf-8"?>
<Properties xmlns="http://schemas.openxmlformats.org/officeDocument/2006/custom-properties" xmlns:vt="http://schemas.openxmlformats.org/officeDocument/2006/docPropsVTypes"/>
</file>