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1A2B4C"/>
          <w:sz w:val="72"/>
          <w:szCs w:val="72"/>
        </w:rPr>
        <w:t xml:space="preserve">CERTIVO</w:t>
      </w:r>
    </w:p>
    <w:p>
      <w:pPr>
        <w:spacing w:after="200" w:before="200"/>
        <w:jc w:val="center"/>
      </w:pPr>
      <w:r>
        <w:rPr>
          <w:i/>
          <w:iCs/>
          <w:color w:val="2E5EAA"/>
          <w:sz w:val="26"/>
          <w:szCs w:val="26"/>
        </w:rPr>
        <w:t xml:space="preserve">Trust Infrastructure for the Age of Artificial Intelligence</w:t>
      </w:r>
    </w:p>
    <w:p>
      <w:pPr>
        <w:spacing w:before="800"/>
        <w:jc w:val="center"/>
      </w:pPr>
      <w:r>
        <w:rPr>
          <w:b/>
          <w:bCs/>
          <w:color w:val="6B7280"/>
          <w:sz w:val="32"/>
          <w:szCs w:val="32"/>
        </w:rPr>
        <w:t xml:space="preserve">INVESTOR HANDBOOK</w:t>
      </w:r>
    </w:p>
    <w:p>
      <w:pPr>
        <w:spacing w:before="200"/>
        <w:jc w:val="center"/>
      </w:pPr>
      <w:r>
        <w:rPr>
          <w:color w:val="6B7280"/>
          <w:sz w:val="20"/>
          <w:szCs w:val="20"/>
        </w:rPr>
        <w:t xml:space="preserve">Document 15 of 18 — Phase 7: Business — Version 2.0</w:t>
      </w:r>
    </w:p>
    <w:p>
      <w:pPr>
        <w:spacing w:before="100"/>
        <w:jc w:val="center"/>
      </w:pPr>
      <w:r>
        <w:rPr>
          <w:color w:val="6B7280"/>
          <w:sz w:val="18"/>
          <w:szCs w:val="18"/>
        </w:rPr>
        <w:t xml:space="preserve">Version 1.0  |  Confidential  |  Internal Use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A2B4C"/>
          <w:sz w:val="32"/>
          <w:szCs w:val="32"/>
        </w:rPr>
        <w:t xml:space="preserve">Revision Note (Version 2.0)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This document supersedes Version 1.0, rewritten around the flagship agreed across the documentation suite (all Version 2.0): continuous, in-call verification embedded as an SDK into video-calling, dating, and livestreaming platforms. As in Version 1.0, this document deliberately avoids asserting specific TAM, revenue, or traction figures without real data or third-party sourcing — that discipline is unchanged and, if anything, more important now, since the flagship targets a category without mature third-party market sizing yet.</w:t>
      </w:r>
    </w:p>
    <w:p>
      <w:pPr>
        <w:pStyle w:val="Heading1"/>
        <w:pageBreakBefore/>
        <w:spacing w:after="240" w:before="480"/>
      </w:pPr>
      <w:r>
        <w:rPr>
          <w:b/>
          <w:bCs/>
          <w:color w:val="1A2B4C"/>
          <w:sz w:val="32"/>
          <w:szCs w:val="32"/>
        </w:rPr>
        <w:t xml:space="preserve">1. Vision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1.1 The one-sentence pitch (revised)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Certivo is the embeddable trust layer for live human interaction — an SDK that video-calling, dating, and livestreaming platforms integrate to give every participant a continuously updated, cryptographically provable signal that the people on the other end are real, present, and unaltered, for the duration of a live call, not just its first three seconds.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1.2 Why this matters now (revised)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As established in the Product Requirements Document's Problem Statement (Document 2, Section 2, Version 2.0), real-time deepfake generation — live face-swap and voice cloning operating within a live call, not just on pre-recorded footage — has moved from research demonstration to consumer-accessible tooling within the last two years. Unlike the original point-in-time framing, this isn't a fraud-prevention feature competing for budget against other fraud tools — it's a category with no existing dedicated defense at all, which is a materially different, and in some ways easier, investment thesis to explain.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1.3 The ten-year ambition (unchanged in substance)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Per the Vision Document (Document 1, Version 2.0, Section 4), the same TLS/Stripe-caliber infrastructure ambition applies — now reached via a different entry point. The flagship's SDK-embed model is, if anything, a more direct path to 'infrastructure other builders depend on and stop thinking about' than the original enterprise-API model, since embedded SDKs that become assumed, invisible infrastructure (analogous to how CPaaS minute-based billing itself became invisible) are a well-precedented path to exactly that outcome.</w:t>
      </w:r>
    </w:p>
    <w:p>
      <w:pPr>
        <w:pStyle w:val="Heading1"/>
        <w:pageBreakBefore/>
        <w:spacing w:after="240" w:before="480"/>
      </w:pPr>
      <w:r>
        <w:rPr>
          <w:b/>
          <w:bCs/>
          <w:color w:val="1A2B4C"/>
          <w:sz w:val="32"/>
          <w:szCs w:val="32"/>
        </w:rPr>
        <w:t xml:space="preserve">2. Market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Restates the Product Requirements Document's revised market analysis (Document 2, Section 3, Version 2.0) for an investor audience, with the same discipline as Version 1.0: no specific TAM/SAM/SOM dollar figure is asserted here without third-party sourcing validated at the time of an actual raise.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2.1 Market framing for investors (revised)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The flagship targets a category — embedded, continuous live-interaction verification — that does not yet have an established name or a dominant incumbent, sitting adjacent to but distinct from the existing identity-verification and fraud/risk management markets Version 1.0 targeted. The investable thesis is now: 'a new, urgent problem (live deepfake impersonation) has no dedicated infrastructure solving it yet, and the company positioned to define that infrastructure first has a real chance to own the category,' rather than Version 1.0's thesis of unseating slower-moving incumbents in an already-defined market.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2.2 Why this is a higher-variance, potentially higher-ceiling thesis than Version 1.0's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Entering an undefined category is a genuinely different risk profile than Version 1.0's competitive-displacement thesis — higher risk, since there's no existing market spend to point to as validation, but also higher ceiling, since a company that successfully defines a new infrastructure category typically captures disproportionate value relative to one competing for share in an already-commoditizing market. This should be stated to investors plainly, not minimized — it's a different bet than Version 1.0 was pitching, not a strictly better or safer one.</w:t>
      </w:r>
    </w:p>
    <w:p>
      <w:pPr>
        <w:pStyle w:val="Heading1"/>
        <w:pageBreakBefore/>
        <w:spacing w:after="240" w:before="480"/>
      </w:pPr>
      <w:r>
        <w:rPr>
          <w:b/>
          <w:bCs/>
          <w:color w:val="1A2B4C"/>
          <w:sz w:val="32"/>
          <w:szCs w:val="32"/>
        </w:rPr>
        <w:t xml:space="preserve">3. Technology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3.1 What Certivo actually does, technically (revised)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At its core, Certivo now runs specialized ML models directly on a participant's own device — inside a partner platform's call client — continuously analyzing liveness and synthetic-media indicators for the duration of a live call, without raw video ever reaching Certivo's servers (Technical Requirements Document, Document 4, Section 2, Version 2.0). Derived, non-reconstructive trust scores are combined through the same configurable policy engine as the original design, and a session-length cryptographic attestation is generated at call end. A persistent, hardware-backed-where-possible Trusted Device Layer (Technical Requirements Document, Section 8) lets a returning, previously verified device skip full re-verification, without ever enabling cross-platform tracking.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3.2 Technical differentiation, stated plainly (revised)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00"/>
      </w:tblGrid>
      <w:tr>
        <w:trPr>
          <w:tblHeader/>
        </w:trPr>
        <w:tc>
          <w:tcPr>
            <w:tcW w:type="dxa" w:w="36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Differentiator</w:t>
            </w:r>
          </w:p>
        </w:tc>
        <w:tc>
          <w:tcPr>
            <w:tcW w:type="dxa" w:w="62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it's hard to copy quickly</w:t>
            </w:r>
          </w:p>
        </w:tc>
      </w:tr>
      <w:tr>
        <w:tc>
          <w:tcPr>
            <w:tcW w:type="dxa" w:w="36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On-device, continuous inference within a live call's latency/bandwidth budget</w:t>
            </w:r>
          </w:p>
        </w:tc>
        <w:tc>
          <w:tcPr>
            <w:tcW w:type="dxa" w:w="6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Requires distillation, quantization, and cross-platform (Core ML/TFLite/ONNX Mobile) engineering discipline most detection-only vendors, built for one-time server-side checks, would need to build from scratch (ML Architecture, Document 7, Section 2, Version 2.0).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Mid-call injection detection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 genuinely novel evaluation problem (detecting a transition point within an ongoing stream, not classifying a whole clip) with its own dedicated methodology (ML Architecture, Document 7, Section 4) that a generic deepfake-detection API has no reason to have already solved.</w:t>
            </w:r>
          </w:p>
        </w:tc>
      </w:tr>
      <w:tr>
        <w:tc>
          <w:tcPr>
            <w:tcW w:type="dxa" w:w="36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Trusted Device Layer with hard-architectural platform scoping</w:t>
            </w:r>
          </w:p>
        </w:tc>
        <w:tc>
          <w:tcPr>
            <w:tcW w:type="dxa" w:w="6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Requires the cryptographic scope-binding design (Technical Requirements Document, Section 8.3) built in from the start — a competitor retrofitting persistent device trust onto an existing point-in-time product would need to rebuild this, not configure it.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Cryptographic attestation extended to session-length proofs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Same structural advantage as Version 1.0's original differentiation, now applied to a harder problem (attesting an entire live session, not a single instant).</w:t>
            </w:r>
          </w:p>
        </w:tc>
      </w:tr>
    </w:tbl>
    <w:p>
      <w:pPr>
        <w:spacing w:after="260" w:before="80"/>
      </w:pPr>
      <w:r>
        <w:rPr>
          <w:i/>
          <w:iCs/>
          <w:color w:val="6B7280"/>
          <w:sz w:val="18"/>
          <w:szCs w:val="18"/>
        </w:rPr>
        <w:t xml:space="preserve">Table 3.1 — Technical differentiation, revised for the flagship.</w:t>
      </w:r>
    </w:p>
    <w:p>
      <w:pPr>
        <w:pStyle w:val="Heading1"/>
        <w:pageBreakBefore/>
        <w:spacing w:after="240" w:before="480"/>
      </w:pPr>
      <w:r>
        <w:rPr>
          <w:b/>
          <w:bCs/>
          <w:color w:val="1A2B4C"/>
          <w:sz w:val="32"/>
          <w:szCs w:val="32"/>
        </w:rPr>
        <w:t xml:space="preserve">4. Moat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Retains Version 1.0's honest moat discipline: this section states plainly what is and isn't durable, since an investor-facing moat narrative that oversells durability where the technology is genuinely a moving target would be a credibility risk.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 a durable moat (acknowledged honestly)</w:t>
            </w:r>
          </w:p>
        </w:tc>
        <w:tc>
          <w:tcPr>
            <w:tcW w:type="dxa" w:w="46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 more durable moat</w:t>
            </w:r>
          </w:p>
        </w:tc>
      </w:tr>
      <w:tr>
        <w:tc>
          <w:tcPr>
            <w:tcW w:type="dxa" w:w="46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Current-generation edge model accuracy on any single detection task — degrades as generation techniques evolve, exactly as Version 1.0 acknowledged for the point-in-time models</w:t>
            </w:r>
          </w:p>
        </w:tc>
        <w:tc>
          <w:tcPr>
            <w:tcW w:type="dxa" w:w="46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The engineering discipline for continuous evaluation, distillation, and cross-runtime consistency (ML Architecture, Document 7, Sections 2, 10-11, Version 2.0) that lets Certivo adapt faster than a competitor starting from zero on this specific, harder engineering problem</w:t>
            </w:r>
          </w:p>
        </w:tc>
      </w:tr>
      <w:tr>
        <w:tc>
          <w:tcPr>
            <w:tcW w:type="dxa" w:w="4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Any single partner integration — a partner could, in principle, build this in-house or switch vendors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Integration depth once embedded (a partner's call client is built around the SDK's specific latency/API contract) plus the Trusted Device Layer's accumulated, per-device trust history, both of which compound the longer a partner integration runs — a genuine switching-cost dynamic Version 1.0's point-in-time model had in a weaker form</w:t>
            </w:r>
          </w:p>
        </w:tc>
      </w:tr>
      <w:tr>
        <w:tc>
          <w:tcPr>
            <w:tcW w:type="dxa" w:w="46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Pricing</w:t>
            </w:r>
          </w:p>
        </w:tc>
        <w:tc>
          <w:tcPr>
            <w:tcW w:type="dxa" w:w="46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Category-definition advantage (Section 2.2) — if Certivo becomes the reference implementation of 'embedded live-interaction verification' before a defined competitive set exists, later entrants compete against an incumbent definition of the category, not just an incumbent vendor</w:t>
            </w:r>
          </w:p>
        </w:tc>
      </w:tr>
    </w:tbl>
    <w:p>
      <w:pPr>
        <w:spacing w:after="260" w:before="80"/>
      </w:pPr>
      <w:r>
        <w:rPr>
          <w:i/>
          <w:iCs/>
          <w:color w:val="6B7280"/>
          <w:sz w:val="18"/>
          <w:szCs w:val="18"/>
        </w:rPr>
        <w:t xml:space="preserve">Table 4.1 — Honest moat framing, revised for the flagship.</w:t>
      </w:r>
    </w:p>
    <w:p>
      <w:pPr>
        <w:pStyle w:val="Heading1"/>
        <w:pageBreakBefore/>
        <w:spacing w:after="240" w:before="480"/>
      </w:pPr>
      <w:r>
        <w:rPr>
          <w:b/>
          <w:bCs/>
          <w:color w:val="1A2B4C"/>
          <w:sz w:val="32"/>
          <w:szCs w:val="32"/>
        </w:rPr>
        <w:t xml:space="preserve">5. Roadmap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Restates the Product Requirements Document's revised roadmap (Document 2, Section 9, Version 2.0) in investor-facing milestone terms.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600"/>
      </w:tblGrid>
      <w:tr>
        <w:trPr>
          <w:tblHeader/>
        </w:trPr>
        <w:tc>
          <w:tcPr>
            <w:tcW w:type="dxa" w:w="34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22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tcW w:type="dxa" w:w="36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de-risks for an investor</w:t>
            </w:r>
          </w:p>
        </w:tc>
      </w:tr>
      <w:tr>
        <w:tc>
          <w:tcPr>
            <w:tcW w:type="dxa" w:w="34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Flagship SDK proof with 1-2 design partners, latency/overhead validated against real infrastructure</w:t>
            </w:r>
          </w:p>
        </w:tc>
        <w:tc>
          <w:tcPr>
            <w:tcW w:type="dxa" w:w="2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Months 1-4</w:t>
            </w:r>
          </w:p>
        </w:tc>
        <w:tc>
          <w:tcPr>
            <w:tcW w:type="dxa" w:w="36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Technical feasibility of the single hardest claim in the pitch — that continuous, on-device verification can run inside a live call without hurting call quality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Trusted Device Layer live; 2-4 design partners across calling/dating/livestreaming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Months 4-8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Product-market signal across more than one vertical, plus proof the persistent-trust mechanism works without a privacy incident</w:t>
            </w:r>
          </w:p>
        </w:tc>
      </w:tr>
      <w:tr>
        <w:tc>
          <w:tcPr>
            <w:tcW w:type="dxa" w:w="34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4-6 partners; adjacent point-in-time verticals begin (fintech/healthcare/hiring, per Version 1.0's original requirements)</w:t>
            </w:r>
          </w:p>
        </w:tc>
        <w:tc>
          <w:tcPr>
            <w:tcW w:type="dxa" w:w="22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Months 8-14</w:t>
            </w:r>
          </w:p>
        </w:tc>
        <w:tc>
          <w:tcPr>
            <w:tcW w:type="dxa" w:w="36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Evidence the platform generalizes beyond the flagship, and that the original verticals remain a real, addable revenue stream, not an abandoned plan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SOC 2 Type II; transparent edge-model methodology report published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Months 14-20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Enterprise/partner sales readiness and category credibility, the same gates Version 1.0 identified, now applied to the new flagship's own evaluation methodology</w:t>
            </w:r>
          </w:p>
        </w:tc>
      </w:tr>
    </w:tbl>
    <w:p>
      <w:pPr>
        <w:spacing w:after="260" w:before="80"/>
      </w:pPr>
      <w:r>
        <w:rPr>
          <w:i/>
          <w:iCs/>
          <w:color w:val="6B7280"/>
          <w:sz w:val="18"/>
          <w:szCs w:val="18"/>
        </w:rPr>
        <w:t xml:space="preserve">Table 5.1 — Roadmap milestones, revised for the flagship.</w:t>
      </w:r>
    </w:p>
    <w:p>
      <w:pPr>
        <w:pStyle w:val="Heading1"/>
        <w:pageBreakBefore/>
        <w:spacing w:after="240" w:before="480"/>
      </w:pPr>
      <w:r>
        <w:rPr>
          <w:b/>
          <w:bCs/>
          <w:color w:val="1A2B4C"/>
          <w:sz w:val="32"/>
          <w:szCs w:val="32"/>
        </w:rPr>
        <w:t xml:space="preserve">6. Financials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As in Version 1.0, this section presents a framework, not fabricated projections. The unit of value has changed: verified call-minutes (Product Requirements Document, Document 2, Section 8.1) replaces the original per-verification-event framing, and unit economics (Product Strategy, Document 3, Section 6.2, Version 2.0) should be modeled per call-minute, tracked against the real inference cost once Phase 0's resource-overhead validation (Technical Requirements Document, NFR-C.2) produces real numbers.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6.1 What's different about this model's capital intensity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Edge ML research (distillation, cross-platform runtime engineering, Sections 3-4 of the ML Architecture document) and the multi-platform SDK engineering effort (iOS, Android, Web, each with its own build/release pipeline per the DevOps Manual, Document 11, Section 2, Version 2.0) are more front-loaded, specialized engineering investments than Version 1.0's server-side-only model required — this should be reflected honestly in any capital-efficiency narrative rather than assumed to cost the same as the original point-in-time architecture.</w:t>
      </w:r>
    </w:p>
    <w:p>
      <w:pPr>
        <w:pStyle w:val="Heading1"/>
        <w:pageBreakBefore/>
        <w:spacing w:after="240" w:before="480"/>
      </w:pPr>
      <w:r>
        <w:rPr>
          <w:b/>
          <w:bCs/>
          <w:color w:val="1A2B4C"/>
          <w:sz w:val="32"/>
          <w:szCs w:val="32"/>
        </w:rPr>
        <w:t xml:space="preserve">7. Traction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As in Version 1.0, this section defines what evidence to track rather than asserting figures that don't yet exist.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68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Traction evidence to present</w:t>
            </w:r>
          </w:p>
        </w:tc>
      </w:tr>
      <w:tr>
        <w:tc>
          <w:tcPr>
            <w:tcW w:type="dxa" w:w="24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Pre-design-partner</w:t>
            </w:r>
          </w:p>
        </w:tc>
        <w:tc>
          <w:tcPr>
            <w:tcW w:type="dxa" w:w="68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 working edge-inference demo (real latency/resource-overhead numbers from internal testing, not yet a partner's production traffic); team credibility across the specific disciplines this flagship requires (edge ML, cross-platform mobile engineering, cryptography).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Design-partner stage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Number and caliber of partner platforms, verticals represented, validated resource-overhead numbers against those partners' real infrastructure (not sandbox conditions), qualitative feedback on call-quality impact specifically.</w:t>
            </w:r>
          </w:p>
        </w:tc>
      </w:tr>
      <w:tr>
        <w:tc>
          <w:tcPr>
            <w:tcW w:type="dxa" w:w="24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Early production stage</w:t>
            </w:r>
          </w:p>
        </w:tc>
        <w:tc>
          <w:tcPr>
            <w:tcW w:type="dxa" w:w="68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Verified call-minutes trend (the north star metric), mid-call injection detection performance from real production data (however rare in practice), partner retention/expansion, and — a new signal Version 1.0 didn't have — evidence that partners are enabling the SDK across a growing share of their total call volume, not just a limited pilot slice.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b/>
          <w:bCs/>
          <w:color w:val="1A2B4C"/>
          <w:sz w:val="32"/>
          <w:szCs w:val="32"/>
        </w:rPr>
        <w:t xml:space="preserve">8. Funding</w:t>
      </w:r>
    </w:p>
    <w:p>
      <w:pPr>
        <w:pStyle w:val="Heading2"/>
        <w:spacing w:after="180" w:before="360"/>
      </w:pPr>
      <w:r>
        <w:rPr>
          <w:b/>
          <w:bCs/>
          <w:color w:val="2E5EAA"/>
          <w:sz w:val="26"/>
          <w:szCs w:val="26"/>
        </w:rPr>
        <w:t xml:space="preserve">8.1 Use of funds framework (revised)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400"/>
            <w:shd w:fill="1A2B4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Edge ML / cross-platform engineering</w:t>
            </w:r>
          </w:p>
        </w:tc>
        <w:tc>
          <w:tcPr>
            <w:tcW w:type="dxa" w:w="64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Distillation, quantization, and cross-runtime consistency work (ML Architecture, Document 7) — the largest and most specialized new investment relative to Version 1.0's plan, given this is the flagship's hardest unsolved engineering problem.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Security and cryptography engineering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Hardware attestation integration and device-key management (Security Architecture, Document 9, Version 2.0) — extended from Version 1.0's original scope, not a new category.</w:t>
            </w:r>
          </w:p>
        </w:tc>
      </w:tr>
      <w:tr>
        <w:tc>
          <w:tcPr>
            <w:tcW w:type="dxa" w:w="28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Design-partner integration support</w:t>
            </w:r>
          </w:p>
        </w:tc>
        <w:tc>
          <w:tcPr>
            <w:tcW w:type="dxa" w:w="6400"/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High-touch technical validation work specific to the call-quality-risk stakes described in the Product Strategy's buying-committee analysis (Document 3, Section 4.3, Version 2.0).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Compliance investment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SOC 2 Type II, unchanged in principle from Version 1.0, now covering the Trusted Device Layer's distinct compliance treatment as well (Privacy Architecture, Document 10, Section 2, Version 2.0).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b/>
          <w:bCs/>
          <w:color w:val="1A2B4C"/>
          <w:sz w:val="32"/>
          <w:szCs w:val="32"/>
        </w:rPr>
        <w:t xml:space="preserve">9. Exit Opportunities</w:t>
      </w:r>
    </w:p>
    <w:p>
      <w:pPr>
        <w:spacing w:after="200" w:line="300"/>
        <w:jc w:val="both"/>
      </w:pPr>
      <w:r>
        <w:rPr>
          <w:sz w:val="21"/>
          <w:szCs w:val="21"/>
        </w:rPr>
        <w:t xml:space="preserve">Retains Version 1.0's brief, strategic-logic-only framing rather than speculating on specific acquirers or valuations.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Independent growth into the category-defining infrastructure described in the Vision Document (Document 1, Version 2.0, Section 4) — the base case.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Strategic acquisition by a larger identity/security/cloud platform, as in Version 1.0, now plausibly joined by a new category: CPaaS/WebRTC infrastructure vendors (Twilio, Agora, Daily, and similar, per the Product Strategy's channel exploration, Document 3, Section 4.2) for whom embedded verification could become a natural platform-level feature, given how directly the flagship sits on top of the same infrastructure layer these vendors already operate.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sz w:val="21"/>
          <w:szCs w:val="21"/>
        </w:rPr>
        <w:t xml:space="preserve">Strategic acquisition by a major video-calling, social, or dating platform directly, given how deeply the SDK-embed model integrates Certivo into a partner's own core product experience over time.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CERTIVO — Investor Handbook (v2.0)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2026-07-07T05:50:25.697Z</dcterms:created>
  <dcterms:modified xsi:type="dcterms:W3CDTF">2026-07-07T05:50:25.697Z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