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Trust Infrastructure for the Age of Artificial Intelligence</w:t>
      </w:r>
    </w:p>
    <w:p>
      <w:pPr>
        <w:spacing w:before="800"/>
        <w:jc w:val="center"/>
      </w:pPr>
      <w:r>
        <w:rPr>
          <w:b/>
          <w:bCs/>
          <w:color w:val="6B7280"/>
          <w:sz w:val="32"/>
          <w:szCs w:val="32"/>
        </w:rPr>
        <w:t xml:space="preserve">COMPANY OPERATING MANUAL</w:t>
      </w:r>
    </w:p>
    <w:p>
      <w:pPr>
        <w:spacing w:before="200"/>
        <w:jc w:val="center"/>
      </w:pPr>
      <w:r>
        <w:rPr>
          <w:color w:val="6B7280"/>
          <w:sz w:val="20"/>
          <w:szCs w:val="20"/>
        </w:rPr>
        <w:t xml:space="preserve">Document 18 of 18 — Phase 8: Operations</w:t>
      </w:r>
    </w:p>
    <w:p>
      <w:pPr>
        <w:spacing w:before="100"/>
        <w:jc w:val="center"/>
      </w:pPr>
      <w:r>
        <w:rPr>
          <w:color w:val="6B7280"/>
          <w:sz w:val="18"/>
          <w:szCs w:val="18"/>
        </w:rPr>
        <w:t xml:space="preserve">Version 1.0  |  Confidential  |  Internal Use</w:t>
      </w:r>
    </w:p>
    <w:p>
      <w:r>
        <w:br w:type="page"/>
      </w:r>
    </w:p>
    <w:p>
      <w:pPr>
        <w:pStyle w:val="Heading1"/>
        <w:pageBreakBefore/>
        <w:spacing w:after="240" w:before="480"/>
      </w:pPr>
      <w:r>
        <w:rPr>
          <w:b/>
          <w:bCs/>
          <w:color w:val="1A2B4C"/>
          <w:sz w:val="32"/>
          <w:szCs w:val="32"/>
        </w:rPr>
        <w:t xml:space="preserve">1. Hiring</w:t>
      </w:r>
    </w:p>
    <w:p>
      <w:pPr>
        <w:spacing w:after="200" w:line="300"/>
        <w:jc w:val="both"/>
      </w:pPr>
      <w:r>
        <w:rPr>
          <w:sz w:val="21"/>
          <w:szCs w:val="21"/>
        </w:rPr>
        <w:t xml:space="preserve">This is the final document in the suite, defining how Certivo builds and runs itself as a company — the human and organizational counterpart to the technical and product documents that precede it. Where those documents define what to build, this one defines how the team that builds it should be assembled and how it should operate.</w:t>
      </w:r>
    </w:p>
    <w:p>
      <w:pPr>
        <w:pStyle w:val="Heading2"/>
        <w:spacing w:after="180" w:before="360"/>
      </w:pPr>
      <w:r>
        <w:rPr>
          <w:b/>
          <w:bCs/>
          <w:color w:val="2E5EAA"/>
          <w:sz w:val="26"/>
          <w:szCs w:val="26"/>
        </w:rPr>
        <w:t xml:space="preserve">1.1 What Certivo hires for</w:t>
      </w:r>
    </w:p>
    <w:p>
      <w:pPr>
        <w:spacing w:after="200" w:line="300"/>
        <w:jc w:val="both"/>
      </w:pPr>
      <w:r>
        <w:rPr>
          <w:sz w:val="21"/>
          <w:szCs w:val="21"/>
        </w:rPr>
        <w:t xml:space="preserve">Given the cross-functional engineering demands stated in the constitution — ML research, cryptography, security, privacy, and product engineering operating as one coherent discipline rather than separate silos — hiring prioritizes depth in a core discipline combined with genuine respect for the adjacent disciplines a candidate will work alongside daily. An excellent ML researcher who treats security and privacy engineering as someone else's problem is a worse fit for Certivo specifically than a slightly less specialized candidate who takes the whole system seriously, given how tightly coupled these concerns are throughout this documentation suite (e.g. the biometric perimeter, Technical Requirements Document, Document 4, Section 1.5, which is simultaneously an ML, security, and privacy concern).</w:t>
      </w:r>
    </w:p>
    <w:p>
      <w:pPr>
        <w:pStyle w:val="Heading2"/>
        <w:spacing w:after="180" w:before="360"/>
      </w:pPr>
      <w:r>
        <w:rPr>
          <w:b/>
          <w:bCs/>
          <w:color w:val="2E5EAA"/>
          <w:sz w:val="26"/>
          <w:szCs w:val="26"/>
        </w:rPr>
        <w:t xml:space="preserve">1.2 Core hiring principles</w:t>
      </w:r>
    </w:p>
    <w:p>
      <w:pPr>
        <w:pStyle w:val="ListParagraph"/>
        <w:numPr>
          <w:ilvl w:val="0"/>
          <w:numId w:val="2"/>
        </w:numPr>
        <w:spacing w:after="100" w:line="280"/>
      </w:pPr>
      <w:r>
        <w:rPr>
          <w:sz w:val="21"/>
          <w:szCs w:val="21"/>
        </w:rPr>
        <w:t xml:space="preserve">Hire for the specific gaps the current team and roadmap require, not generically 'strong' candidates — the Investor Handbook's use-of-funds framework (Document 15, Section 8.1) should map directly to a hiring plan, not be a vague aspiration.</w:t>
      </w:r>
    </w:p>
    <w:p>
      <w:pPr>
        <w:pStyle w:val="ListParagraph"/>
        <w:numPr>
          <w:ilvl w:val="0"/>
          <w:numId w:val="2"/>
        </w:numPr>
        <w:spacing w:after="100" w:line="280"/>
      </w:pPr>
      <w:r>
        <w:rPr>
          <w:sz w:val="21"/>
          <w:szCs w:val="21"/>
        </w:rPr>
        <w:t xml:space="preserve">Every technical hire is evaluated in part on their ability to explain their reasoning clearly — directly relevant given the explainability-first principle applies to how the team communicates internally, not only to what the product outputs.</w:t>
      </w:r>
    </w:p>
    <w:p>
      <w:pPr>
        <w:pStyle w:val="ListParagraph"/>
        <w:numPr>
          <w:ilvl w:val="0"/>
          <w:numId w:val="2"/>
        </w:numPr>
        <w:spacing w:after="100" w:line="280"/>
      </w:pPr>
      <w:r>
        <w:rPr>
          <w:sz w:val="21"/>
          <w:szCs w:val="21"/>
        </w:rPr>
        <w:t xml:space="preserve">Security and privacy sensibility is assessed for every engineering hire, not only dedicated security/privacy roles — per the Modularity and cross-cutting nature of these concerns throughout the architecture, every engineer touches code that has security or privacy implications.</w:t>
      </w:r>
    </w:p>
    <w:p>
      <w:pPr>
        <w:pStyle w:val="ListParagraph"/>
        <w:numPr>
          <w:ilvl w:val="0"/>
          <w:numId w:val="2"/>
        </w:numPr>
        <w:spacing w:after="100" w:line="280"/>
      </w:pPr>
      <w:r>
        <w:rPr>
          <w:sz w:val="21"/>
          <w:szCs w:val="21"/>
        </w:rPr>
        <w:t xml:space="preserve">Culture-fit evaluation focuses on working style and values alignment (Section 2), never used as a proxy for excluding candidates who differ from the existing team demographically or in background — a trust-and-safety company has a particular obligation to build a hiring process resistant to exactly the kind of bias its own products are engineered to detect and avoid (ML Architecture, Document 7, Section 10).</w:t>
      </w:r>
    </w:p>
    <w:p>
      <w:pPr>
        <w:pStyle w:val="Heading2"/>
        <w:spacing w:after="180" w:before="360"/>
      </w:pPr>
      <w:r>
        <w:rPr>
          <w:b/>
          <w:bCs/>
          <w:color w:val="2E5EAA"/>
          <w:sz w:val="26"/>
          <w:szCs w:val="26"/>
        </w:rPr>
        <w:t xml:space="preserve">1.3 Interview process principles</w:t>
      </w:r>
    </w:p>
    <w:p>
      <w:pPr>
        <w:spacing w:after="200" w:line="300"/>
        <w:jc w:val="both"/>
      </w:pPr>
      <w:r>
        <w:rPr>
          <w:sz w:val="21"/>
          <w:szCs w:val="21"/>
        </w:rPr>
        <w:t xml:space="preserve">Interviews for technical roles include a substantive component grounded in the kind of real work the role involves — e.g. a system-design discussion referencing the actual architectural trade-offs this documentation suite makes (why service-owns-its-data, Technical Requirements Document, Document 4, Section 1.1; why calibration is a separate pipeline stage, ML Architecture, Document 7, Section 8.1) — rather than generic whiteboard puzzles disconnected from the actual problems the company solves. This both evaluates genuine fit and gives candidates a realistic, honest preview of the work.</w:t>
      </w:r>
    </w:p>
    <w:p>
      <w:pPr>
        <w:pStyle w:val="Heading1"/>
        <w:pageBreakBefore/>
        <w:spacing w:after="240" w:before="480"/>
      </w:pPr>
      <w:r>
        <w:rPr>
          <w:b/>
          <w:bCs/>
          <w:color w:val="1A2B4C"/>
          <w:sz w:val="32"/>
          <w:szCs w:val="32"/>
        </w:rPr>
        <w:t xml:space="preserve">2. Culture</w:t>
      </w:r>
    </w:p>
    <w:p>
      <w:pPr>
        <w:pStyle w:val="Heading2"/>
        <w:spacing w:after="180" w:before="360"/>
      </w:pPr>
      <w:r>
        <w:rPr>
          <w:b/>
          <w:bCs/>
          <w:color w:val="2E5EAA"/>
          <w:sz w:val="26"/>
          <w:szCs w:val="26"/>
        </w:rPr>
        <w:t xml:space="preserve">2.1 Cultural principles, derived from the engineering philosophy</w:t>
      </w:r>
    </w:p>
    <w:p>
      <w:pPr>
        <w:spacing w:after="200" w:line="300"/>
        <w:jc w:val="both"/>
      </w:pPr>
      <w:r>
        <w:rPr>
          <w:sz w:val="21"/>
          <w:szCs w:val="21"/>
        </w:rPr>
        <w:t xml:space="preserve">Certivo's culture is not a separate set of values layered on top of the engineering philosophy in the constitution — it is that philosophy applied to how people work together, not only to how code is written.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A2B4C" w:val="clear"/>
            <w:tcMar>
              <w:top w:type="dxa" w:w="100"/>
              <w:left w:type="dxa" w:w="140"/>
              <w:bottom w:type="dxa" w:w="100"/>
              <w:right w:type="dxa" w:w="140"/>
            </w:tcMar>
          </w:tcPr>
          <w:p>
            <w:r>
              <w:rPr>
                <w:b/>
                <w:bCs/>
                <w:color w:val="FFFFFF"/>
                <w:sz w:val="19"/>
                <w:szCs w:val="19"/>
              </w:rPr>
              <w:t xml:space="preserve">Engineering principle (constitution)</w:t>
            </w:r>
          </w:p>
        </w:tc>
        <w:tc>
          <w:tcPr>
            <w:tcW w:type="dxa" w:w="6000"/>
            <w:shd w:fill="1A2B4C" w:val="clear"/>
            <w:tcMar>
              <w:top w:type="dxa" w:w="100"/>
              <w:left w:type="dxa" w:w="140"/>
              <w:bottom w:type="dxa" w:w="100"/>
              <w:right w:type="dxa" w:w="140"/>
            </w:tcMar>
          </w:tcPr>
          <w:p>
            <w:r>
              <w:rPr>
                <w:b/>
                <w:bCs/>
                <w:color w:val="FFFFFF"/>
                <w:sz w:val="19"/>
                <w:szCs w:val="19"/>
              </w:rPr>
              <w:t xml:space="preserve">Cultural expression</w:t>
            </w:r>
          </w:p>
        </w:tc>
      </w:tr>
      <w:tr>
        <w:tc>
          <w:tcPr>
            <w:tcW w:type="dxa" w:w="3400"/>
            <w:shd w:fill="F4F6F9" w:val="clear"/>
            <w:tcMar>
              <w:top w:type="dxa" w:w="100"/>
              <w:left w:type="dxa" w:w="140"/>
              <w:bottom w:type="dxa" w:w="100"/>
              <w:right w:type="dxa" w:w="140"/>
            </w:tcMar>
          </w:tcPr>
          <w:p>
            <w:r>
              <w:rPr>
                <w:sz w:val="19"/>
                <w:szCs w:val="19"/>
              </w:rPr>
              <w:t xml:space="preserve">Security first</w:t>
            </w:r>
          </w:p>
        </w:tc>
        <w:tc>
          <w:tcPr>
            <w:tcW w:type="dxa" w:w="6000"/>
            <w:shd w:fill="F4F6F9" w:val="clear"/>
            <w:tcMar>
              <w:top w:type="dxa" w:w="100"/>
              <w:left w:type="dxa" w:w="140"/>
              <w:bottom w:type="dxa" w:w="100"/>
              <w:right w:type="dxa" w:w="140"/>
            </w:tcMar>
          </w:tcPr>
          <w:p>
            <w:r>
              <w:rPr>
                <w:sz w:val="19"/>
                <w:szCs w:val="19"/>
              </w:rPr>
              <w:t xml:space="preserve">The team treats a colleague raising a security concern as a valued contribution, never an inconvenience or a blocker to route around — 'ship it, we'll fix security later' is not said or tolerated.</w:t>
            </w:r>
          </w:p>
        </w:tc>
      </w:tr>
      <w:tr>
        <w:tc>
          <w:tcPr>
            <w:tcW w:type="dxa" w:w="3400"/>
            <w:shd w:fill="FFFFFF" w:val="clear"/>
            <w:tcMar>
              <w:top w:type="dxa" w:w="100"/>
              <w:left w:type="dxa" w:w="140"/>
              <w:bottom w:type="dxa" w:w="100"/>
              <w:right w:type="dxa" w:w="140"/>
            </w:tcMar>
          </w:tcPr>
          <w:p>
            <w:r>
              <w:rPr>
                <w:sz w:val="19"/>
                <w:szCs w:val="19"/>
              </w:rPr>
              <w:t xml:space="preserve">Privacy first</w:t>
            </w:r>
          </w:p>
        </w:tc>
        <w:tc>
          <w:tcPr>
            <w:tcW w:type="dxa" w:w="6000"/>
            <w:shd w:fill="FFFFFF" w:val="clear"/>
            <w:tcMar>
              <w:top w:type="dxa" w:w="100"/>
              <w:left w:type="dxa" w:w="140"/>
              <w:bottom w:type="dxa" w:w="100"/>
              <w:right w:type="dxa" w:w="140"/>
            </w:tcMar>
          </w:tcPr>
          <w:p>
            <w:r>
              <w:rPr>
                <w:sz w:val="19"/>
                <w:szCs w:val="19"/>
              </w:rPr>
              <w:t xml:space="preserve">The team defaults to asking 'do we need this data' before 'could this data be useful' in every discussion, including internal tooling and analytics about the business itself, not only the product.</w:t>
            </w:r>
          </w:p>
        </w:tc>
      </w:tr>
      <w:tr>
        <w:tc>
          <w:tcPr>
            <w:tcW w:type="dxa" w:w="3400"/>
            <w:shd w:fill="F4F6F9" w:val="clear"/>
            <w:tcMar>
              <w:top w:type="dxa" w:w="100"/>
              <w:left w:type="dxa" w:w="140"/>
              <w:bottom w:type="dxa" w:w="100"/>
              <w:right w:type="dxa" w:w="140"/>
            </w:tcMar>
          </w:tcPr>
          <w:p>
            <w:r>
              <w:rPr>
                <w:sz w:val="19"/>
                <w:szCs w:val="19"/>
              </w:rPr>
              <w:t xml:space="preserve">Explainability first</w:t>
            </w:r>
          </w:p>
        </w:tc>
        <w:tc>
          <w:tcPr>
            <w:tcW w:type="dxa" w:w="6000"/>
            <w:shd w:fill="F4F6F9" w:val="clear"/>
            <w:tcMar>
              <w:top w:type="dxa" w:w="100"/>
              <w:left w:type="dxa" w:w="140"/>
              <w:bottom w:type="dxa" w:w="100"/>
              <w:right w:type="dxa" w:w="140"/>
            </w:tcMar>
          </w:tcPr>
          <w:p>
            <w:r>
              <w:rPr>
                <w:sz w:val="19"/>
                <w:szCs w:val="19"/>
              </w:rPr>
              <w:t xml:space="preserve">Decisions — technical and business — are expected to come with reasoning, not just conclusions; 'because I said so' or an unexplained strong opinion is challenged constructively, at any level of seniority.</w:t>
            </w:r>
          </w:p>
        </w:tc>
      </w:tr>
      <w:tr>
        <w:tc>
          <w:tcPr>
            <w:tcW w:type="dxa" w:w="3400"/>
            <w:shd w:fill="FFFFFF" w:val="clear"/>
            <w:tcMar>
              <w:top w:type="dxa" w:w="100"/>
              <w:left w:type="dxa" w:w="140"/>
              <w:bottom w:type="dxa" w:w="100"/>
              <w:right w:type="dxa" w:w="140"/>
            </w:tcMar>
          </w:tcPr>
          <w:p>
            <w:r>
              <w:rPr>
                <w:sz w:val="19"/>
                <w:szCs w:val="19"/>
              </w:rPr>
              <w:t xml:space="preserve">Modularity</w:t>
            </w:r>
          </w:p>
        </w:tc>
        <w:tc>
          <w:tcPr>
            <w:tcW w:type="dxa" w:w="6000"/>
            <w:shd w:fill="FFFFFF" w:val="clear"/>
            <w:tcMar>
              <w:top w:type="dxa" w:w="100"/>
              <w:left w:type="dxa" w:w="140"/>
              <w:bottom w:type="dxa" w:w="100"/>
              <w:right w:type="dxa" w:w="140"/>
            </w:tcMar>
          </w:tcPr>
          <w:p>
            <w:r>
              <w:rPr>
                <w:sz w:val="19"/>
                <w:szCs w:val="19"/>
              </w:rPr>
              <w:t xml:space="preserve">Teams and ownership boundaries mirror the service boundaries (Technical Requirements Document, Document 4, Table 1.1) where practical — clear, bounded ownership rather than diffuse responsibility that leaves gaps.</w:t>
            </w:r>
          </w:p>
        </w:tc>
      </w:tr>
      <w:tr>
        <w:tc>
          <w:tcPr>
            <w:tcW w:type="dxa" w:w="3400"/>
            <w:shd w:fill="F4F6F9" w:val="clear"/>
            <w:tcMar>
              <w:top w:type="dxa" w:w="100"/>
              <w:left w:type="dxa" w:w="140"/>
              <w:bottom w:type="dxa" w:w="100"/>
              <w:right w:type="dxa" w:w="140"/>
            </w:tcMar>
          </w:tcPr>
          <w:p>
            <w:r>
              <w:rPr>
                <w:sz w:val="19"/>
                <w:szCs w:val="19"/>
              </w:rPr>
              <w:t xml:space="preserve">Production quality</w:t>
            </w:r>
          </w:p>
        </w:tc>
        <w:tc>
          <w:tcPr>
            <w:tcW w:type="dxa" w:w="6000"/>
            <w:shd w:fill="F4F6F9" w:val="clear"/>
            <w:tcMar>
              <w:top w:type="dxa" w:w="100"/>
              <w:left w:type="dxa" w:w="140"/>
              <w:bottom w:type="dxa" w:w="100"/>
              <w:right w:type="dxa" w:w="140"/>
            </w:tcMar>
          </w:tcPr>
          <w:p>
            <w:r>
              <w:rPr>
                <w:sz w:val="19"/>
                <w:szCs w:val="19"/>
              </w:rPr>
              <w:t xml:space="preserve">The team takes pride in operational excellence, not just feature velocity — an on-call engineer who resolves an incident cleanly is recognized with the same weight as one who ships a high-visibility feature.</w:t>
            </w:r>
          </w:p>
        </w:tc>
      </w:tr>
    </w:tbl>
    <w:p>
      <w:pPr>
        <w:spacing w:after="260" w:before="80"/>
      </w:pPr>
      <w:r>
        <w:rPr>
          <w:i/>
          <w:iCs/>
          <w:color w:val="6B7280"/>
          <w:sz w:val="18"/>
          <w:szCs w:val="18"/>
        </w:rPr>
        <w:t xml:space="preserve">Table 2.1 — Cultural expression of each engineering principle from the constitution.</w:t>
      </w:r>
    </w:p>
    <w:p>
      <w:pPr>
        <w:pStyle w:val="Heading2"/>
        <w:spacing w:after="180" w:before="360"/>
      </w:pPr>
      <w:r>
        <w:rPr>
          <w:b/>
          <w:bCs/>
          <w:color w:val="2E5EAA"/>
          <w:sz w:val="26"/>
          <w:szCs w:val="26"/>
        </w:rPr>
        <w:t xml:space="preserve">2.2 Communication norms</w:t>
      </w:r>
    </w:p>
    <w:p>
      <w:pPr>
        <w:pStyle w:val="ListParagraph"/>
        <w:numPr>
          <w:ilvl w:val="0"/>
          <w:numId w:val="2"/>
        </w:numPr>
        <w:spacing w:after="100" w:line="280"/>
      </w:pPr>
      <w:r>
        <w:rPr>
          <w:sz w:val="21"/>
          <w:szCs w:val="21"/>
        </w:rPr>
        <w:t xml:space="preserve">Default to writing things down — architecture decisions (ADRs, Internal Engineering Handbook, Document 17, Section 4.2), incident post-reviews (Security Architecture, Document 9, Section 9.2), and significant product decisions are documented, not left as verbal-only knowledge that leaves with whoever remembers it.</w:t>
      </w:r>
    </w:p>
    <w:p>
      <w:pPr>
        <w:pStyle w:val="ListParagraph"/>
        <w:numPr>
          <w:ilvl w:val="0"/>
          <w:numId w:val="2"/>
        </w:numPr>
        <w:spacing w:after="100" w:line="280"/>
      </w:pPr>
      <w:r>
        <w:rPr>
          <w:sz w:val="21"/>
          <w:szCs w:val="21"/>
        </w:rPr>
        <w:t xml:space="preserve">Disagreement is expected and handled directly — per the constitution's 'identify risks before implementation' directive applied culturally, a team member who sees a problem is expected to raise it clearly and early, not defer to hierarchy or avoid friction at the cost of a worse outcome.</w:t>
      </w:r>
    </w:p>
    <w:p>
      <w:pPr>
        <w:pStyle w:val="ListParagraph"/>
        <w:numPr>
          <w:ilvl w:val="0"/>
          <w:numId w:val="2"/>
        </w:numPr>
        <w:spacing w:after="100" w:line="280"/>
      </w:pPr>
      <w:r>
        <w:rPr>
          <w:sz w:val="21"/>
          <w:szCs w:val="21"/>
        </w:rPr>
        <w:t xml:space="preserve">Blameless post-incident review (Security Architecture, Document 9, Section 9.2) is a cultural commitment, not only a process step — the team's default response to a mistake is 'what do we fix in the system' not 'whose fault was this.'</w:t>
      </w:r>
    </w:p>
    <w:p>
      <w:pPr>
        <w:pStyle w:val="Heading2"/>
        <w:spacing w:after="180" w:before="360"/>
      </w:pPr>
      <w:r>
        <w:rPr>
          <w:b/>
          <w:bCs/>
          <w:color w:val="2E5EAA"/>
          <w:sz w:val="26"/>
          <w:szCs w:val="26"/>
        </w:rPr>
        <w:t xml:space="preserve">2.3 What Certivo does not tolerate</w:t>
      </w:r>
    </w:p>
    <w:p>
      <w:pPr>
        <w:pStyle w:val="ListParagraph"/>
        <w:numPr>
          <w:ilvl w:val="0"/>
          <w:numId w:val="2"/>
        </w:numPr>
        <w:spacing w:after="100" w:line="280"/>
      </w:pPr>
      <w:r>
        <w:rPr>
          <w:sz w:val="21"/>
          <w:szCs w:val="21"/>
        </w:rPr>
        <w:t xml:space="preserve">Cutting the security, privacy, or explainability corners this entire documentation suite establishes as non-negotiable, under any deadline or business pressure — a team member advocating for such a shortcut is expected to be met with the same 'we walk away from the deal' discipline the Vision Document applies to commercial pressure (Document 1, Section 6).</w:t>
      </w:r>
    </w:p>
    <w:p>
      <w:pPr>
        <w:pStyle w:val="ListParagraph"/>
        <w:numPr>
          <w:ilvl w:val="0"/>
          <w:numId w:val="2"/>
        </w:numPr>
        <w:spacing w:after="100" w:line="280"/>
      </w:pPr>
      <w:r>
        <w:rPr>
          <w:sz w:val="21"/>
          <w:szCs w:val="21"/>
        </w:rPr>
        <w:t xml:space="preserve">Treating trust-and-safety work (privacy review, security review, accessibility review) as lower-status than feature-building work — given the product itself, a culture that internally deprioritizes these concerns would be a direct contradiction of what the company is trying to sell.</w:t>
      </w:r>
    </w:p>
    <w:p>
      <w:pPr>
        <w:pStyle w:val="Heading1"/>
        <w:pageBreakBefore/>
        <w:spacing w:after="240" w:before="480"/>
      </w:pPr>
      <w:r>
        <w:rPr>
          <w:b/>
          <w:bCs/>
          <w:color w:val="1A2B4C"/>
          <w:sz w:val="32"/>
          <w:szCs w:val="32"/>
        </w:rPr>
        <w:t xml:space="preserve">3. Engineering Principles (Organizational Application)</w:t>
      </w:r>
    </w:p>
    <w:p>
      <w:pPr>
        <w:spacing w:after="200" w:line="300"/>
        <w:jc w:val="both"/>
      </w:pPr>
      <w:r>
        <w:rPr>
          <w:sz w:val="21"/>
          <w:szCs w:val="21"/>
        </w:rPr>
        <w:t xml:space="preserve">The constitution's five engineering principles (security first, privacy first, explainability first, modularity, production quality) are stated there as technical principles. This section defines how they apply to organizational decisions specifically — team structure, tooling choices, and process design — not only to code.</w:t>
      </w:r>
    </w:p>
    <w:p>
      <w:pPr>
        <w:pStyle w:val="Heading2"/>
        <w:spacing w:after="180" w:before="360"/>
      </w:pPr>
      <w:r>
        <w:rPr>
          <w:b/>
          <w:bCs/>
          <w:color w:val="2E5EAA"/>
          <w:sz w:val="26"/>
          <w:szCs w:val="26"/>
        </w:rPr>
        <w:t xml:space="preserve">3.1 Team structure follows service boundaries</w:t>
      </w:r>
    </w:p>
    <w:p>
      <w:pPr>
        <w:spacing w:after="200" w:line="300"/>
        <w:jc w:val="both"/>
      </w:pPr>
      <w:r>
        <w:rPr>
          <w:sz w:val="21"/>
          <w:szCs w:val="21"/>
        </w:rPr>
        <w:t xml:space="preserve">Consistent with the Modularity principle and the service catalog (Technical Requirements Document, Document 4, Table 1.1), engineering team ownership is structured around coherent service groupings — e.g. an ML/detection team owning the ML Inference and Device Trust Services, a trust-infrastructure team owning the Cryptographic and Authentication Services, a platform team owning Backend API and the shared frontend component library — rather than a structure that cuts across service boundaries in a way that would create the same coordination overhead the technical architecture was specifically designed to avoid.</w:t>
      </w:r>
    </w:p>
    <w:p>
      <w:pPr>
        <w:pStyle w:val="Heading2"/>
        <w:spacing w:after="180" w:before="360"/>
      </w:pPr>
      <w:r>
        <w:rPr>
          <w:b/>
          <w:bCs/>
          <w:color w:val="2E5EAA"/>
          <w:sz w:val="26"/>
          <w:szCs w:val="26"/>
        </w:rPr>
        <w:t xml:space="preserve">3.2 Decision rights follow the same modularity logic</w:t>
      </w:r>
    </w:p>
    <w:p>
      <w:pPr>
        <w:spacing w:after="200" w:line="300"/>
        <w:jc w:val="both"/>
      </w:pPr>
      <w:r>
        <w:rPr>
          <w:sz w:val="21"/>
          <w:szCs w:val="21"/>
        </w:rPr>
        <w:t xml:space="preserve">A team that owns a service has decision authority over that service's internal implementation, within the constraints this documentation suite establishes (the biometric perimeter, the API contracts, the security and privacy requirements) — decisions that only affect one service's internals don't require cross-team consensus, while decisions that change a service boundary or a shared contract do (Section 4).</w:t>
      </w:r>
    </w:p>
    <w:p>
      <w:pPr>
        <w:pStyle w:val="Heading1"/>
        <w:pageBreakBefore/>
        <w:spacing w:after="240" w:before="480"/>
      </w:pPr>
      <w:r>
        <w:rPr>
          <w:b/>
          <w:bCs/>
          <w:color w:val="1A2B4C"/>
          <w:sz w:val="32"/>
          <w:szCs w:val="32"/>
        </w:rPr>
        <w:t xml:space="preserve">4. Decision Making</w:t>
      </w:r>
    </w:p>
    <w:p>
      <w:pPr>
        <w:pStyle w:val="Heading2"/>
        <w:spacing w:after="180" w:before="360"/>
      </w:pPr>
      <w:r>
        <w:rPr>
          <w:b/>
          <w:bCs/>
          <w:color w:val="2E5EAA"/>
          <w:sz w:val="26"/>
          <w:szCs w:val="26"/>
        </w:rPr>
        <w:t xml:space="preserve">4.1 Decision classification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1A2B4C" w:val="clear"/>
            <w:tcMar>
              <w:top w:type="dxa" w:w="100"/>
              <w:left w:type="dxa" w:w="140"/>
              <w:bottom w:type="dxa" w:w="100"/>
              <w:right w:type="dxa" w:w="140"/>
            </w:tcMar>
          </w:tcPr>
          <w:p>
            <w:r>
              <w:rPr>
                <w:b/>
                <w:bCs/>
                <w:color w:val="FFFFFF"/>
                <w:sz w:val="19"/>
                <w:szCs w:val="19"/>
              </w:rPr>
              <w:t xml:space="preserve">Decision type</w:t>
            </w:r>
          </w:p>
        </w:tc>
        <w:tc>
          <w:tcPr>
            <w:tcW w:type="dxa" w:w="3600"/>
            <w:shd w:fill="1A2B4C" w:val="clear"/>
            <w:tcMar>
              <w:top w:type="dxa" w:w="100"/>
              <w:left w:type="dxa" w:w="140"/>
              <w:bottom w:type="dxa" w:w="100"/>
              <w:right w:type="dxa" w:w="140"/>
            </w:tcMar>
          </w:tcPr>
          <w:p>
            <w:r>
              <w:rPr>
                <w:b/>
                <w:bCs/>
                <w:color w:val="FFFFFF"/>
                <w:sz w:val="19"/>
                <w:szCs w:val="19"/>
              </w:rPr>
              <w:t xml:space="preserve">Example</w:t>
            </w:r>
          </w:p>
        </w:tc>
        <w:tc>
          <w:tcPr>
            <w:tcW w:type="dxa" w:w="3200"/>
            <w:shd w:fill="1A2B4C" w:val="clear"/>
            <w:tcMar>
              <w:top w:type="dxa" w:w="100"/>
              <w:left w:type="dxa" w:w="140"/>
              <w:bottom w:type="dxa" w:w="100"/>
              <w:right w:type="dxa" w:w="140"/>
            </w:tcMar>
          </w:tcPr>
          <w:p>
            <w:r>
              <w:rPr>
                <w:b/>
                <w:bCs/>
                <w:color w:val="FFFFFF"/>
                <w:sz w:val="19"/>
                <w:szCs w:val="19"/>
              </w:rPr>
              <w:t xml:space="preserve">Who decides</w:t>
            </w:r>
          </w:p>
        </w:tc>
      </w:tr>
      <w:tr>
        <w:tc>
          <w:tcPr>
            <w:tcW w:type="dxa" w:w="2600"/>
            <w:shd w:fill="F4F6F9" w:val="clear"/>
            <w:tcMar>
              <w:top w:type="dxa" w:w="100"/>
              <w:left w:type="dxa" w:w="140"/>
              <w:bottom w:type="dxa" w:w="100"/>
              <w:right w:type="dxa" w:w="140"/>
            </w:tcMar>
          </w:tcPr>
          <w:p>
            <w:r>
              <w:rPr>
                <w:sz w:val="19"/>
                <w:szCs w:val="19"/>
              </w:rPr>
              <w:t xml:space="preserve">Reversible, single-service scope</w:t>
            </w:r>
          </w:p>
        </w:tc>
        <w:tc>
          <w:tcPr>
            <w:tcW w:type="dxa" w:w="3600"/>
            <w:shd w:fill="F4F6F9" w:val="clear"/>
            <w:tcMar>
              <w:top w:type="dxa" w:w="100"/>
              <w:left w:type="dxa" w:w="140"/>
              <w:bottom w:type="dxa" w:w="100"/>
              <w:right w:type="dxa" w:w="140"/>
            </w:tcMar>
          </w:tcPr>
          <w:p>
            <w:r>
              <w:rPr>
                <w:sz w:val="19"/>
                <w:szCs w:val="19"/>
              </w:rPr>
              <w:t xml:space="preserve">Internal refactor within the Backend API Service's domain layer (Technical Requirements Document, Document 4, Section 3.1)</w:t>
            </w:r>
          </w:p>
        </w:tc>
        <w:tc>
          <w:tcPr>
            <w:tcW w:type="dxa" w:w="3200"/>
            <w:shd w:fill="F4F6F9" w:val="clear"/>
            <w:tcMar>
              <w:top w:type="dxa" w:w="100"/>
              <w:left w:type="dxa" w:w="140"/>
              <w:bottom w:type="dxa" w:w="100"/>
              <w:right w:type="dxa" w:w="140"/>
            </w:tcMar>
          </w:tcPr>
          <w:p>
            <w:r>
              <w:rPr>
                <w:sz w:val="19"/>
                <w:szCs w:val="19"/>
              </w:rPr>
              <w:t xml:space="preserve">The owning team, no broader sign-off needed</w:t>
            </w:r>
          </w:p>
        </w:tc>
      </w:tr>
      <w:tr>
        <w:tc>
          <w:tcPr>
            <w:tcW w:type="dxa" w:w="2600"/>
            <w:shd w:fill="FFFFFF" w:val="clear"/>
            <w:tcMar>
              <w:top w:type="dxa" w:w="100"/>
              <w:left w:type="dxa" w:w="140"/>
              <w:bottom w:type="dxa" w:w="100"/>
              <w:right w:type="dxa" w:w="140"/>
            </w:tcMar>
          </w:tcPr>
          <w:p>
            <w:r>
              <w:rPr>
                <w:sz w:val="19"/>
                <w:szCs w:val="19"/>
              </w:rPr>
              <w:t xml:space="preserve">Reversible, cross-service scope</w:t>
            </w:r>
          </w:p>
        </w:tc>
        <w:tc>
          <w:tcPr>
            <w:tcW w:type="dxa" w:w="3600"/>
            <w:shd w:fill="FFFFFF" w:val="clear"/>
            <w:tcMar>
              <w:top w:type="dxa" w:w="100"/>
              <w:left w:type="dxa" w:w="140"/>
              <w:bottom w:type="dxa" w:w="100"/>
              <w:right w:type="dxa" w:w="140"/>
            </w:tcMar>
          </w:tcPr>
          <w:p>
            <w:r>
              <w:rPr>
                <w:sz w:val="19"/>
                <w:szCs w:val="19"/>
              </w:rPr>
              <w:t xml:space="preserve">A new internal API field added additively (Technical Requirements Document, Document 4, Section 16.3)</w:t>
            </w:r>
          </w:p>
        </w:tc>
        <w:tc>
          <w:tcPr>
            <w:tcW w:type="dxa" w:w="3200"/>
            <w:shd w:fill="FFFFFF" w:val="clear"/>
            <w:tcMar>
              <w:top w:type="dxa" w:w="100"/>
              <w:left w:type="dxa" w:w="140"/>
              <w:bottom w:type="dxa" w:w="100"/>
              <w:right w:type="dxa" w:w="140"/>
            </w:tcMar>
          </w:tcPr>
          <w:p>
            <w:r>
              <w:rPr>
                <w:sz w:val="19"/>
                <w:szCs w:val="19"/>
              </w:rPr>
              <w:t xml:space="preserve">The owning team, communicated to affected teams, documented in an ADR (Internal Engineering Handbook, Document 17, Section 4.2)</w:t>
            </w:r>
          </w:p>
        </w:tc>
      </w:tr>
      <w:tr>
        <w:tc>
          <w:tcPr>
            <w:tcW w:type="dxa" w:w="2600"/>
            <w:shd w:fill="F4F6F9" w:val="clear"/>
            <w:tcMar>
              <w:top w:type="dxa" w:w="100"/>
              <w:left w:type="dxa" w:w="140"/>
              <w:bottom w:type="dxa" w:w="100"/>
              <w:right w:type="dxa" w:w="140"/>
            </w:tcMar>
          </w:tcPr>
          <w:p>
            <w:r>
              <w:rPr>
                <w:sz w:val="19"/>
                <w:szCs w:val="19"/>
              </w:rPr>
              <w:t xml:space="preserve">Hard-to-reverse, architectural</w:t>
            </w:r>
          </w:p>
        </w:tc>
        <w:tc>
          <w:tcPr>
            <w:tcW w:type="dxa" w:w="3600"/>
            <w:shd w:fill="F4F6F9" w:val="clear"/>
            <w:tcMar>
              <w:top w:type="dxa" w:w="100"/>
              <w:left w:type="dxa" w:w="140"/>
              <w:bottom w:type="dxa" w:w="100"/>
              <w:right w:type="dxa" w:w="140"/>
            </w:tcMar>
          </w:tcPr>
          <w:p>
            <w:r>
              <w:rPr>
                <w:sz w:val="19"/>
                <w:szCs w:val="19"/>
              </w:rPr>
              <w:t xml:space="preserve">Changing a service boundary, adopting a new core datastore, a breaking public API change</w:t>
            </w:r>
          </w:p>
        </w:tc>
        <w:tc>
          <w:tcPr>
            <w:tcW w:type="dxa" w:w="3200"/>
            <w:shd w:fill="F4F6F9" w:val="clear"/>
            <w:tcMar>
              <w:top w:type="dxa" w:w="100"/>
              <w:left w:type="dxa" w:w="140"/>
              <w:bottom w:type="dxa" w:w="100"/>
              <w:right w:type="dxa" w:w="140"/>
            </w:tcMar>
          </w:tcPr>
          <w:p>
            <w:r>
              <w:rPr>
                <w:sz w:val="19"/>
                <w:szCs w:val="19"/>
              </w:rPr>
              <w:t xml:space="preserve">Architecture review involving affected team leads, documented via ADR, consistent with the Product Development Process's architecture review stage (constitution)</w:t>
            </w:r>
          </w:p>
        </w:tc>
      </w:tr>
      <w:tr>
        <w:tc>
          <w:tcPr>
            <w:tcW w:type="dxa" w:w="2600"/>
            <w:shd w:fill="FFFFFF" w:val="clear"/>
            <w:tcMar>
              <w:top w:type="dxa" w:w="100"/>
              <w:left w:type="dxa" w:w="140"/>
              <w:bottom w:type="dxa" w:w="100"/>
              <w:right w:type="dxa" w:w="140"/>
            </w:tcMar>
          </w:tcPr>
          <w:p>
            <w:r>
              <w:rPr>
                <w:sz w:val="19"/>
                <w:szCs w:val="19"/>
              </w:rPr>
              <w:t xml:space="preserve">Non-negotiable principle</w:t>
            </w:r>
          </w:p>
        </w:tc>
        <w:tc>
          <w:tcPr>
            <w:tcW w:type="dxa" w:w="3600"/>
            <w:shd w:fill="FFFFFF" w:val="clear"/>
            <w:tcMar>
              <w:top w:type="dxa" w:w="100"/>
              <w:left w:type="dxa" w:w="140"/>
              <w:bottom w:type="dxa" w:w="100"/>
              <w:right w:type="dxa" w:w="140"/>
            </w:tcMar>
          </w:tcPr>
          <w:p>
            <w:r>
              <w:rPr>
                <w:sz w:val="19"/>
                <w:szCs w:val="19"/>
              </w:rPr>
              <w:t xml:space="preserve">Anything touching the Vision Document's Non-Negotiables (Document 1, Section 6) — e.g. retaining biometric data beyond the minimal window</w:t>
            </w:r>
          </w:p>
        </w:tc>
        <w:tc>
          <w:tcPr>
            <w:tcW w:type="dxa" w:w="3200"/>
            <w:shd w:fill="FFFFFF" w:val="clear"/>
            <w:tcMar>
              <w:top w:type="dxa" w:w="100"/>
              <w:left w:type="dxa" w:w="140"/>
              <w:bottom w:type="dxa" w:w="100"/>
              <w:right w:type="dxa" w:w="140"/>
            </w:tcMar>
          </w:tcPr>
          <w:p>
            <w:r>
              <w:rPr>
                <w:sz w:val="19"/>
                <w:szCs w:val="19"/>
              </w:rPr>
              <w:t xml:space="preserve">Not a discretionary decision at all — these are fixed constraints, and any proposal to violate them is declined regardless of who is proposing it or why</w:t>
            </w:r>
          </w:p>
        </w:tc>
      </w:tr>
    </w:tbl>
    <w:p>
      <w:pPr>
        <w:spacing w:after="260" w:before="80"/>
      </w:pPr>
      <w:r>
        <w:rPr>
          <w:i/>
          <w:iCs/>
          <w:color w:val="6B7280"/>
          <w:sz w:val="18"/>
          <w:szCs w:val="18"/>
        </w:rPr>
        <w:t xml:space="preserve">Table 4.1 — Decision classification framework, calibrating decision-making overhead to the actual stakes and reversibility of the decision.</w:t>
      </w:r>
    </w:p>
    <w:p>
      <w:pPr>
        <w:pStyle w:val="Heading2"/>
        <w:spacing w:after="180" w:before="360"/>
      </w:pPr>
      <w:r>
        <w:rPr>
          <w:b/>
          <w:bCs/>
          <w:color w:val="2E5EAA"/>
          <w:sz w:val="26"/>
          <w:szCs w:val="26"/>
        </w:rPr>
        <w:t xml:space="preserve">4.2 Escalation and disagreement resolution</w:t>
      </w:r>
    </w:p>
    <w:p>
      <w:pPr>
        <w:spacing w:after="200" w:line="300"/>
        <w:jc w:val="both"/>
      </w:pPr>
      <w:r>
        <w:rPr>
          <w:sz w:val="21"/>
          <w:szCs w:val="21"/>
        </w:rPr>
        <w:t xml:space="preserve">When teams disagree on a hard-to-reverse architectural decision (Table 4.1), the default resolution mechanism is a written proposal (an ADR-style document, Internal Engineering Handbook, Document 17, Section 4.2) laying out the options and trade-offs, reviewed by a designated technical decision-maker (e.g. a CTO or principal engineer role) — decisions are made based on the merits documented in the proposal, not by seniority or force of personality alone, consistent with the explainability-first principle applied to internal decision-making.</w:t>
      </w:r>
    </w:p>
    <w:p>
      <w:pPr>
        <w:pStyle w:val="Heading1"/>
        <w:pageBreakBefore/>
        <w:spacing w:after="240" w:before="480"/>
      </w:pPr>
      <w:r>
        <w:rPr>
          <w:b/>
          <w:bCs/>
          <w:color w:val="1A2B4C"/>
          <w:sz w:val="32"/>
          <w:szCs w:val="32"/>
        </w:rPr>
        <w:t xml:space="preserve">5. Meetings</w:t>
      </w:r>
    </w:p>
    <w:p>
      <w:pPr>
        <w:pStyle w:val="Heading2"/>
        <w:spacing w:after="180" w:before="360"/>
      </w:pPr>
      <w:r>
        <w:rPr>
          <w:b/>
          <w:bCs/>
          <w:color w:val="2E5EAA"/>
          <w:sz w:val="26"/>
          <w:szCs w:val="26"/>
        </w:rPr>
        <w:t xml:space="preserve">5.1 Meeting principles</w:t>
      </w:r>
    </w:p>
    <w:p>
      <w:pPr>
        <w:pStyle w:val="ListParagraph"/>
        <w:numPr>
          <w:ilvl w:val="0"/>
          <w:numId w:val="2"/>
        </w:numPr>
        <w:spacing w:after="100" w:line="280"/>
      </w:pPr>
      <w:r>
        <w:rPr>
          <w:sz w:val="21"/>
          <w:szCs w:val="21"/>
        </w:rPr>
        <w:t xml:space="preserve">Every recurring meeting has a clear purpose and owner; a meeting that no longer serves its original purpose is cancelled, not kept out of habit.</w:t>
      </w:r>
    </w:p>
    <w:p>
      <w:pPr>
        <w:pStyle w:val="ListParagraph"/>
        <w:numPr>
          <w:ilvl w:val="0"/>
          <w:numId w:val="2"/>
        </w:numPr>
        <w:spacing w:after="100" w:line="280"/>
      </w:pPr>
      <w:r>
        <w:rPr>
          <w:sz w:val="21"/>
          <w:szCs w:val="21"/>
        </w:rPr>
        <w:t xml:space="preserve">Default to async written communication (Culture, Section 2.2) for anything that doesn't genuinely require real-time discussion — a meeting is the more expensive tool and is used deliberately, not by default.</w:t>
      </w:r>
    </w:p>
    <w:p>
      <w:pPr>
        <w:pStyle w:val="ListParagraph"/>
        <w:numPr>
          <w:ilvl w:val="0"/>
          <w:numId w:val="2"/>
        </w:numPr>
        <w:spacing w:after="100" w:line="280"/>
      </w:pPr>
      <w:r>
        <w:rPr>
          <w:sz w:val="21"/>
          <w:szCs w:val="21"/>
        </w:rPr>
        <w:t xml:space="preserve">Meetings involving a decision (Section 4) produce a written record of what was decided and why, even briefly — a decision that exists only in the memory of meeting attendees is effectively undocumented.</w:t>
      </w:r>
    </w:p>
    <w:p>
      <w:pPr>
        <w:pStyle w:val="Heading2"/>
        <w:spacing w:after="180" w:before="360"/>
      </w:pPr>
      <w:r>
        <w:rPr>
          <w:b/>
          <w:bCs/>
          <w:color w:val="2E5EAA"/>
          <w:sz w:val="26"/>
          <w:szCs w:val="26"/>
        </w:rPr>
        <w:t xml:space="preserve">5.2 Standard recurring meetings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shd w:fill="1A2B4C" w:val="clear"/>
            <w:tcMar>
              <w:top w:type="dxa" w:w="100"/>
              <w:left w:type="dxa" w:w="140"/>
              <w:bottom w:type="dxa" w:w="100"/>
              <w:right w:type="dxa" w:w="140"/>
            </w:tcMar>
          </w:tcPr>
          <w:p>
            <w:r>
              <w:rPr>
                <w:b/>
                <w:bCs/>
                <w:color w:val="FFFFFF"/>
                <w:sz w:val="19"/>
                <w:szCs w:val="19"/>
              </w:rPr>
              <w:t xml:space="preserve">Meeting</w:t>
            </w:r>
          </w:p>
        </w:tc>
        <w:tc>
          <w:tcPr>
            <w:tcW w:type="dxa" w:w="4400"/>
            <w:shd w:fill="1A2B4C" w:val="clear"/>
            <w:tcMar>
              <w:top w:type="dxa" w:w="100"/>
              <w:left w:type="dxa" w:w="140"/>
              <w:bottom w:type="dxa" w:w="100"/>
              <w:right w:type="dxa" w:w="140"/>
            </w:tcMar>
          </w:tcPr>
          <w:p>
            <w:r>
              <w:rPr>
                <w:b/>
                <w:bCs/>
                <w:color w:val="FFFFFF"/>
                <w:sz w:val="19"/>
                <w:szCs w:val="19"/>
              </w:rPr>
              <w:t xml:space="preserve">Purpose</w:t>
            </w:r>
          </w:p>
        </w:tc>
        <w:tc>
          <w:tcPr>
            <w:tcW w:type="dxa" w:w="2600"/>
            <w:shd w:fill="1A2B4C" w:val="clear"/>
            <w:tcMar>
              <w:top w:type="dxa" w:w="100"/>
              <w:left w:type="dxa" w:w="140"/>
              <w:bottom w:type="dxa" w:w="100"/>
              <w:right w:type="dxa" w:w="140"/>
            </w:tcMar>
          </w:tcPr>
          <w:p>
            <w:r>
              <w:rPr>
                <w:b/>
                <w:bCs/>
                <w:color w:val="FFFFFF"/>
                <w:sz w:val="19"/>
                <w:szCs w:val="19"/>
              </w:rPr>
              <w:t xml:space="preserve">Cadence</w:t>
            </w:r>
          </w:p>
        </w:tc>
      </w:tr>
      <w:tr>
        <w:tc>
          <w:tcPr>
            <w:tcW w:type="dxa" w:w="2400"/>
            <w:shd w:fill="F4F6F9" w:val="clear"/>
            <w:tcMar>
              <w:top w:type="dxa" w:w="100"/>
              <w:left w:type="dxa" w:w="140"/>
              <w:bottom w:type="dxa" w:w="100"/>
              <w:right w:type="dxa" w:w="140"/>
            </w:tcMar>
          </w:tcPr>
          <w:p>
            <w:r>
              <w:rPr>
                <w:sz w:val="19"/>
                <w:szCs w:val="19"/>
              </w:rPr>
              <w:t xml:space="preserve">Team stand-up</w:t>
            </w:r>
          </w:p>
        </w:tc>
        <w:tc>
          <w:tcPr>
            <w:tcW w:type="dxa" w:w="4400"/>
            <w:shd w:fill="F4F6F9" w:val="clear"/>
            <w:tcMar>
              <w:top w:type="dxa" w:w="100"/>
              <w:left w:type="dxa" w:w="140"/>
              <w:bottom w:type="dxa" w:w="100"/>
              <w:right w:type="dxa" w:w="140"/>
            </w:tcMar>
          </w:tcPr>
          <w:p>
            <w:r>
              <w:rPr>
                <w:sz w:val="19"/>
                <w:szCs w:val="19"/>
              </w:rPr>
              <w:t xml:space="preserve">Brief coordination within a service-owning team (Section 3.1)</w:t>
            </w:r>
          </w:p>
        </w:tc>
        <w:tc>
          <w:tcPr>
            <w:tcW w:type="dxa" w:w="2600"/>
            <w:shd w:fill="F4F6F9" w:val="clear"/>
            <w:tcMar>
              <w:top w:type="dxa" w:w="100"/>
              <w:left w:type="dxa" w:w="140"/>
              <w:bottom w:type="dxa" w:w="100"/>
              <w:right w:type="dxa" w:w="140"/>
            </w:tcMar>
          </w:tcPr>
          <w:p>
            <w:r>
              <w:rPr>
                <w:sz w:val="19"/>
                <w:szCs w:val="19"/>
              </w:rPr>
              <w:t xml:space="preserve">Daily or a few times weekly, kept short</w:t>
            </w:r>
          </w:p>
        </w:tc>
      </w:tr>
      <w:tr>
        <w:tc>
          <w:tcPr>
            <w:tcW w:type="dxa" w:w="2400"/>
            <w:shd w:fill="FFFFFF" w:val="clear"/>
            <w:tcMar>
              <w:top w:type="dxa" w:w="100"/>
              <w:left w:type="dxa" w:w="140"/>
              <w:bottom w:type="dxa" w:w="100"/>
              <w:right w:type="dxa" w:w="140"/>
            </w:tcMar>
          </w:tcPr>
          <w:p>
            <w:r>
              <w:rPr>
                <w:sz w:val="19"/>
                <w:szCs w:val="19"/>
              </w:rPr>
              <w:t xml:space="preserve">Architecture review</w:t>
            </w:r>
          </w:p>
        </w:tc>
        <w:tc>
          <w:tcPr>
            <w:tcW w:type="dxa" w:w="4400"/>
            <w:shd w:fill="FFFFFF" w:val="clear"/>
            <w:tcMar>
              <w:top w:type="dxa" w:w="100"/>
              <w:left w:type="dxa" w:w="140"/>
              <w:bottom w:type="dxa" w:w="100"/>
              <w:right w:type="dxa" w:w="140"/>
            </w:tcMar>
          </w:tcPr>
          <w:p>
            <w:r>
              <w:rPr>
                <w:sz w:val="19"/>
                <w:szCs w:val="19"/>
              </w:rPr>
              <w:t xml:space="preserve">Review hard-to-reverse architectural proposals (Table 4.1)</w:t>
            </w:r>
          </w:p>
        </w:tc>
        <w:tc>
          <w:tcPr>
            <w:tcW w:type="dxa" w:w="2600"/>
            <w:shd w:fill="FFFFFF" w:val="clear"/>
            <w:tcMar>
              <w:top w:type="dxa" w:w="100"/>
              <w:left w:type="dxa" w:w="140"/>
              <w:bottom w:type="dxa" w:w="100"/>
              <w:right w:type="dxa" w:w="140"/>
            </w:tcMar>
          </w:tcPr>
          <w:p>
            <w:r>
              <w:rPr>
                <w:sz w:val="19"/>
                <w:szCs w:val="19"/>
              </w:rPr>
              <w:t xml:space="preserve">As needed, triggered by a proposal, not calendar-fixed</w:t>
            </w:r>
          </w:p>
        </w:tc>
      </w:tr>
      <w:tr>
        <w:tc>
          <w:tcPr>
            <w:tcW w:type="dxa" w:w="2400"/>
            <w:shd w:fill="F4F6F9" w:val="clear"/>
            <w:tcMar>
              <w:top w:type="dxa" w:w="100"/>
              <w:left w:type="dxa" w:w="140"/>
              <w:bottom w:type="dxa" w:w="100"/>
              <w:right w:type="dxa" w:w="140"/>
            </w:tcMar>
          </w:tcPr>
          <w:p>
            <w:r>
              <w:rPr>
                <w:sz w:val="19"/>
                <w:szCs w:val="19"/>
              </w:rPr>
              <w:t xml:space="preserve">Incident post-review</w:t>
            </w:r>
          </w:p>
        </w:tc>
        <w:tc>
          <w:tcPr>
            <w:tcW w:type="dxa" w:w="4400"/>
            <w:shd w:fill="F4F6F9" w:val="clear"/>
            <w:tcMar>
              <w:top w:type="dxa" w:w="100"/>
              <w:left w:type="dxa" w:w="140"/>
              <w:bottom w:type="dxa" w:w="100"/>
              <w:right w:type="dxa" w:w="140"/>
            </w:tcMar>
          </w:tcPr>
          <w:p>
            <w:r>
              <w:rPr>
                <w:sz w:val="19"/>
                <w:szCs w:val="19"/>
              </w:rPr>
              <w:t xml:space="preserve">Blameless review of SEV-1/SEV-2 incidents (Security Architecture, Document 9, Section 9.2)</w:t>
            </w:r>
          </w:p>
        </w:tc>
        <w:tc>
          <w:tcPr>
            <w:tcW w:type="dxa" w:w="2600"/>
            <w:shd w:fill="F4F6F9" w:val="clear"/>
            <w:tcMar>
              <w:top w:type="dxa" w:w="100"/>
              <w:left w:type="dxa" w:w="140"/>
              <w:bottom w:type="dxa" w:w="100"/>
              <w:right w:type="dxa" w:w="140"/>
            </w:tcMar>
          </w:tcPr>
          <w:p>
            <w:r>
              <w:rPr>
                <w:sz w:val="19"/>
                <w:szCs w:val="19"/>
              </w:rPr>
              <w:t xml:space="preserve">Within days of incident resolution</w:t>
            </w:r>
          </w:p>
        </w:tc>
      </w:tr>
      <w:tr>
        <w:tc>
          <w:tcPr>
            <w:tcW w:type="dxa" w:w="2400"/>
            <w:shd w:fill="FFFFFF" w:val="clear"/>
            <w:tcMar>
              <w:top w:type="dxa" w:w="100"/>
              <w:left w:type="dxa" w:w="140"/>
              <w:bottom w:type="dxa" w:w="100"/>
              <w:right w:type="dxa" w:w="140"/>
            </w:tcMar>
          </w:tcPr>
          <w:p>
            <w:r>
              <w:rPr>
                <w:sz w:val="19"/>
                <w:szCs w:val="19"/>
              </w:rPr>
              <w:t xml:space="preserve">Documentation review</w:t>
            </w:r>
          </w:p>
        </w:tc>
        <w:tc>
          <w:tcPr>
            <w:tcW w:type="dxa" w:w="4400"/>
            <w:shd w:fill="FFFFFF" w:val="clear"/>
            <w:tcMar>
              <w:top w:type="dxa" w:w="100"/>
              <w:left w:type="dxa" w:w="140"/>
              <w:bottom w:type="dxa" w:w="100"/>
              <w:right w:type="dxa" w:w="140"/>
            </w:tcMar>
          </w:tcPr>
          <w:p>
            <w:r>
              <w:rPr>
                <w:sz w:val="19"/>
                <w:szCs w:val="19"/>
              </w:rPr>
              <w:t xml:space="preserve">Review and update owned sections of this documentation suite (Internal Engineering Handbook, Document 17, Section 4.3)</w:t>
            </w:r>
          </w:p>
        </w:tc>
        <w:tc>
          <w:tcPr>
            <w:tcW w:type="dxa" w:w="2600"/>
            <w:shd w:fill="FFFFFF" w:val="clear"/>
            <w:tcMar>
              <w:top w:type="dxa" w:w="100"/>
              <w:left w:type="dxa" w:w="140"/>
              <w:bottom w:type="dxa" w:w="100"/>
              <w:right w:type="dxa" w:w="140"/>
            </w:tcMar>
          </w:tcPr>
          <w:p>
            <w:r>
              <w:rPr>
                <w:sz w:val="19"/>
                <w:szCs w:val="19"/>
              </w:rPr>
              <w:t xml:space="preserve">Quarterly</w:t>
            </w:r>
          </w:p>
        </w:tc>
      </w:tr>
      <w:tr>
        <w:tc>
          <w:tcPr>
            <w:tcW w:type="dxa" w:w="2400"/>
            <w:shd w:fill="F4F6F9" w:val="clear"/>
            <w:tcMar>
              <w:top w:type="dxa" w:w="100"/>
              <w:left w:type="dxa" w:w="140"/>
              <w:bottom w:type="dxa" w:w="100"/>
              <w:right w:type="dxa" w:w="140"/>
            </w:tcMar>
          </w:tcPr>
          <w:p>
            <w:r>
              <w:rPr>
                <w:sz w:val="19"/>
                <w:szCs w:val="19"/>
              </w:rPr>
              <w:t xml:space="preserve">Planning</w:t>
            </w:r>
          </w:p>
        </w:tc>
        <w:tc>
          <w:tcPr>
            <w:tcW w:type="dxa" w:w="4400"/>
            <w:shd w:fill="F4F6F9" w:val="clear"/>
            <w:tcMar>
              <w:top w:type="dxa" w:w="100"/>
              <w:left w:type="dxa" w:w="140"/>
              <w:bottom w:type="dxa" w:w="100"/>
              <w:right w:type="dxa" w:w="140"/>
            </w:tcMar>
          </w:tcPr>
          <w:p>
            <w:r>
              <w:rPr>
                <w:sz w:val="19"/>
                <w:szCs w:val="19"/>
              </w:rPr>
              <w:t xml:space="preserve">Roadmap and priority setting (Section 6)</w:t>
            </w:r>
          </w:p>
        </w:tc>
        <w:tc>
          <w:tcPr>
            <w:tcW w:type="dxa" w:w="2600"/>
            <w:shd w:fill="F4F6F9" w:val="clear"/>
            <w:tcMar>
              <w:top w:type="dxa" w:w="100"/>
              <w:left w:type="dxa" w:w="140"/>
              <w:bottom w:type="dxa" w:w="100"/>
              <w:right w:type="dxa" w:w="140"/>
            </w:tcMar>
          </w:tcPr>
          <w:p>
            <w:r>
              <w:rPr>
                <w:sz w:val="19"/>
                <w:szCs w:val="19"/>
              </w:rPr>
              <w:t xml:space="preserve">Quarterly, with lighter-weight monthly check-ins</w:t>
            </w:r>
          </w:p>
        </w:tc>
      </w:tr>
    </w:tbl>
    <w:p>
      <w:pPr>
        <w:spacing w:after="260" w:before="80"/>
      </w:pPr>
      <w:r>
        <w:rPr>
          <w:i/>
          <w:iCs/>
          <w:color w:val="6B7280"/>
          <w:sz w:val="18"/>
          <w:szCs w:val="18"/>
        </w:rPr>
        <w:t xml:space="preserve">Table 5.1 — Standard recurring meetings, cadence, and purpose.</w:t>
      </w:r>
    </w:p>
    <w:p>
      <w:pPr>
        <w:pStyle w:val="Heading1"/>
        <w:pageBreakBefore/>
        <w:spacing w:after="240" w:before="480"/>
      </w:pPr>
      <w:r>
        <w:rPr>
          <w:b/>
          <w:bCs/>
          <w:color w:val="1A2B4C"/>
          <w:sz w:val="32"/>
          <w:szCs w:val="32"/>
        </w:rPr>
        <w:t xml:space="preserve">6. Planning</w:t>
      </w:r>
    </w:p>
    <w:p>
      <w:pPr>
        <w:pStyle w:val="Heading2"/>
        <w:spacing w:after="180" w:before="360"/>
      </w:pPr>
      <w:r>
        <w:rPr>
          <w:b/>
          <w:bCs/>
          <w:color w:val="2E5EAA"/>
          <w:sz w:val="26"/>
          <w:szCs w:val="26"/>
        </w:rPr>
        <w:t xml:space="preserve">6.1 Planning cadence and inputs</w:t>
      </w:r>
    </w:p>
    <w:p>
      <w:pPr>
        <w:spacing w:after="200" w:line="300"/>
        <w:jc w:val="both"/>
      </w:pPr>
      <w:r>
        <w:rPr>
          <w:sz w:val="21"/>
          <w:szCs w:val="21"/>
        </w:rPr>
        <w:t xml:space="preserve">Quarterly planning takes the Product Requirements Document's roadmap (Document 2, Section 9) and the current quarter's OKR cadence (Product Requirements Document, Document 2, Section 8.3) as its primary input, adjusted based on real data accumulated since the last planning cycle — actual accuracy/calibration results (ML Architecture, Document 7, Section 4), actual design-partner feedback (Investor Handbook, Document 15, Section 7.1's traction framework), and actual unit economics (Technical Requirements Document, Document 4, NFR-8.3) all feed into whether the next quarter's plan should adjust from what the original roadmap assumed.</w:t>
      </w:r>
    </w:p>
    <w:p>
      <w:pPr>
        <w:pStyle w:val="Heading2"/>
        <w:spacing w:after="180" w:before="360"/>
      </w:pPr>
      <w:r>
        <w:rPr>
          <w:b/>
          <w:bCs/>
          <w:color w:val="2E5EAA"/>
          <w:sz w:val="26"/>
          <w:szCs w:val="26"/>
        </w:rPr>
        <w:t xml:space="preserve">6.2 Planning and the documentation suite</w:t>
      </w:r>
    </w:p>
    <w:p>
      <w:pPr>
        <w:spacing w:after="200" w:line="300"/>
        <w:jc w:val="both"/>
      </w:pPr>
      <w:r>
        <w:rPr>
          <w:sz w:val="21"/>
          <w:szCs w:val="21"/>
        </w:rPr>
        <w:t xml:space="preserve">Because this documentation suite is treated as a living reference (Internal Engineering Handbook, Document 17, Section 4.3), planning explicitly includes updating the relevant documents to reflect decisions made during planning — a roadmap change that isn't reflected back into the Product Requirements Document, or an architectural evolution not captured in an ADR and eventually the Technical Requirements Document, creates exactly the documentation drift this entire suite was built to avoid.</w:t>
      </w:r>
    </w:p>
    <w:p>
      <w:pPr>
        <w:pStyle w:val="Heading2"/>
        <w:spacing w:after="180" w:before="360"/>
      </w:pPr>
      <w:r>
        <w:rPr>
          <w:b/>
          <w:bCs/>
          <w:color w:val="2E5EAA"/>
          <w:sz w:val="26"/>
          <w:szCs w:val="26"/>
        </w:rPr>
        <w:t xml:space="preserve">6.3 Balancing roadmap commitments against principle-driven work</w:t>
      </w:r>
    </w:p>
    <w:p>
      <w:pPr>
        <w:spacing w:after="200" w:line="300"/>
        <w:jc w:val="both"/>
      </w:pPr>
      <w:r>
        <w:rPr>
          <w:sz w:val="21"/>
          <w:szCs w:val="21"/>
        </w:rPr>
        <w:t xml:space="preserve">Planning explicitly protects time for work that serves the constitution's principles but doesn't map directly to a customer-facing roadmap item — security hardening, privacy architecture improvements, accessibility work, documentation currency (Section 6.2) — treating this as a first-class planning input, not work that only happens in the gaps left over after feature commitments. A planning process that only ever prioritizes visible roadmap features would, over time, quietly erode exactly the non-negotiable qualities (Vision Document, Document 1, Section 6) this company is built around.</w:t>
      </w:r>
    </w:p>
    <w:p>
      <w:pPr>
        <w:pStyle w:val="Heading2"/>
        <w:spacing w:after="180" w:before="360"/>
      </w:pPr>
      <w:r>
        <w:rPr>
          <w:b/>
          <w:bCs/>
          <w:color w:val="2E5EAA"/>
          <w:sz w:val="26"/>
          <w:szCs w:val="26"/>
        </w:rPr>
        <w:t xml:space="preserve">6.4 Closing note</w:t>
      </w:r>
    </w:p>
    <w:p>
      <w:pPr>
        <w:spacing w:after="200" w:line="300"/>
        <w:jc w:val="both"/>
      </w:pPr>
      <w:r>
        <w:rPr>
          <w:sz w:val="21"/>
          <w:szCs w:val="21"/>
        </w:rPr>
        <w:t xml:space="preserve">This document completes the eighteen-document suite outlined at the start of this project: Vision and strategy, product requirements, technical architecture, ML architecture, API specifications, security model, privacy model, infrastructure, design system, engineering handbook, business strategy, and investor materials. Together, they are intended to give Certivo a foundation consistent enough that a new engineer, a new investor, or a new enterprise customer can each find a clear, coherent, and honest account of what the company is building and why — and consistent with the Internal Engineering Handbook's documentation-currency practice (Document 17, Section 4.3), that foundation is expected to keep evolving as the real company and product do.</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Company Operating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2026-07-04T07:39:25.511Z</dcterms:created>
  <dcterms:modified xsi:type="dcterms:W3CDTF">2026-07-04T07:39:25.511Z</dcterms:modified>
</cp:coreProperties>
</file>

<file path=docProps/custom.xml><?xml version="1.0" encoding="utf-8"?>
<Properties xmlns="http://schemas.openxmlformats.org/officeDocument/2006/custom-properties" xmlns:vt="http://schemas.openxmlformats.org/officeDocument/2006/docPropsVTypes"/>
</file>