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A2B4C"/>
          <w:sz w:val="72"/>
          <w:szCs w:val="72"/>
        </w:rPr>
        <w:t xml:space="preserve">CERTIVO</w:t>
      </w:r>
    </w:p>
    <w:p>
      <w:pPr>
        <w:spacing w:after="200" w:before="200"/>
        <w:jc w:val="center"/>
      </w:pPr>
      <w:r>
        <w:rPr>
          <w:i/>
          <w:iCs/>
          <w:color w:val="2E5EAA"/>
          <w:sz w:val="26"/>
          <w:szCs w:val="26"/>
        </w:rPr>
        <w:t xml:space="preserve">The Trust Layer for Live Human Interaction</w:t>
      </w:r>
    </w:p>
    <w:p>
      <w:pPr>
        <w:spacing w:before="800"/>
        <w:jc w:val="center"/>
      </w:pPr>
      <w:r>
        <w:rPr>
          <w:b/>
          <w:bCs/>
          <w:color w:val="6B7280"/>
          <w:sz w:val="32"/>
          <w:szCs w:val="32"/>
        </w:rPr>
        <w:t xml:space="preserve">VISION DOCUMENT</w:t>
      </w:r>
    </w:p>
    <w:p>
      <w:pPr>
        <w:spacing w:before="200"/>
        <w:jc w:val="center"/>
      </w:pPr>
      <w:r>
        <w:rPr>
          <w:color w:val="6B7280"/>
          <w:sz w:val="20"/>
          <w:szCs w:val="20"/>
        </w:rPr>
        <w:t xml:space="preserve">Document 1 of 18 — Phase 1: Product Foundation</w:t>
      </w:r>
    </w:p>
    <w:p>
      <w:pPr>
        <w:spacing w:before="100"/>
        <w:jc w:val="center"/>
      </w:pPr>
      <w:r>
        <w:rPr>
          <w:color w:val="6B7280"/>
          <w:sz w:val="18"/>
          <w:szCs w:val="18"/>
        </w:rPr>
        <w:t xml:space="preserve">Version 2.0 — Revised to establish live-call verification as the flagship use case  |  Confidential</w:t>
      </w:r>
    </w:p>
    <w:p>
      <w:r>
        <w:br w:type="page"/>
      </w:r>
    </w:p>
    <w:p>
      <w:pPr>
        <w:pStyle w:val="Heading1"/>
        <w:spacing w:after="240" w:before="480"/>
      </w:pPr>
      <w:r>
        <w:rPr>
          <w:b/>
          <w:bCs/>
          <w:color w:val="1A2B4C"/>
          <w:sz w:val="32"/>
          <w:szCs w:val="32"/>
        </w:rPr>
        <w:t xml:space="preserve">Revision Note (Version 2.0)</w:t>
      </w:r>
    </w:p>
    <w:p>
      <w:pPr>
        <w:spacing w:after="200" w:line="300"/>
        <w:jc w:val="both"/>
      </w:pPr>
      <w:r>
        <w:rPr>
          <w:i w:val="false"/>
          <w:iCs w:val="false"/>
          <w:sz w:val="22"/>
          <w:szCs w:val="22"/>
        </w:rPr>
        <w:t xml:space="preserve">This document supersedes Version 1.0. The original Vision Document positioned fintech account-recovery and onboarding as Certivo's beachhead, with continuous, live-interaction verification (video calls, livestreams, meetings) filed under long-term, future-facing ambition. Version 2.0 reverses that emphasis: continuous, multi-party live-call verification is now Certivo's flagship use case, and it leads the roadmap starting Phase 0. Fintech, healthcare, marketplace, and hiring use cases remain real, valid, and eventually pursued — they are no longer the entry point.</w:t>
      </w:r>
    </w:p>
    <w:p>
      <w:pPr>
        <w:spacing w:after="200" w:line="300"/>
        <w:jc w:val="both"/>
      </w:pPr>
      <w:r>
        <w:rPr>
          <w:i w:val="false"/>
          <w:iCs w:val="false"/>
          <w:sz w:val="22"/>
          <w:szCs w:val="22"/>
        </w:rPr>
        <w:t xml:space="preserve">This change is reflected consistently through this document and the Product Requirements Document (Document 2). It is not reflected yet in the Product Strategy, Technical Requirements Document, ML Architecture, or later documents in the suite — those require their own revision passes and should not be assumed to already match this new direction until updated.</w:t>
      </w:r>
    </w:p>
    <w:p>
      <w:pPr>
        <w:pStyle w:val="Heading1"/>
        <w:spacing w:after="240" w:before="480"/>
      </w:pPr>
      <w:r>
        <w:rPr>
          <w:b/>
          <w:bCs/>
          <w:color w:val="1A2B4C"/>
          <w:sz w:val="32"/>
          <w:szCs w:val="32"/>
        </w:rPr>
        <w:t xml:space="preserve">1. Mission</w:t>
      </w:r>
    </w:p>
    <w:p>
      <w:pPr>
        <w:pBdr>
          <w:left w:val="single" w:color="2E5EAA" w:sz="18" w:space="12"/>
        </w:pBdr>
        <w:spacing w:after="200" w:before="200" w:line="300"/>
        <w:ind w:left="720"/>
      </w:pPr>
      <w:r>
        <w:rPr>
          <w:i/>
          <w:iCs/>
          <w:color w:val="1A2B4C"/>
          <w:sz w:val="24"/>
          <w:szCs w:val="24"/>
        </w:rPr>
        <w:t xml:space="preserve">To make it possible for anyone on a live video call, livestream, or meeting to know — in real time, cryptographically, and without sacrificing anyone's privacy — that the people on the other end are real, present, and unaltered.</w:t>
      </w:r>
    </w:p>
    <w:p>
      <w:pPr>
        <w:spacing w:after="200" w:line="300"/>
        <w:jc w:val="both"/>
      </w:pPr>
      <w:r>
        <w:rPr>
          <w:i w:val="false"/>
          <w:iCs w:val="false"/>
          <w:sz w:val="22"/>
          <w:szCs w:val="22"/>
        </w:rPr>
        <w:t xml:space="preserve">The internet's next crisis is not a future risk — it is already arriving. Generative AI can now fabricate a convincing live video presence in real time: a face-swapped participant on a call, a synthetic voice reading a script, a pre-recorded loop standing in for a person who was never present. This is no longer a research curiosity. It is an active fraud vector against banks, a trust failure on dating platforms, an attack surface for corporate impersonation on video conferencing, and a slow erosion of the basic ability to believe that the person you are talking to is who — and what — they claim to be.</w:t>
      </w:r>
    </w:p>
    <w:p>
      <w:pPr>
        <w:spacing w:after="200" w:line="300"/>
        <w:jc w:val="both"/>
      </w:pPr>
      <w:r>
        <w:rPr>
          <w:i w:val="false"/>
          <w:iCs w:val="false"/>
          <w:sz w:val="22"/>
          <w:szCs w:val="22"/>
        </w:rPr>
        <w:t xml:space="preserve">Certivo exists to restore that certainty at the exact moment it matters most: while the interaction is happening, not after the fact. We do not build another one-time identity check. We build continuous, real-time proof that stays valid for as long as a call, stream, or meeting is live — for every participant, not just one.</w:t>
      </w:r>
    </w:p>
    <w:p>
      <w:pPr>
        <w:pStyle w:val="Heading1"/>
        <w:spacing w:after="240" w:before="480"/>
      </w:pPr>
      <w:r>
        <w:rPr>
          <w:b/>
          <w:bCs/>
          <w:color w:val="1A2B4C"/>
          <w:sz w:val="32"/>
          <w:szCs w:val="32"/>
        </w:rPr>
        <w:t xml:space="preserve">2. Vision</w:t>
      </w:r>
    </w:p>
    <w:p>
      <w:pPr>
        <w:spacing w:after="200" w:line="300"/>
        <w:jc w:val="both"/>
      </w:pPr>
      <w:r>
        <w:rPr>
          <w:i w:val="false"/>
          <w:iCs w:val="false"/>
          <w:sz w:val="22"/>
          <w:szCs w:val="22"/>
        </w:rPr>
        <w:t xml:space="preserve">We believe that within a few years, every serious video-calling, livestreaming, dating, and remote-meeting platform will need to answer a question they currently have no reliable way to answer: is the person on this call actually a live, present human, and are they who the platform's other signals say they are? Today, platforms have no dedicated infrastructure for this. They have account passwords, and, at best, a one-time identity check at signup — neither of which says anything about who or what is actually present on a specific call, right now.</w:t>
      </w:r>
    </w:p>
    <w:p>
      <w:pPr>
        <w:spacing w:after="200" w:line="300"/>
        <w:jc w:val="both"/>
      </w:pPr>
      <w:r>
        <w:rPr>
          <w:i w:val="false"/>
          <w:iCs w:val="false"/>
          <w:sz w:val="22"/>
          <w:szCs w:val="22"/>
        </w:rPr>
        <w:t xml:space="preserve">Our vision is for Certivo to become the default answer to that question: an SDK that any calling, streaming, dating, or meeting platform can embed directly into their own product, giving every participant on every call a continuously updated, cryptographically verifiable trust signal for every other participant — delivered with low enough latency and resource overhead that it never gets in the way of the call itself.</w:t>
      </w:r>
    </w:p>
    <w:p>
      <w:pPr>
        <w:spacing w:after="200" w:line="300"/>
        <w:jc w:val="both"/>
      </w:pPr>
      <w:r>
        <w:rPr>
          <w:i w:val="false"/>
          <w:iCs w:val="false"/>
          <w:sz w:val="22"/>
          <w:szCs w:val="22"/>
        </w:rPr>
        <w:t xml:space="preserve">We are building this the way real infrastructure gets built: not as a feature bolted onto one company's app, but as an embeddable layer that becomes part of how live digital interaction works everywhere it's integrated — the same pattern by which payment processing, push notifications, and authentication became invisible, assumed infrastructure rather than a visible product choice.</w:t>
      </w:r>
    </w:p>
    <w:p>
      <w:pPr>
        <w:pStyle w:val="Heading1"/>
        <w:spacing w:after="240" w:before="480"/>
      </w:pPr>
      <w:r>
        <w:rPr>
          <w:b/>
          <w:bCs/>
          <w:color w:val="1A2B4C"/>
          <w:sz w:val="32"/>
          <w:szCs w:val="32"/>
        </w:rPr>
        <w:t xml:space="preserve">3. Company Philosophy</w:t>
      </w:r>
    </w:p>
    <w:p>
      <w:pPr>
        <w:spacing w:after="200" w:line="300"/>
        <w:jc w:val="both"/>
      </w:pPr>
      <w:r>
        <w:rPr>
          <w:i w:val="false"/>
          <w:iCs w:val="false"/>
          <w:sz w:val="22"/>
          <w:szCs w:val="22"/>
        </w:rPr>
        <w:t xml:space="preserve">Verifying a live call is a fundamentally harder and more sensitive problem than verifying a single moment, and our philosophy is built around taking that difference seriously rather than treating continuous verification as a bigger version of the same thing.</w:t>
      </w:r>
    </w:p>
    <w:p>
      <w:pPr>
        <w:spacing w:after="200" w:line="300"/>
        <w:jc w:val="both"/>
      </w:pPr>
      <w:r>
        <w:rPr>
          <w:i w:val="false"/>
          <w:iCs w:val="false"/>
          <w:sz w:val="22"/>
          <w:szCs w:val="22"/>
        </w:rPr>
        <w:t xml:space="preserve">First: continuous does not mean invasive. A platform embedding Certivo's SDK is asking us to make an ongoing claim about a live human being, for the duration of a call that may run for minutes or hours. The temptation for any company solving this problem is to collect more, retain longer, and build a persistent profile of each verified person over time. We refuse this by design — our commitment to minimal retention and no persistent biometric storage applies with equal force to a 90-minute meeting as it does to a 3-second check, and our device-trust and session-continuity mechanisms are built specifically to avoid becoming a cross-platform tracking capability, even though that would be technically easier to build.</w:t>
      </w:r>
    </w:p>
    <w:p>
      <w:pPr>
        <w:spacing w:after="200" w:line="300"/>
        <w:jc w:val="both"/>
      </w:pPr>
      <w:r>
        <w:rPr>
          <w:i w:val="false"/>
          <w:iCs w:val="false"/>
          <w:sz w:val="22"/>
          <w:szCs w:val="22"/>
        </w:rPr>
        <w:t xml:space="preserve">Second: the SDK model means our customer is the platform, but our obligation is to the individual on the call. A dating app, a video-conferencing tool, or a livestreaming service integrates our SDK — but the person whose face is being analyzed for liveness and authenticity is rarely the one who signed the contract. Every design decision treats that asymmetry as a first-class constraint, not an externality the integrating platform is left to manage alone.</w:t>
      </w:r>
    </w:p>
    <w:p>
      <w:pPr>
        <w:pStyle w:val="Heading2"/>
        <w:spacing w:after="180" w:before="360"/>
      </w:pPr>
      <w:r>
        <w:rPr>
          <w:b/>
          <w:bCs/>
          <w:color w:val="2E5EAA"/>
          <w:sz w:val="26"/>
          <w:szCs w:val="26"/>
        </w:rPr>
        <w:t xml:space="preserve">Our operating beliefs</w:t>
      </w:r>
    </w:p>
    <w:p>
      <w:pPr>
        <w:pStyle w:val="ListParagraph"/>
        <w:numPr>
          <w:ilvl w:val="0"/>
          <w:numId w:val="2"/>
        </w:numPr>
        <w:spacing w:after="120" w:line="280"/>
      </w:pPr>
      <w:r>
        <w:rPr>
          <w:sz w:val="22"/>
          <w:szCs w:val="22"/>
        </w:rPr>
        <w:t xml:space="preserve">Trust must hold for the duration of the interaction, not just at its start — a call verified as authentic in its first three seconds and left unchecked for the remaining ninety minutes has not actually been verified.</w:t>
      </w:r>
    </w:p>
    <w:p>
      <w:pPr>
        <w:pStyle w:val="ListParagraph"/>
        <w:numPr>
          <w:ilvl w:val="0"/>
          <w:numId w:val="2"/>
        </w:numPr>
        <w:spacing w:after="120" w:line="280"/>
      </w:pPr>
      <w:r>
        <w:rPr>
          <w:sz w:val="22"/>
          <w:szCs w:val="22"/>
        </w:rPr>
        <w:t xml:space="preserve">Every participant deserves the same standard of proof about every other participant — verification is symmetric by default, not a one-sided check performed on a user by a platform.</w:t>
      </w:r>
    </w:p>
    <w:p>
      <w:pPr>
        <w:pStyle w:val="ListParagraph"/>
        <w:numPr>
          <w:ilvl w:val="0"/>
          <w:numId w:val="2"/>
        </w:numPr>
        <w:spacing w:after="120" w:line="280"/>
      </w:pPr>
      <w:r>
        <w:rPr>
          <w:sz w:val="22"/>
          <w:szCs w:val="22"/>
        </w:rPr>
        <w:t xml:space="preserve">Low latency and low resource overhead are not nice-to-haves for a real-time product — a verification layer that visibly degrades call quality will be uninstalled, regardless of how accurate it is.</w:t>
      </w:r>
    </w:p>
    <w:p>
      <w:pPr>
        <w:pStyle w:val="ListParagraph"/>
        <w:numPr>
          <w:ilvl w:val="0"/>
          <w:numId w:val="2"/>
        </w:numPr>
        <w:spacing w:after="120" w:line="280"/>
      </w:pPr>
      <w:r>
        <w:rPr>
          <w:sz w:val="22"/>
          <w:szCs w:val="22"/>
        </w:rPr>
        <w:t xml:space="preserve">A persistent trust signal (the Trusted Device Layer, Section 7) must never become a persistent surveillance capability — scoped, revocable, and never silently shared across unrelated integrating platforms.</w:t>
      </w:r>
    </w:p>
    <w:p>
      <w:pPr>
        <w:pStyle w:val="ListParagraph"/>
        <w:numPr>
          <w:ilvl w:val="0"/>
          <w:numId w:val="2"/>
        </w:numPr>
        <w:spacing w:after="120" w:line="280"/>
      </w:pPr>
      <w:r>
        <w:rPr>
          <w:sz w:val="22"/>
          <w:szCs w:val="22"/>
        </w:rPr>
        <w:t xml:space="preserve">Explainability applies to a continuous decision just as much as a point-in-time one — a trust score that changes mid-call must be able to say why, in the moment, not only in a post-hoc log.</w:t>
      </w:r>
    </w:p>
    <w:p>
      <w:pPr>
        <w:pStyle w:val="Heading1"/>
        <w:spacing w:after="240" w:before="480"/>
      </w:pPr>
      <w:r>
        <w:rPr>
          <w:b/>
          <w:bCs/>
          <w:color w:val="1A2B4C"/>
          <w:sz w:val="32"/>
          <w:szCs w:val="32"/>
        </w:rPr>
        <w:t xml:space="preserve">4. Long-Term Vision (10 Years)</w:t>
      </w:r>
    </w:p>
    <w:p>
      <w:pPr>
        <w:pStyle w:val="Heading2"/>
        <w:spacing w:after="180" w:before="360"/>
      </w:pPr>
      <w:r>
        <w:rPr>
          <w:b/>
          <w:bCs/>
          <w:color w:val="2E5EAA"/>
          <w:sz w:val="26"/>
          <w:szCs w:val="26"/>
        </w:rPr>
        <w:t xml:space="preserve">4.1 From flagship use case to universal live-interaction layer</w:t>
      </w:r>
    </w:p>
    <w:p>
      <w:pPr>
        <w:spacing w:after="200" w:line="300"/>
        <w:jc w:val="both"/>
      </w:pPr>
      <w:r>
        <w:rPr>
          <w:i w:val="false"/>
          <w:iCs w:val="false"/>
          <w:sz w:val="22"/>
          <w:szCs w:val="22"/>
        </w:rPr>
        <w:t xml:space="preserve">Live video calling, livestreaming, and remote meetings are the beachhead because they are the sharpest current expression of the problem — but the underlying capability (continuous, low-latency, privacy-preserving proof of live human presence and authenticity) generalizes to any real-time digital interaction. Over ten years, we expect the same core engine to extend from video calls into voice-only calls, AR/VR presence, and eventually any real-time medium where 'is this really them, right now' matters.</w:t>
      </w:r>
    </w:p>
    <w:p>
      <w:pPr>
        <w:pStyle w:val="Heading2"/>
        <w:spacing w:after="180" w:before="360"/>
      </w:pPr>
      <w:r>
        <w:rPr>
          <w:b/>
          <w:bCs/>
          <w:color w:val="2E5EAA"/>
          <w:sz w:val="26"/>
          <w:szCs w:val="26"/>
        </w:rPr>
        <w:t xml:space="preserve">4.2 From SDK to embedded standard</w:t>
      </w:r>
    </w:p>
    <w:p>
      <w:pPr>
        <w:spacing w:after="200" w:line="300"/>
        <w:jc w:val="both"/>
      </w:pPr>
      <w:r>
        <w:rPr>
          <w:i w:val="false"/>
          <w:iCs w:val="false"/>
          <w:sz w:val="22"/>
          <w:szCs w:val="22"/>
        </w:rPr>
        <w:t xml:space="preserve">Our initial go-to-market is deliberately SDK-first: platforms embed Certivo rather than Certivo operating as a standalone consumer product. Over time, as adoption grows across calling, dating, streaming, and meeting platforms, we expect the underlying verification and attestation format to matter more than any single platform's implementation of it — the same trajectory by which a specific vendor's technology becomes a background standard other products simply assume is present.</w:t>
      </w:r>
    </w:p>
    <w:p>
      <w:pPr>
        <w:pStyle w:val="Heading2"/>
        <w:spacing w:after="180" w:before="360"/>
      </w:pPr>
      <w:r>
        <w:rPr>
          <w:b/>
          <w:bCs/>
          <w:color w:val="2E5EAA"/>
          <w:sz w:val="26"/>
          <w:szCs w:val="26"/>
        </w:rPr>
        <w:t xml:space="preserve">4.3 From platform-side trust signal to cross-platform trust portability</w:t>
      </w:r>
    </w:p>
    <w:p>
      <w:pPr>
        <w:spacing w:after="200" w:line="300"/>
        <w:jc w:val="both"/>
      </w:pPr>
      <w:r>
        <w:rPr>
          <w:i w:val="false"/>
          <w:iCs w:val="false"/>
          <w:sz w:val="22"/>
          <w:szCs w:val="22"/>
        </w:rPr>
        <w:t xml:space="preserve">A harder, later-stage ambition: allowing a person verified on one integrating platform to carry a portable, privacy-preserving trust credential to another integrating platform, without re-verifying from scratch and without either platform learning anything about the person's activity on the other. This is a significant privacy and cryptographic design challenge — deliberately treated as a future research question (see the AI Research Specification, Document 8, once revised) rather than an early commitment, since getting the privacy guarantees wrong here would be worse than not building it at all.</w:t>
      </w:r>
    </w:p>
    <w:p>
      <w:pPr>
        <w:pStyle w:val="Heading2"/>
        <w:spacing w:after="180" w:before="360"/>
      </w:pPr>
      <w:r>
        <w:rPr>
          <w:b/>
          <w:bCs/>
          <w:color w:val="2E5EAA"/>
          <w:sz w:val="26"/>
          <w:szCs w:val="26"/>
        </w:rPr>
        <w:t xml:space="preserve">4.4 From fraud-prevention layer to societal trust infrastructure</w:t>
      </w:r>
    </w:p>
    <w:p>
      <w:pPr>
        <w:spacing w:after="200" w:line="300"/>
        <w:jc w:val="both"/>
      </w:pPr>
      <w:r>
        <w:rPr>
          <w:i w:val="false"/>
          <w:iCs w:val="false"/>
          <w:sz w:val="22"/>
          <w:szCs w:val="22"/>
        </w:rPr>
        <w:t xml:space="preserve">At full maturity, we expect 'Certivo-verified' to function the way a familiar security indicator does today: an ambient, widely recognized signal that a live interaction — a call, a stream, a meeting — carries a verifiable, real-time authenticity guarantee. Fintech, healthcare, hiring, and other point-in-time verification use cases remain part of this picture, extending the same trust infrastructure to moments beyond live calls, but they follow the flagship, they do not lead it.</w:t>
      </w:r>
    </w:p>
    <w:p>
      <w:pPr>
        <w:pStyle w:val="Heading1"/>
        <w:spacing w:after="240" w:before="480"/>
      </w:pPr>
      <w:r>
        <w:rPr>
          <w:b/>
          <w:bCs/>
          <w:color w:val="1A2B4C"/>
          <w:sz w:val="32"/>
          <w:szCs w:val="32"/>
        </w:rPr>
        <w:t xml:space="preserve">5. Core Principles</w:t>
      </w:r>
    </w:p>
    <w:p>
      <w:pPr>
        <w:spacing w:after="200" w:line="300"/>
        <w:jc w:val="both"/>
      </w:pPr>
      <w:r>
        <w:rPr>
          <w:i w:val="false"/>
          <w:iCs w:val="false"/>
          <w:sz w:val="22"/>
          <w:szCs w:val="22"/>
        </w:rPr>
        <w:t xml:space="preserve">Unchanged from Version 1.0 — these are binding constraints on every technical and product decision, independent of which use case is currently the flagship.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1A2B4C" w:val="clear"/>
            <w:tcMar>
              <w:top w:type="dxa" w:w="120"/>
              <w:left w:type="dxa" w:w="150"/>
              <w:bottom w:type="dxa" w:w="120"/>
              <w:right w:type="dxa" w:w="150"/>
            </w:tcMar>
          </w:tcPr>
          <w:p>
            <w:r>
              <w:rPr>
                <w:b/>
                <w:bCs/>
                <w:color w:val="FFFFFF"/>
                <w:sz w:val="20"/>
                <w:szCs w:val="20"/>
              </w:rPr>
              <w:t xml:space="preserve">Principle</w:t>
            </w:r>
          </w:p>
        </w:tc>
        <w:tc>
          <w:tcPr>
            <w:tcW w:type="dxa" w:w="6900"/>
            <w:shd w:fill="1A2B4C" w:val="clear"/>
            <w:tcMar>
              <w:top w:type="dxa" w:w="120"/>
              <w:left w:type="dxa" w:w="150"/>
              <w:bottom w:type="dxa" w:w="120"/>
              <w:right w:type="dxa" w:w="150"/>
            </w:tcMar>
          </w:tcPr>
          <w:p>
            <w:r>
              <w:rPr>
                <w:b/>
                <w:bCs/>
                <w:color w:val="FFFFFF"/>
                <w:sz w:val="20"/>
                <w:szCs w:val="20"/>
              </w:rPr>
              <w:t xml:space="preserve">What it means in practice</w:t>
            </w:r>
          </w:p>
        </w:tc>
      </w:tr>
      <w:tr>
        <w:tc>
          <w:tcPr>
            <w:tcW w:type="dxa" w:w="2500"/>
            <w:shd w:fill="F4F6F9" w:val="clear"/>
            <w:tcMar>
              <w:top w:type="dxa" w:w="120"/>
              <w:left w:type="dxa" w:w="150"/>
              <w:bottom w:type="dxa" w:w="120"/>
              <w:right w:type="dxa" w:w="150"/>
            </w:tcMar>
          </w:tcPr>
          <w:p>
            <w:r>
              <w:rPr>
                <w:b/>
                <w:bCs/>
                <w:color w:val="1A2B4C"/>
                <w:sz w:val="20"/>
                <w:szCs w:val="20"/>
              </w:rPr>
              <w:t xml:space="preserve">Security First</w:t>
            </w:r>
          </w:p>
        </w:tc>
        <w:tc>
          <w:tcPr>
            <w:tcW w:type="dxa" w:w="6900"/>
            <w:shd w:fill="F4F6F9" w:val="clear"/>
            <w:tcMar>
              <w:top w:type="dxa" w:w="120"/>
              <w:left w:type="dxa" w:w="150"/>
              <w:bottom w:type="dxa" w:w="120"/>
              <w:right w:type="dxa" w:w="150"/>
            </w:tcMar>
          </w:tcPr>
          <w:p>
            <w:r>
              <w:rPr>
                <w:sz w:val="20"/>
                <w:szCs w:val="20"/>
              </w:rPr>
              <w:t xml:space="preserve">Never sacrifice security for convenience. Secure-by-default is the only acceptable default.</w:t>
            </w:r>
          </w:p>
        </w:tc>
      </w:tr>
      <w:tr>
        <w:tc>
          <w:tcPr>
            <w:tcW w:type="dxa" w:w="2500"/>
            <w:shd w:fill="FFFFFF" w:val="clear"/>
            <w:tcMar>
              <w:top w:type="dxa" w:w="120"/>
              <w:left w:type="dxa" w:w="150"/>
              <w:bottom w:type="dxa" w:w="120"/>
              <w:right w:type="dxa" w:w="150"/>
            </w:tcMar>
          </w:tcPr>
          <w:p>
            <w:r>
              <w:rPr>
                <w:b/>
                <w:bCs/>
                <w:color w:val="1A2B4C"/>
                <w:sz w:val="20"/>
                <w:szCs w:val="20"/>
              </w:rPr>
              <w:t xml:space="preserve">Privacy First</w:t>
            </w:r>
          </w:p>
        </w:tc>
        <w:tc>
          <w:tcPr>
            <w:tcW w:type="dxa" w:w="6900"/>
            <w:shd w:fill="FFFFFF" w:val="clear"/>
            <w:tcMar>
              <w:top w:type="dxa" w:w="120"/>
              <w:left w:type="dxa" w:w="150"/>
              <w:bottom w:type="dxa" w:w="120"/>
              <w:right w:type="dxa" w:w="150"/>
            </w:tcMar>
          </w:tcPr>
          <w:p>
            <w:r>
              <w:rPr>
                <w:sz w:val="20"/>
                <w:szCs w:val="20"/>
              </w:rPr>
              <w:t xml:space="preserve">Never collect data that is unnecessary. Minimization is the starting assumption, not an afterthought.</w:t>
            </w:r>
          </w:p>
        </w:tc>
      </w:tr>
      <w:tr>
        <w:tc>
          <w:tcPr>
            <w:tcW w:type="dxa" w:w="2500"/>
            <w:shd w:fill="F4F6F9" w:val="clear"/>
            <w:tcMar>
              <w:top w:type="dxa" w:w="120"/>
              <w:left w:type="dxa" w:w="150"/>
              <w:bottom w:type="dxa" w:w="120"/>
              <w:right w:type="dxa" w:w="150"/>
            </w:tcMar>
          </w:tcPr>
          <w:p>
            <w:r>
              <w:rPr>
                <w:b/>
                <w:bCs/>
                <w:color w:val="1A2B4C"/>
                <w:sz w:val="20"/>
                <w:szCs w:val="20"/>
              </w:rPr>
              <w:t xml:space="preserve">Explainability First</w:t>
            </w:r>
          </w:p>
        </w:tc>
        <w:tc>
          <w:tcPr>
            <w:tcW w:type="dxa" w:w="6900"/>
            <w:shd w:fill="F4F6F9" w:val="clear"/>
            <w:tcMar>
              <w:top w:type="dxa" w:w="120"/>
              <w:left w:type="dxa" w:w="150"/>
              <w:bottom w:type="dxa" w:w="120"/>
              <w:right w:type="dxa" w:w="150"/>
            </w:tcMar>
          </w:tcPr>
          <w:p>
            <w:r>
              <w:rPr>
                <w:sz w:val="20"/>
                <w:szCs w:val="20"/>
              </w:rPr>
              <w:t xml:space="preserve">Every AI decision includes a confidence score and a human-readable rationale. No unexplained black-box outputs.</w:t>
            </w:r>
          </w:p>
        </w:tc>
      </w:tr>
      <w:tr>
        <w:tc>
          <w:tcPr>
            <w:tcW w:type="dxa" w:w="2500"/>
            <w:shd w:fill="FFFFFF" w:val="clear"/>
            <w:tcMar>
              <w:top w:type="dxa" w:w="120"/>
              <w:left w:type="dxa" w:w="150"/>
              <w:bottom w:type="dxa" w:w="120"/>
              <w:right w:type="dxa" w:w="150"/>
            </w:tcMar>
          </w:tcPr>
          <w:p>
            <w:r>
              <w:rPr>
                <w:b/>
                <w:bCs/>
                <w:color w:val="1A2B4C"/>
                <w:sz w:val="20"/>
                <w:szCs w:val="20"/>
              </w:rPr>
              <w:t xml:space="preserve">Modularity</w:t>
            </w:r>
          </w:p>
        </w:tc>
        <w:tc>
          <w:tcPr>
            <w:tcW w:type="dxa" w:w="6900"/>
            <w:shd w:fill="FFFFFF" w:val="clear"/>
            <w:tcMar>
              <w:top w:type="dxa" w:w="120"/>
              <w:left w:type="dxa" w:w="150"/>
              <w:bottom w:type="dxa" w:w="120"/>
              <w:right w:type="dxa" w:w="150"/>
            </w:tcMar>
          </w:tcPr>
          <w:p>
            <w:r>
              <w:rPr>
                <w:sz w:val="20"/>
                <w:szCs w:val="20"/>
              </w:rPr>
              <w:t xml:space="preserve">Every subsystem must be independently replaceable. No monolithic architecture, no single points of technical lock-in.</w:t>
            </w:r>
          </w:p>
        </w:tc>
      </w:tr>
      <w:tr>
        <w:tc>
          <w:tcPr>
            <w:tcW w:type="dxa" w:w="2500"/>
            <w:shd w:fill="F4F6F9" w:val="clear"/>
            <w:tcMar>
              <w:top w:type="dxa" w:w="120"/>
              <w:left w:type="dxa" w:w="150"/>
              <w:bottom w:type="dxa" w:w="120"/>
              <w:right w:type="dxa" w:w="150"/>
            </w:tcMar>
          </w:tcPr>
          <w:p>
            <w:r>
              <w:rPr>
                <w:b/>
                <w:bCs/>
                <w:color w:val="1A2B4C"/>
                <w:sz w:val="20"/>
                <w:szCs w:val="20"/>
              </w:rPr>
              <w:t xml:space="preserve">Production Quality</w:t>
            </w:r>
          </w:p>
        </w:tc>
        <w:tc>
          <w:tcPr>
            <w:tcW w:type="dxa" w:w="6900"/>
            <w:shd w:fill="F4F6F9" w:val="clear"/>
            <w:tcMar>
              <w:top w:type="dxa" w:w="120"/>
              <w:left w:type="dxa" w:w="150"/>
              <w:bottom w:type="dxa" w:w="120"/>
              <w:right w:type="dxa" w:w="150"/>
            </w:tcMar>
          </w:tcPr>
          <w:p>
            <w:r>
              <w:rPr>
                <w:sz w:val="20"/>
                <w:szCs w:val="20"/>
              </w:rPr>
              <w:t xml:space="preserve">Every line of code shipped must be defensible in an enterprise security review, not merely a demo that works once.</w:t>
            </w:r>
          </w:p>
        </w:tc>
      </w:tr>
    </w:tbl>
    <w:p>
      <w:pPr>
        <w:pStyle w:val="Heading1"/>
        <w:spacing w:after="240" w:before="480"/>
      </w:pPr>
      <w:r>
        <w:rPr>
          <w:b/>
          <w:bCs/>
          <w:color w:val="1A2B4C"/>
          <w:sz w:val="32"/>
          <w:szCs w:val="32"/>
        </w:rPr>
        <w:t xml:space="preserve">6. Non-Negotiables</w:t>
      </w:r>
    </w:p>
    <w:p>
      <w:pPr>
        <w:spacing w:after="200" w:line="300"/>
        <w:jc w:val="both"/>
      </w:pPr>
      <w:r>
        <w:rPr>
          <w:i w:val="false"/>
          <w:iCs w:val="false"/>
          <w:sz w:val="22"/>
          <w:szCs w:val="22"/>
        </w:rPr>
        <w:t xml:space="preserve">Unchanged in substance from Version 1.0, with one addition (marked new) made necessary by the live-call flagship and the Trusted Device Layer specifically.</w:t>
      </w:r>
    </w:p>
    <w:p>
      <w:pPr>
        <w:pStyle w:val="ListParagraph"/>
        <w:numPr>
          <w:ilvl w:val="0"/>
          <w:numId w:val="2"/>
        </w:numPr>
        <w:spacing w:after="120" w:line="280"/>
      </w:pPr>
      <w:r>
        <w:rPr>
          <w:sz w:val="22"/>
          <w:szCs w:val="22"/>
        </w:rPr>
        <w:t xml:space="preserve">We will never sell, license, or monetize raw biometric data, under any circumstance, to any party, for any price.</w:t>
      </w:r>
    </w:p>
    <w:p>
      <w:pPr>
        <w:pStyle w:val="ListParagraph"/>
        <w:numPr>
          <w:ilvl w:val="0"/>
          <w:numId w:val="2"/>
        </w:numPr>
        <w:spacing w:after="120" w:line="280"/>
      </w:pPr>
      <w:r>
        <w:rPr>
          <w:sz w:val="22"/>
          <w:szCs w:val="22"/>
        </w:rPr>
        <w:t xml:space="preserve">We will never retain raw biometric captures beyond the minimum window required to complete a verification, unless a user has given explicit, specific, revocable consent for a longer retention purpose.</w:t>
      </w:r>
    </w:p>
    <w:p>
      <w:pPr>
        <w:pStyle w:val="ListParagraph"/>
        <w:numPr>
          <w:ilvl w:val="0"/>
          <w:numId w:val="2"/>
        </w:numPr>
        <w:spacing w:after="120" w:line="280"/>
      </w:pPr>
      <w:r>
        <w:rPr>
          <w:sz w:val="22"/>
          <w:szCs w:val="22"/>
        </w:rPr>
        <w:t xml:space="preserve">We will never ship a verification decision — including a continuously updated one during a live call — without an attached confidence score and a human-readable explanation of the primary factors behind it.</w:t>
      </w:r>
    </w:p>
    <w:p>
      <w:pPr>
        <w:pStyle w:val="ListParagraph"/>
        <w:numPr>
          <w:ilvl w:val="0"/>
          <w:numId w:val="2"/>
        </w:numPr>
        <w:spacing w:after="120" w:line="280"/>
      </w:pPr>
      <w:r>
        <w:rPr>
          <w:sz w:val="22"/>
          <w:szCs w:val="22"/>
        </w:rPr>
        <w:t xml:space="preserve">We will never build features whose primary purpose is covert surveillance, tracking without consent, or identification of individuals without their knowledge.</w:t>
      </w:r>
    </w:p>
    <w:p>
      <w:pPr>
        <w:pStyle w:val="ListParagraph"/>
        <w:numPr>
          <w:ilvl w:val="0"/>
          <w:numId w:val="2"/>
        </w:numPr>
        <w:spacing w:after="120" w:line="280"/>
      </w:pPr>
      <w:r>
        <w:rPr>
          <w:sz w:val="22"/>
          <w:szCs w:val="22"/>
        </w:rPr>
        <w:t xml:space="preserve">We will never claim an accuracy or false-positive rate we cannot substantiate with our own evaluation data, and we will publish methodology alongside any accuracy claim we make publicly.</w:t>
      </w:r>
    </w:p>
    <w:p>
      <w:pPr>
        <w:pStyle w:val="ListParagraph"/>
        <w:numPr>
          <w:ilvl w:val="0"/>
          <w:numId w:val="2"/>
        </w:numPr>
        <w:spacing w:after="120" w:line="280"/>
      </w:pPr>
      <w:r>
        <w:rPr>
          <w:sz w:val="22"/>
          <w:szCs w:val="22"/>
        </w:rPr>
        <w:t xml:space="preserve">We will never allow a customer integration to bypass consent flows, even where locally permitted by law, without an explicit, documented, revisited-quarterly legal review.</w:t>
      </w:r>
    </w:p>
    <w:p>
      <w:pPr>
        <w:pStyle w:val="ListParagraph"/>
        <w:numPr>
          <w:ilvl w:val="0"/>
          <w:numId w:val="2"/>
        </w:numPr>
        <w:spacing w:after="120" w:line="280"/>
      </w:pPr>
      <w:r>
        <w:rPr>
          <w:sz w:val="22"/>
          <w:szCs w:val="22"/>
        </w:rPr>
        <w:t xml:space="preserve">We will never treat a security or privacy incident as a PR problem before we treat it as an engineering and user-safety problem.</w:t>
      </w:r>
    </w:p>
    <w:p>
      <w:pPr>
        <w:pStyle w:val="ListParagraph"/>
        <w:numPr>
          <w:ilvl w:val="0"/>
          <w:numId w:val="2"/>
        </w:numPr>
        <w:spacing w:after="120" w:line="280"/>
      </w:pPr>
      <w:r>
        <w:rPr>
          <w:sz w:val="22"/>
          <w:szCs w:val="22"/>
        </w:rPr>
        <w:t xml:space="preserve">NEW — We will never allow the Trusted Device Layer's persistent token to be used, by us or by an integrating platform, to track or correlate a person's activity across two different integrating platforms without that person's explicit, separate consent to link them. Each platform's trust relationship with a device is scoped to that platform by default.</w:t>
      </w:r>
    </w:p>
    <w:p>
      <w:pPr>
        <w:pStyle w:val="Heading1"/>
        <w:spacing w:after="240" w:before="480"/>
      </w:pPr>
      <w:r>
        <w:rPr>
          <w:b/>
          <w:bCs/>
          <w:color w:val="1A2B4C"/>
          <w:sz w:val="32"/>
          <w:szCs w:val="32"/>
        </w:rPr>
        <w:t xml:space="preserve">7. Product Evolution</w:t>
      </w:r>
    </w:p>
    <w:p>
      <w:pPr>
        <w:spacing w:after="200" w:line="300"/>
        <w:jc w:val="both"/>
      </w:pPr>
      <w:r>
        <w:rPr>
          <w:i w:val="false"/>
          <w:iCs w:val="false"/>
          <w:sz w:val="22"/>
          <w:szCs w:val="22"/>
        </w:rPr>
        <w:t xml:space="preserve">Revised from Version 1.0: live-call verification now leads. The stages below replace the original fintech-first sequencing.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A2B4C" w:val="clear"/>
            <w:tcMar>
              <w:top w:type="dxa" w:w="120"/>
              <w:left w:type="dxa" w:w="150"/>
              <w:bottom w:type="dxa" w:w="120"/>
              <w:right w:type="dxa" w:w="150"/>
            </w:tcMar>
          </w:tcPr>
          <w:p>
            <w:r>
              <w:rPr>
                <w:b/>
                <w:bCs/>
                <w:color w:val="FFFFFF"/>
                <w:sz w:val="20"/>
                <w:szCs w:val="20"/>
              </w:rPr>
              <w:t xml:space="preserve">Stage</w:t>
            </w:r>
          </w:p>
        </w:tc>
        <w:tc>
          <w:tcPr>
            <w:tcW w:type="dxa" w:w="6600"/>
            <w:shd w:fill="1A2B4C" w:val="clear"/>
            <w:tcMar>
              <w:top w:type="dxa" w:w="120"/>
              <w:left w:type="dxa" w:w="150"/>
              <w:bottom w:type="dxa" w:w="120"/>
              <w:right w:type="dxa" w:w="150"/>
            </w:tcMar>
          </w:tcPr>
          <w:p>
            <w:r>
              <w:rPr>
                <w:b/>
                <w:bCs/>
                <w:color w:val="FFFFFF"/>
                <w:sz w:val="20"/>
                <w:szCs w:val="20"/>
              </w:rPr>
              <w:t xml:space="preserve">What ships and why</w:t>
            </w:r>
          </w:p>
        </w:tc>
      </w:tr>
      <w:tr>
        <w:tc>
          <w:tcPr>
            <w:tcW w:type="dxa" w:w="2800"/>
            <w:shd w:fill="F4F6F9" w:val="clear"/>
            <w:tcMar>
              <w:top w:type="dxa" w:w="120"/>
              <w:left w:type="dxa" w:w="150"/>
              <w:bottom w:type="dxa" w:w="120"/>
              <w:right w:type="dxa" w:w="150"/>
            </w:tcMar>
          </w:tcPr>
          <w:p>
            <w:r>
              <w:rPr>
                <w:b/>
                <w:bCs/>
                <w:color w:val="1A2B4C"/>
                <w:sz w:val="20"/>
                <w:szCs w:val="20"/>
              </w:rPr>
              <w:t xml:space="preserve">Stage 0 — Flagship proof (Months 1-4)</w:t>
            </w:r>
          </w:p>
        </w:tc>
        <w:tc>
          <w:tcPr>
            <w:tcW w:type="dxa" w:w="6600"/>
            <w:shd w:fill="F4F6F9" w:val="clear"/>
            <w:tcMar>
              <w:top w:type="dxa" w:w="120"/>
              <w:left w:type="dxa" w:w="150"/>
              <w:bottom w:type="dxa" w:w="120"/>
              <w:right w:type="dxa" w:w="150"/>
            </w:tcMar>
          </w:tcPr>
          <w:p>
            <w:r>
              <w:rPr>
                <w:sz w:val="20"/>
                <w:szCs w:val="20"/>
              </w:rPr>
              <w:t xml:space="preserve">SDK-embeddable continuous liveness + deepfake detection for live video calls, integrated with 1-2 design-partner calling/dating/streaming platforms. Prove the continuous (not point-in-time) inference pipeline works within a live call's latency and bandwidth constraints.</w:t>
            </w:r>
          </w:p>
        </w:tc>
      </w:tr>
      <w:tr>
        <w:tc>
          <w:tcPr>
            <w:tcW w:type="dxa" w:w="2800"/>
            <w:shd w:fill="FFFFFF" w:val="clear"/>
            <w:tcMar>
              <w:top w:type="dxa" w:w="120"/>
              <w:left w:type="dxa" w:w="150"/>
              <w:bottom w:type="dxa" w:w="120"/>
              <w:right w:type="dxa" w:w="150"/>
            </w:tcMar>
          </w:tcPr>
          <w:p>
            <w:r>
              <w:rPr>
                <w:b/>
                <w:bCs/>
                <w:color w:val="1A2B4C"/>
                <w:sz w:val="20"/>
                <w:szCs w:val="20"/>
              </w:rPr>
              <w:t xml:space="preserve">Stage 1 — Trusted Device Layer (Months 4-8)</w:t>
            </w:r>
          </w:p>
        </w:tc>
        <w:tc>
          <w:tcPr>
            <w:tcW w:type="dxa" w:w="6600"/>
            <w:shd w:fill="FFFFFF" w:val="clear"/>
            <w:tcMar>
              <w:top w:type="dxa" w:w="120"/>
              <w:left w:type="dxa" w:w="150"/>
              <w:bottom w:type="dxa" w:w="120"/>
              <w:right w:type="dxa" w:w="150"/>
            </w:tcMar>
          </w:tcPr>
          <w:p>
            <w:r>
              <w:rPr>
                <w:sz w:val="20"/>
                <w:szCs w:val="20"/>
              </w:rPr>
              <w:t xml:space="preserve">Persistent, scoped, revocable device trust token layered on top of the continuous verification signal, with the cross-platform tracking safeguard (Section 6) built in from the start, not retrofitted.</w:t>
            </w:r>
          </w:p>
        </w:tc>
      </w:tr>
      <w:tr>
        <w:tc>
          <w:tcPr>
            <w:tcW w:type="dxa" w:w="2800"/>
            <w:shd w:fill="F4F6F9" w:val="clear"/>
            <w:tcMar>
              <w:top w:type="dxa" w:w="120"/>
              <w:left w:type="dxa" w:w="150"/>
              <w:bottom w:type="dxa" w:w="120"/>
              <w:right w:type="dxa" w:w="150"/>
            </w:tcMar>
          </w:tcPr>
          <w:p>
            <w:r>
              <w:rPr>
                <w:b/>
                <w:bCs/>
                <w:color w:val="1A2B4C"/>
                <w:sz w:val="20"/>
                <w:szCs w:val="20"/>
              </w:rPr>
              <w:t xml:space="preserve">Stage 2 — Partner expansion (Months 8-14)</w:t>
            </w:r>
          </w:p>
        </w:tc>
        <w:tc>
          <w:tcPr>
            <w:tcW w:type="dxa" w:w="6600"/>
            <w:shd w:fill="F4F6F9" w:val="clear"/>
            <w:tcMar>
              <w:top w:type="dxa" w:w="120"/>
              <w:left w:type="dxa" w:w="150"/>
              <w:bottom w:type="dxa" w:w="120"/>
              <w:right w:type="dxa" w:w="150"/>
            </w:tcMar>
          </w:tcPr>
          <w:p>
            <w:r>
              <w:rPr>
                <w:sz w:val="20"/>
                <w:szCs w:val="20"/>
              </w:rPr>
              <w:t xml:space="preserve">Expand to 4-6 partner platforms across calling, dating, and livestreaming; add cryptographic attestation for call sessions; begin the developer-facing SDK documentation and integration tooling a partner's engineering team needs to self-serve.</w:t>
            </w:r>
          </w:p>
        </w:tc>
      </w:tr>
      <w:tr>
        <w:tc>
          <w:tcPr>
            <w:tcW w:type="dxa" w:w="2800"/>
            <w:shd w:fill="FFFFFF" w:val="clear"/>
            <w:tcMar>
              <w:top w:type="dxa" w:w="120"/>
              <w:left w:type="dxa" w:w="150"/>
              <w:bottom w:type="dxa" w:w="120"/>
              <w:right w:type="dxa" w:w="150"/>
            </w:tcMar>
          </w:tcPr>
          <w:p>
            <w:r>
              <w:rPr>
                <w:b/>
                <w:bCs/>
                <w:color w:val="1A2B4C"/>
                <w:sz w:val="20"/>
                <w:szCs w:val="20"/>
              </w:rPr>
              <w:t xml:space="preserve">Stage 3 — Adjacent point-in-time verticals (Months 14-20)</w:t>
            </w:r>
          </w:p>
        </w:tc>
        <w:tc>
          <w:tcPr>
            <w:tcW w:type="dxa" w:w="6600"/>
            <w:shd w:fill="FFFFFF" w:val="clear"/>
            <w:tcMar>
              <w:top w:type="dxa" w:w="120"/>
              <w:left w:type="dxa" w:w="150"/>
              <w:bottom w:type="dxa" w:w="120"/>
              <w:right w:type="dxa" w:w="150"/>
            </w:tcMar>
          </w:tcPr>
          <w:p>
            <w:r>
              <w:rPr>
                <w:sz w:val="20"/>
                <w:szCs w:val="20"/>
              </w:rPr>
              <w:t xml:space="preserve">Extend the same trust infrastructure to fintech onboarding/account recovery, healthcare telehealth, and hiring-interview integrity — now as applications of a proven platform, not the original entry point.</w:t>
            </w:r>
          </w:p>
        </w:tc>
      </w:tr>
      <w:tr>
        <w:tc>
          <w:tcPr>
            <w:tcW w:type="dxa" w:w="2800"/>
            <w:shd w:fill="F4F6F9" w:val="clear"/>
            <w:tcMar>
              <w:top w:type="dxa" w:w="120"/>
              <w:left w:type="dxa" w:w="150"/>
              <w:bottom w:type="dxa" w:w="120"/>
              <w:right w:type="dxa" w:w="150"/>
            </w:tcMar>
          </w:tcPr>
          <w:p>
            <w:r>
              <w:rPr>
                <w:b/>
                <w:bCs/>
                <w:color w:val="1A2B4C"/>
                <w:sz w:val="20"/>
                <w:szCs w:val="20"/>
              </w:rPr>
              <w:t xml:space="preserve">Stage 4 — Standardization and portability (Years 2-4)</w:t>
            </w:r>
          </w:p>
        </w:tc>
        <w:tc>
          <w:tcPr>
            <w:tcW w:type="dxa" w:w="6600"/>
            <w:shd w:fill="F4F6F9" w:val="clear"/>
            <w:tcMar>
              <w:top w:type="dxa" w:w="120"/>
              <w:left w:type="dxa" w:w="150"/>
              <w:bottom w:type="dxa" w:w="120"/>
              <w:right w:type="dxa" w:w="150"/>
            </w:tcMar>
          </w:tcPr>
          <w:p>
            <w:r>
              <w:rPr>
                <w:sz w:val="20"/>
                <w:szCs w:val="20"/>
              </w:rPr>
              <w:t xml:space="preserve">Pursue the embedded-standard ambition (Section 4.2) and begin the cross-platform trust portability research (Section 4.3).</w:t>
            </w:r>
          </w:p>
        </w:tc>
      </w:tr>
      <w:tr>
        <w:tc>
          <w:tcPr>
            <w:tcW w:type="dxa" w:w="2800"/>
            <w:shd w:fill="FFFFFF" w:val="clear"/>
            <w:tcMar>
              <w:top w:type="dxa" w:w="120"/>
              <w:left w:type="dxa" w:w="150"/>
              <w:bottom w:type="dxa" w:w="120"/>
              <w:right w:type="dxa" w:w="150"/>
            </w:tcMar>
          </w:tcPr>
          <w:p>
            <w:r>
              <w:rPr>
                <w:b/>
                <w:bCs/>
                <w:color w:val="1A2B4C"/>
                <w:sz w:val="20"/>
                <w:szCs w:val="20"/>
              </w:rPr>
              <w:t xml:space="preserve">Stage 5 — Universal trust infrastructure (Years 5-10)</w:t>
            </w:r>
          </w:p>
        </w:tc>
        <w:tc>
          <w:tcPr>
            <w:tcW w:type="dxa" w:w="6600"/>
            <w:shd w:fill="FFFFFF" w:val="clear"/>
            <w:tcMar>
              <w:top w:type="dxa" w:w="120"/>
              <w:left w:type="dxa" w:w="150"/>
              <w:bottom w:type="dxa" w:w="120"/>
              <w:right w:type="dxa" w:w="150"/>
            </w:tcMar>
          </w:tcPr>
          <w:p>
            <w:r>
              <w:rPr>
                <w:sz w:val="20"/>
                <w:szCs w:val="20"/>
              </w:rPr>
              <w:t xml:space="preserve">'Certivo-verified' as a widely recognized signal across live and point-in-time digital interaction, per the ten-year vision (Section 4.4).</w:t>
            </w:r>
          </w:p>
        </w:tc>
      </w:tr>
    </w:tbl>
    <w:p>
      <w:pPr>
        <w:spacing w:after="200" w:line="300"/>
        <w:jc w:val="both"/>
      </w:pPr>
      <w:r>
        <w:rPr>
          <w:i/>
          <w:iCs/>
          <w:sz w:val="22"/>
          <w:szCs w:val="22"/>
        </w:rPr>
        <w:t xml:space="preserve">A note on business model discipline for Stage 1 specifically: because this is an SDK embedded in someone else's platform (the 'Path A' model), Certivo's early traction depends on partner adoption, not direct consumer reach. The roadmap below assumes design-partner-style relationships with a small number of calling/dating/streaming platforms before broader self-serve availability — the same land-small-then-expand discipline the original roadmap applied to fintech, now applied to this flagship instead.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Vision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2026-07-05T06:23:49.106Z</dcterms:created>
  <dcterms:modified xsi:type="dcterms:W3CDTF">2026-07-05T06:23:49.119Z</dcterms:modified>
</cp:coreProperties>
</file>

<file path=docProps/custom.xml><?xml version="1.0" encoding="utf-8"?>
<Properties xmlns="http://schemas.openxmlformats.org/officeDocument/2006/custom-properties" xmlns:vt="http://schemas.openxmlformats.org/officeDocument/2006/docPropsVTypes"/>
</file>