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ML ARCHITECTURE</w:t>
      </w:r>
    </w:p>
    <w:p>
      <w:pPr>
        <w:spacing w:before="200"/>
        <w:jc w:val="center"/>
      </w:pPr>
      <w:r>
        <w:rPr>
          <w:color w:val="6B7280"/>
          <w:sz w:val="20"/>
          <w:szCs w:val="20"/>
        </w:rPr>
        <w:t xml:space="preserve">Document 7 of 18 — Phase 3: Machine Learning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It introduces the edge model class — the on-device liveness and synthetic-media models the Technical Requirements Document (v2.0, Section 2.3) established as architecturally necessary but explicitly left unspecified in terms of accuracy goals, training approach, and evaluation methodology. This document sets that specification. It also extends Model Versioning, Bias Analysis, and Failure Modes for the edge context, and adds a new Mid-Call Injection Detection Evaluation Methodology section, since that capability (PRD FR-C.3) has no point-in-time equivalent to inherit from.</w:t>
      </w:r>
    </w:p>
    <w:p>
      <w:pPr>
        <w:spacing w:after="200" w:line="300"/>
        <w:jc w:val="both"/>
      </w:pPr>
      <w:r>
        <w:rPr>
          <w:sz w:val="21"/>
          <w:szCs w:val="21"/>
        </w:rPr>
        <w:t xml:space="preserve">Sections not revised — Datasets' general principles (2.1), Training's general pipeline stages (3.2), Inference's non-edge-specific content, Monitoring and Drift Detection's general methodology, Calibration's method (temperature scaling), and Explainability's general approach — carry forward from Version 1.0 essentially unchanged, since the underlying discipline applies to the edge model class as much as the server-side one; only the specific numbers and evaluation data differ, and those are addressed in the new/revised sections below.</w:t>
      </w:r>
    </w:p>
    <w:p>
      <w:pPr>
        <w:pStyle w:val="Heading1"/>
        <w:pageBreakBefore/>
        <w:spacing w:after="240" w:before="480"/>
      </w:pPr>
      <w:r>
        <w:rPr>
          <w:b/>
          <w:bCs/>
          <w:color w:val="1A2B4C"/>
          <w:sz w:val="32"/>
          <w:szCs w:val="32"/>
        </w:rPr>
        <w:t xml:space="preserve">1. Model Inventory (Revised)</w:t>
      </w:r>
    </w:p>
    <w:p>
      <w:pPr>
        <w:spacing w:after="200" w:line="300"/>
        <w:jc w:val="both"/>
      </w:pPr>
      <w:r>
        <w:rPr>
          <w:sz w:val="21"/>
          <w:szCs w:val="21"/>
        </w:rPr>
        <w:t xml:space="preserve">Version 1.0's model inventory (Liveness Detection, Replay Detection, Device Trust, Synthetic Media/Deepfake Detection) is retained in full for the point-in-time verticals. This revision adds the edge model class as distinct entries, since — as the Technical Requirements Document's Section 2.3 already established — an edge-deployable model is frequently a different architecture choice, not a smaller version of the same 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000"/>
      </w:tblGrid>
      <w:tr>
        <w:trPr>
          <w:tblHeader/>
        </w:trPr>
        <w:tc>
          <w:tcPr>
            <w:tcW w:type="dxa" w:w="2400"/>
            <w:shd w:fill="1A2B4C" w:val="clear"/>
            <w:tcMar>
              <w:top w:type="dxa" w:w="100"/>
              <w:left w:type="dxa" w:w="140"/>
              <w:bottom w:type="dxa" w:w="100"/>
              <w:right w:type="dxa" w:w="140"/>
            </w:tcMar>
          </w:tcPr>
          <w:p>
            <w:r>
              <w:rPr>
                <w:b/>
                <w:bCs/>
                <w:color w:val="FFFFFF"/>
                <w:sz w:val="19"/>
                <w:szCs w:val="19"/>
              </w:rPr>
              <w:t xml:space="preserve">Model</w:t>
            </w:r>
          </w:p>
        </w:tc>
        <w:tc>
          <w:tcPr>
            <w:tcW w:type="dxa" w:w="2800"/>
            <w:shd w:fill="1A2B4C" w:val="clear"/>
            <w:tcMar>
              <w:top w:type="dxa" w:w="100"/>
              <w:left w:type="dxa" w:w="140"/>
              <w:bottom w:type="dxa" w:w="100"/>
              <w:right w:type="dxa" w:w="140"/>
            </w:tcMar>
          </w:tcPr>
          <w:p>
            <w:r>
              <w:rPr>
                <w:b/>
                <w:bCs/>
                <w:color w:val="FFFFFF"/>
                <w:sz w:val="19"/>
                <w:szCs w:val="19"/>
              </w:rPr>
              <w:t xml:space="preserve">Task</w:t>
            </w:r>
          </w:p>
        </w:tc>
        <w:tc>
          <w:tcPr>
            <w:tcW w:type="dxa" w:w="2200"/>
            <w:shd w:fill="1A2B4C" w:val="clear"/>
            <w:tcMar>
              <w:top w:type="dxa" w:w="100"/>
              <w:left w:type="dxa" w:w="140"/>
              <w:bottom w:type="dxa" w:w="100"/>
              <w:right w:type="dxa" w:w="140"/>
            </w:tcMar>
          </w:tcPr>
          <w:p>
            <w:r>
              <w:rPr>
                <w:b/>
                <w:bCs/>
                <w:color w:val="FFFFFF"/>
                <w:sz w:val="19"/>
                <w:szCs w:val="19"/>
              </w:rPr>
              <w:t xml:space="preserve">Deployment target</w:t>
            </w:r>
          </w:p>
        </w:tc>
        <w:tc>
          <w:tcPr>
            <w:tcW w:type="dxa" w:w="2000"/>
            <w:shd w:fill="1A2B4C" w:val="clear"/>
            <w:tcMar>
              <w:top w:type="dxa" w:w="100"/>
              <w:left w:type="dxa" w:w="140"/>
              <w:bottom w:type="dxa" w:w="100"/>
              <w:right w:type="dxa" w:w="140"/>
            </w:tcMar>
          </w:tcPr>
          <w:p>
            <w:r>
              <w:rPr>
                <w:b/>
                <w:bCs/>
                <w:color w:val="FFFFFF"/>
                <w:sz w:val="19"/>
                <w:szCs w:val="19"/>
              </w:rPr>
              <w:t xml:space="preserve">Accuracy goal status</w:t>
            </w:r>
          </w:p>
        </w:tc>
      </w:tr>
      <w:tr>
        <w:tc>
          <w:tcPr>
            <w:tcW w:type="dxa" w:w="2400"/>
            <w:shd w:fill="F4F6F9" w:val="clear"/>
            <w:tcMar>
              <w:top w:type="dxa" w:w="100"/>
              <w:left w:type="dxa" w:w="140"/>
              <w:bottom w:type="dxa" w:w="100"/>
              <w:right w:type="dxa" w:w="140"/>
            </w:tcMar>
          </w:tcPr>
          <w:p>
            <w:r>
              <w:rPr>
                <w:sz w:val="19"/>
                <w:szCs w:val="19"/>
              </w:rPr>
              <w:t xml:space="preserve">Edge Liveness Model</w:t>
            </w:r>
          </w:p>
        </w:tc>
        <w:tc>
          <w:tcPr>
            <w:tcW w:type="dxa" w:w="2800"/>
            <w:shd w:fill="F4F6F9" w:val="clear"/>
            <w:tcMar>
              <w:top w:type="dxa" w:w="100"/>
              <w:left w:type="dxa" w:w="140"/>
              <w:bottom w:type="dxa" w:w="100"/>
              <w:right w:type="dxa" w:w="140"/>
            </w:tcMar>
          </w:tcPr>
          <w:p>
            <w:r>
              <w:rPr>
                <w:sz w:val="19"/>
                <w:szCs w:val="19"/>
              </w:rPr>
              <w:t xml:space="preserve">Continuous, on-device liveness confidence during a live call</w:t>
            </w:r>
          </w:p>
        </w:tc>
        <w:tc>
          <w:tcPr>
            <w:tcW w:type="dxa" w:w="2200"/>
            <w:shd w:fill="F4F6F9" w:val="clear"/>
            <w:tcMar>
              <w:top w:type="dxa" w:w="100"/>
              <w:left w:type="dxa" w:w="140"/>
              <w:bottom w:type="dxa" w:w="100"/>
              <w:right w:type="dxa" w:w="140"/>
            </w:tcMar>
          </w:tcPr>
          <w:p>
            <w:r>
              <w:rPr>
                <w:sz w:val="19"/>
                <w:szCs w:val="19"/>
              </w:rPr>
              <w:t xml:space="preserve">SDK (Core ML / TFLite / ONNX Runtime Mobile)</w:t>
            </w:r>
          </w:p>
        </w:tc>
        <w:tc>
          <w:tcPr>
            <w:tcW w:type="dxa" w:w="2000"/>
            <w:shd w:fill="F4F6F9" w:val="clear"/>
            <w:tcMar>
              <w:top w:type="dxa" w:w="100"/>
              <w:left w:type="dxa" w:w="140"/>
              <w:bottom w:type="dxa" w:w="100"/>
              <w:right w:type="dxa" w:w="140"/>
            </w:tcMar>
          </w:tcPr>
          <w:p>
            <w:r>
              <w:rPr>
                <w:sz w:val="19"/>
                <w:szCs w:val="19"/>
              </w:rPr>
              <w:t xml:space="preserve">Not yet set — requires Phase 0 real-call evaluation data (Section 2.3 below); the constitution's 98% point-in-time goal is not assumed to transfer to this different model/deployment context</w:t>
            </w:r>
          </w:p>
        </w:tc>
      </w:tr>
      <w:tr>
        <w:tc>
          <w:tcPr>
            <w:tcW w:type="dxa" w:w="2400"/>
            <w:shd w:fill="FFFFFF" w:val="clear"/>
            <w:tcMar>
              <w:top w:type="dxa" w:w="100"/>
              <w:left w:type="dxa" w:w="140"/>
              <w:bottom w:type="dxa" w:w="100"/>
              <w:right w:type="dxa" w:w="140"/>
            </w:tcMar>
          </w:tcPr>
          <w:p>
            <w:r>
              <w:rPr>
                <w:sz w:val="19"/>
                <w:szCs w:val="19"/>
              </w:rPr>
              <w:t xml:space="preserve">Edge Synthetic-Media Model</w:t>
            </w:r>
          </w:p>
        </w:tc>
        <w:tc>
          <w:tcPr>
            <w:tcW w:type="dxa" w:w="2800"/>
            <w:shd w:fill="FFFFFF" w:val="clear"/>
            <w:tcMar>
              <w:top w:type="dxa" w:w="100"/>
              <w:left w:type="dxa" w:w="140"/>
              <w:bottom w:type="dxa" w:w="100"/>
              <w:right w:type="dxa" w:w="140"/>
            </w:tcMar>
          </w:tcPr>
          <w:p>
            <w:r>
              <w:rPr>
                <w:sz w:val="19"/>
                <w:szCs w:val="19"/>
              </w:rPr>
              <w:t xml:space="preserve">Continuous, on-device deepfake/manipulation confidence during a live call</w:t>
            </w:r>
          </w:p>
        </w:tc>
        <w:tc>
          <w:tcPr>
            <w:tcW w:type="dxa" w:w="2200"/>
            <w:shd w:fill="FFFFFF" w:val="clear"/>
            <w:tcMar>
              <w:top w:type="dxa" w:w="100"/>
              <w:left w:type="dxa" w:w="140"/>
              <w:bottom w:type="dxa" w:w="100"/>
              <w:right w:type="dxa" w:w="140"/>
            </w:tcMar>
          </w:tcPr>
          <w:p>
            <w:r>
              <w:rPr>
                <w:sz w:val="19"/>
                <w:szCs w:val="19"/>
              </w:rPr>
              <w:t xml:space="preserve">SDK</w:t>
            </w:r>
          </w:p>
        </w:tc>
        <w:tc>
          <w:tcPr>
            <w:tcW w:type="dxa" w:w="2000"/>
            <w:shd w:fill="FFFFFF" w:val="clear"/>
            <w:tcMar>
              <w:top w:type="dxa" w:w="100"/>
              <w:left w:type="dxa" w:w="140"/>
              <w:bottom w:type="dxa" w:w="100"/>
              <w:right w:type="dxa" w:w="140"/>
            </w:tcMar>
          </w:tcPr>
          <w:p>
            <w:r>
              <w:rPr>
                <w:sz w:val="19"/>
                <w:szCs w:val="19"/>
              </w:rPr>
              <w:t xml:space="preserve">Not yet set, same reasoning; additionally must establish the mid-call injection detection window (Section 4)</w:t>
            </w:r>
          </w:p>
        </w:tc>
      </w:tr>
      <w:tr>
        <w:tc>
          <w:tcPr>
            <w:tcW w:type="dxa" w:w="2400"/>
            <w:shd w:fill="F4F6F9" w:val="clear"/>
            <w:tcMar>
              <w:top w:type="dxa" w:w="100"/>
              <w:left w:type="dxa" w:w="140"/>
              <w:bottom w:type="dxa" w:w="100"/>
              <w:right w:type="dxa" w:w="140"/>
            </w:tcMar>
          </w:tcPr>
          <w:p>
            <w:r>
              <w:rPr>
                <w:sz w:val="19"/>
                <w:szCs w:val="19"/>
              </w:rPr>
              <w:t xml:space="preserve">Server-side Liveness / Replay / Synthetic-Media models (Version 1.0)</w:t>
            </w:r>
          </w:p>
        </w:tc>
        <w:tc>
          <w:tcPr>
            <w:tcW w:type="dxa" w:w="2800"/>
            <w:shd w:fill="F4F6F9" w:val="clear"/>
            <w:tcMar>
              <w:top w:type="dxa" w:w="100"/>
              <w:left w:type="dxa" w:w="140"/>
              <w:bottom w:type="dxa" w:w="100"/>
              <w:right w:type="dxa" w:w="140"/>
            </w:tcMar>
          </w:tcPr>
          <w:p>
            <w:r>
              <w:rPr>
                <w:sz w:val="19"/>
                <w:szCs w:val="19"/>
              </w:rPr>
              <w:t xml:space="preserve">Point-in-time verification for the retained verticals</w:t>
            </w:r>
          </w:p>
        </w:tc>
        <w:tc>
          <w:tcPr>
            <w:tcW w:type="dxa" w:w="2200"/>
            <w:shd w:fill="F4F6F9" w:val="clear"/>
            <w:tcMar>
              <w:top w:type="dxa" w:w="100"/>
              <w:left w:type="dxa" w:w="140"/>
              <w:bottom w:type="dxa" w:w="100"/>
              <w:right w:type="dxa" w:w="140"/>
            </w:tcMar>
          </w:tcPr>
          <w:p>
            <w:r>
              <w:rPr>
                <w:sz w:val="19"/>
                <w:szCs w:val="19"/>
              </w:rPr>
              <w:t xml:space="preserve">Backend ML Inference Service</w:t>
            </w:r>
          </w:p>
        </w:tc>
        <w:tc>
          <w:tcPr>
            <w:tcW w:type="dxa" w:w="2000"/>
            <w:shd w:fill="F4F6F9" w:val="clear"/>
            <w:tcMar>
              <w:top w:type="dxa" w:w="100"/>
              <w:left w:type="dxa" w:w="140"/>
              <w:bottom w:type="dxa" w:w="100"/>
              <w:right w:type="dxa" w:w="140"/>
            </w:tcMar>
          </w:tcPr>
          <w:p>
            <w:r>
              <w:rPr>
                <w:sz w:val="19"/>
                <w:szCs w:val="19"/>
              </w:rPr>
              <w:t xml:space="preserve">Unchanged — 98% / 95% / precision-maximizing goals from the constitution still apply here, since these models retain their original deployment context</w:t>
            </w:r>
          </w:p>
        </w:tc>
      </w:tr>
      <w:tr>
        <w:tc>
          <w:tcPr>
            <w:tcW w:type="dxa" w:w="2400"/>
            <w:shd w:fill="FFFFFF" w:val="clear"/>
            <w:tcMar>
              <w:top w:type="dxa" w:w="100"/>
              <w:left w:type="dxa" w:w="140"/>
              <w:bottom w:type="dxa" w:w="100"/>
              <w:right w:type="dxa" w:w="140"/>
            </w:tcMar>
          </w:tcPr>
          <w:p>
            <w:r>
              <w:rPr>
                <w:sz w:val="19"/>
                <w:szCs w:val="19"/>
              </w:rPr>
              <w:t xml:space="preserve">Device Trust Model (Version 1.0)</w:t>
            </w:r>
          </w:p>
        </w:tc>
        <w:tc>
          <w:tcPr>
            <w:tcW w:type="dxa" w:w="2800"/>
            <w:shd w:fill="FFFFFF" w:val="clear"/>
            <w:tcMar>
              <w:top w:type="dxa" w:w="100"/>
              <w:left w:type="dxa" w:w="140"/>
              <w:bottom w:type="dxa" w:w="100"/>
              <w:right w:type="dxa" w:w="140"/>
            </w:tcMar>
          </w:tcPr>
          <w:p>
            <w:r>
              <w:rPr>
                <w:sz w:val="19"/>
                <w:szCs w:val="19"/>
              </w:rPr>
              <w:t xml:space="preserve">Per-session device trust scoring</w:t>
            </w:r>
          </w:p>
        </w:tc>
        <w:tc>
          <w:tcPr>
            <w:tcW w:type="dxa" w:w="2200"/>
            <w:shd w:fill="FFFFFF" w:val="clear"/>
            <w:tcMar>
              <w:top w:type="dxa" w:w="100"/>
              <w:left w:type="dxa" w:w="140"/>
              <w:bottom w:type="dxa" w:w="100"/>
              <w:right w:type="dxa" w:w="140"/>
            </w:tcMar>
          </w:tcPr>
          <w:p>
            <w:r>
              <w:rPr>
                <w:sz w:val="19"/>
                <w:szCs w:val="19"/>
              </w:rPr>
              <w:t xml:space="preserve">Backend Device Trust Service</w:t>
            </w:r>
          </w:p>
        </w:tc>
        <w:tc>
          <w:tcPr>
            <w:tcW w:type="dxa" w:w="2000"/>
            <w:shd w:fill="FFFFFF" w:val="clear"/>
            <w:tcMar>
              <w:top w:type="dxa" w:w="100"/>
              <w:left w:type="dxa" w:w="140"/>
              <w:bottom w:type="dxa" w:w="100"/>
              <w:right w:type="dxa" w:w="140"/>
            </w:tcMar>
          </w:tcPr>
          <w:p>
            <w:r>
              <w:rPr>
                <w:sz w:val="19"/>
                <w:szCs w:val="19"/>
              </w:rPr>
              <w:t xml:space="preserve">Unchanged — 97% precision goal still applies</w:t>
            </w:r>
          </w:p>
        </w:tc>
      </w:tr>
    </w:tbl>
    <w:p>
      <w:pPr>
        <w:spacing w:after="260" w:before="80"/>
      </w:pPr>
      <w:r>
        <w:rPr>
          <w:i/>
          <w:iCs/>
          <w:color w:val="6B7280"/>
          <w:sz w:val="18"/>
          <w:szCs w:val="18"/>
        </w:rPr>
        <w:t xml:space="preserve">Table 1.1 — Revised model inventory. The edge models are genuinely new entries, not renamed versions of the server-side models.</w:t>
      </w:r>
    </w:p>
    <w:p>
      <w:pPr>
        <w:pStyle w:val="Heading1"/>
        <w:pageBreakBefore/>
        <w:spacing w:after="240" w:before="480"/>
      </w:pPr>
      <w:r>
        <w:rPr>
          <w:b/>
          <w:bCs/>
          <w:color w:val="1A2B4C"/>
          <w:sz w:val="32"/>
          <w:szCs w:val="32"/>
        </w:rPr>
        <w:t xml:space="preserve">2. Edge Model Lifecycle (New)</w:t>
      </w:r>
    </w:p>
    <w:p>
      <w:pPr>
        <w:spacing w:after="200" w:line="300"/>
        <w:jc w:val="both"/>
      </w:pPr>
      <w:r>
        <w:rPr>
          <w:sz w:val="21"/>
          <w:szCs w:val="21"/>
        </w:rPr>
        <w:t xml:space="preserve">This section defines what Version 1.0's shared ML pipeline architecture (dataset versioning, experiment tracking, evaluation, deployment, monitoring — Technical Requirements Document v1, Section 5) means specifically for a model that must run inside a partner's app on a device Certivo doesn't control, rather than in Certivo's own inference service.</w:t>
      </w:r>
    </w:p>
    <w:p>
      <w:pPr>
        <w:pStyle w:val="Heading2"/>
        <w:spacing w:after="180" w:before="360"/>
      </w:pPr>
      <w:r>
        <w:rPr>
          <w:b/>
          <w:bCs/>
          <w:color w:val="2E5EAA"/>
          <w:sz w:val="26"/>
          <w:szCs w:val="26"/>
        </w:rPr>
        <w:t xml:space="preserve">2.1 Training objective</w:t>
      </w:r>
    </w:p>
    <w:p>
      <w:pPr>
        <w:spacing w:after="200" w:line="300"/>
        <w:jc w:val="both"/>
      </w:pPr>
      <w:r>
        <w:rPr>
          <w:sz w:val="21"/>
          <w:szCs w:val="21"/>
        </w:rPr>
        <w:t xml:space="preserve">The edge models are trained via knowledge distillation from the corresponding server-side model (Version 1.0's Liveness and Synthetic-Media models) rather than trained independently from scratch — the server-side model acts as a teacher, and the edge model (a smaller, mobile-appropriate architecture, per the Technical Requirements Document's Section 2.3 requirements) is trained to approximate the teacher's decision boundary and, critically, its calibration behavior, not only its raw accuracy. This is a deliberate choice: distillation lets the edge model inherit the server-side model's evaluation and adversarial-training investment (ML Architecture v1, Section 3.4) rather than restarting that investment from zero for a differently-shaped model.</w:t>
      </w:r>
    </w:p>
    <w:p>
      <w:pPr>
        <w:pStyle w:val="Heading2"/>
        <w:spacing w:after="180" w:before="360"/>
      </w:pPr>
      <w:r>
        <w:rPr>
          <w:b/>
          <w:bCs/>
          <w:color w:val="2E5EAA"/>
          <w:sz w:val="26"/>
          <w:szCs w:val="26"/>
        </w:rPr>
        <w:t xml:space="preserve">2.2 Dataset requirements specific to the edge/call context</w:t>
      </w:r>
    </w:p>
    <w:p>
      <w:pPr>
        <w:spacing w:after="200" w:line="300"/>
        <w:jc w:val="both"/>
      </w:pPr>
      <w:r>
        <w:rPr>
          <w:sz w:val="21"/>
          <w:szCs w:val="21"/>
        </w:rPr>
        <w:t xml:space="preserve">The edge model's training and evaluation data must reflect conditions the original point-in-time dataset (Version 1.0, Section 2.2) was never built to cover, since a live call's video is meaningfully different from a dedicated verification capture:</w:t>
      </w:r>
    </w:p>
    <w:p>
      <w:pPr>
        <w:pStyle w:val="ListParagraph"/>
        <w:numPr>
          <w:ilvl w:val="0"/>
          <w:numId w:val="2"/>
        </w:numPr>
        <w:spacing w:after="100" w:line="280"/>
      </w:pPr>
      <w:r>
        <w:rPr>
          <w:sz w:val="21"/>
          <w:szCs w:val="21"/>
        </w:rPr>
        <w:t xml:space="preserve">Real-time video compression artifacts from the codecs actual calling platforms use (e.g. VP8/VP9/H.264-family codecs), since compression can itself introduce artifacts that resemble or mask manipulation signatures — a distinction the point-in-time model, evaluated on higher-quality captures, was never required to make.</w:t>
      </w:r>
    </w:p>
    <w:p>
      <w:pPr>
        <w:pStyle w:val="ListParagraph"/>
        <w:numPr>
          <w:ilvl w:val="0"/>
          <w:numId w:val="2"/>
        </w:numPr>
        <w:spacing w:after="100" w:line="280"/>
      </w:pPr>
      <w:r>
        <w:rPr>
          <w:sz w:val="21"/>
          <w:szCs w:val="21"/>
        </w:rPr>
        <w:t xml:space="preserve">Variable network conditions (packet loss, adaptive bitrate changes mid-call) and their effect on both legitimate video and the model's ability to detect manipulation under degraded conditions.</w:t>
      </w:r>
    </w:p>
    <w:p>
      <w:pPr>
        <w:pStyle w:val="ListParagraph"/>
        <w:numPr>
          <w:ilvl w:val="0"/>
          <w:numId w:val="2"/>
        </w:numPr>
        <w:spacing w:after="100" w:line="280"/>
      </w:pPr>
      <w:r>
        <w:rPr>
          <w:sz w:val="21"/>
          <w:szCs w:val="21"/>
        </w:rPr>
        <w:t xml:space="preserve">The genuine diversity of consumer camera hardware and lighting conditions across the dating/social/livestreaming verticals specifically (Product Strategy, Document 3, Section 3.4's device-diversity point), which is a broader and less controlled distribution than the original enterprise-onboarding-oriented capture conditions.</w:t>
      </w:r>
    </w:p>
    <w:p>
      <w:pPr>
        <w:pStyle w:val="Heading2"/>
        <w:spacing w:after="180" w:before="360"/>
      </w:pPr>
      <w:r>
        <w:rPr>
          <w:b/>
          <w:bCs/>
          <w:color w:val="2E5EAA"/>
          <w:sz w:val="26"/>
          <w:szCs w:val="26"/>
        </w:rPr>
        <w:t xml:space="preserve">2.3 Evaluation methodology for the edge model class</w:t>
      </w:r>
    </w:p>
    <w:p>
      <w:pPr>
        <w:spacing w:after="200" w:line="300"/>
        <w:jc w:val="both"/>
      </w:pPr>
      <w:r>
        <w:rPr>
          <w:sz w:val="21"/>
          <w:szCs w:val="21"/>
        </w:rPr>
        <w:t xml:space="preserve">Edge models are evaluated against the same core metrics as Version 1.0's models (accuracy, FAR, FRR, AUC, Expected Calibration Error — Version 1.0, Table 4.1) but on a dedicated edge evaluation benchmark reflecting Section 2.2's conditions, kept separate from the server-side benchmark. No accuracy goal is asserted for the edge models in this document, consistent with the Technical Requirements Document's refusal to assert one (Table 14.1) — the goal-setting exercise happens once Phase 0's real design-partner call data exists, and is added to this document as an update at that point, not fabricated here in its absence.</w:t>
      </w:r>
    </w:p>
    <w:p>
      <w:pPr>
        <w:pStyle w:val="Heading2"/>
        <w:spacing w:after="180" w:before="360"/>
      </w:pPr>
      <w:r>
        <w:rPr>
          <w:b/>
          <w:bCs/>
          <w:color w:val="2E5EAA"/>
          <w:sz w:val="26"/>
          <w:szCs w:val="26"/>
        </w:rPr>
        <w:t xml:space="preserve">2.4 Model versioning and rollout, adapted for app-store-gated distribution</w:t>
      </w:r>
    </w:p>
    <w:p>
      <w:pPr>
        <w:spacing w:after="200" w:line="300"/>
        <w:jc w:val="both"/>
      </w:pPr>
      <w:r>
        <w:rPr>
          <w:sz w:val="21"/>
          <w:szCs w:val="21"/>
        </w:rPr>
        <w:t xml:space="preserve">Version 1.0's model registry and canary deployment process (Section 6) assumed a new model version could reach production traffic within minutes of promotion. The System Design Document's Section 6.2-6.3 (v2.0) already established that this assumption fails for the edge model: a new edge model version reaches real devices only as fast as each partner's own app release cycle allows, meaning multiple edge model versions are in production simultaneously, for extended periods, as the normal state rather than a brief transition.</w:t>
      </w:r>
    </w:p>
    <w:p>
      <w:pPr>
        <w:spacing w:after="200" w:line="300"/>
        <w:jc w:val="both"/>
      </w:pPr>
      <w:r>
        <w:rPr>
          <w:sz w:val="21"/>
          <w:szCs w:val="21"/>
        </w:rPr>
        <w:t xml:space="preserve">The model registry (Version 1.0, Section 6.1) is extended with an edge_model_versions view that tracks, per registered edge model version, which SDK build(s) it shipped in and the approximate live-traffic distribution across versions — since 'what fraction of current traffic runs the latest model' is a meaningfully different and more important question for the edge class than it was for server-side models, where the answer was always simply '100%, shortly after promotion.'</w:t>
      </w:r>
    </w:p>
    <w:p>
      <w:pPr>
        <w:pStyle w:val="Heading2"/>
        <w:spacing w:after="180" w:before="360"/>
      </w:pPr>
      <w:r>
        <w:rPr>
          <w:b/>
          <w:bCs/>
          <w:color w:val="2E5EAA"/>
          <w:sz w:val="26"/>
          <w:szCs w:val="26"/>
        </w:rPr>
        <w:t xml:space="preserve">2.5 Rollback, adapted for the same constraint</w:t>
      </w:r>
    </w:p>
    <w:p>
      <w:pPr>
        <w:spacing w:after="200" w:line="300"/>
        <w:jc w:val="both"/>
      </w:pPr>
      <w:r>
        <w:rPr>
          <w:sz w:val="21"/>
          <w:szCs w:val="21"/>
        </w:rPr>
        <w:t xml:space="preserve">A server-side model rollback (Version 1.0, Section 6.4) takes effect immediately via configuration change. An edge model cannot be rolled back the same way — a defective edge model already shipped inside a released app version remains on affected devices until those devices receive an updated app build. The mitigating control is therefore server-side: the Backend API Service's Policy Evaluation Engine can be configured to discount or reject scores tagged with a known-defective edge model version (via the model version identifier included in every score-event packet, Technical Requirements Document Table 16.3) as an immediate mitigation, while the actual defective model is fixed in the next SDK release — a materially slower, two-stage rollback process than Version 1.0's models required, and disclosed here explicitly rather than implied to work the same way.</w:t>
      </w:r>
    </w:p>
    <w:p>
      <w:pPr>
        <w:pStyle w:val="Heading1"/>
        <w:pageBreakBefore/>
        <w:spacing w:after="240" w:before="480"/>
      </w:pPr>
      <w:r>
        <w:rPr>
          <w:b/>
          <w:bCs/>
          <w:color w:val="1A2B4C"/>
          <w:sz w:val="32"/>
          <w:szCs w:val="32"/>
        </w:rPr>
        <w:t xml:space="preserve">4. Mid-Call Injection Detection: Evaluation Methodology (New)</w:t>
      </w:r>
    </w:p>
    <w:p>
      <w:pPr>
        <w:spacing w:after="200" w:line="300"/>
        <w:jc w:val="both"/>
      </w:pPr>
      <w:r>
        <w:rPr>
          <w:sz w:val="21"/>
          <w:szCs w:val="21"/>
        </w:rPr>
        <w:t xml:space="preserve">PRD FR-C.3 requires detecting a synthetic swap introduced partway through an otherwise-genuine call — a capability with no point-in-time equivalent, since a point-in-time check only ever evaluates a single moment. This section defines how that capability is evaluated, filling the gap the Technical Requirements Document (Table 14.1) deliberately left open pending this methodology.</w:t>
      </w:r>
    </w:p>
    <w:p>
      <w:pPr>
        <w:pStyle w:val="Heading2"/>
        <w:spacing w:after="180" w:before="360"/>
      </w:pPr>
      <w:r>
        <w:rPr>
          <w:b/>
          <w:bCs/>
          <w:color w:val="2E5EAA"/>
          <w:sz w:val="26"/>
          <w:szCs w:val="26"/>
        </w:rPr>
        <w:t xml:space="preserve">4.1 Benchmark construction</w:t>
      </w:r>
    </w:p>
    <w:p>
      <w:pPr>
        <w:spacing w:after="200" w:line="300"/>
        <w:jc w:val="both"/>
      </w:pPr>
      <w:r>
        <w:rPr>
          <w:sz w:val="21"/>
          <w:szCs w:val="21"/>
        </w:rPr>
        <w:t xml:space="preserve">The mid-call injection benchmark consists of synthetic call recordings constructed specifically for this purpose: each recording begins with a genuine participant for a randomized initial duration, then transitions to a synthetic replacement (face-swap or fully synthetic video) at a labeled timestamp, continuing for a further randomized duration. This differs structurally from the existing synthetic-media benchmark (Version 1.0, Section 2.3), which labels whole clips as genuine or manipulated rather than labeling a specific transition point within an otherwise-genuine sequence.</w:t>
      </w:r>
    </w:p>
    <w:p>
      <w:pPr>
        <w:pStyle w:val="Heading2"/>
        <w:spacing w:after="180" w:before="360"/>
      </w:pPr>
      <w:r>
        <w:rPr>
          <w:b/>
          <w:bCs/>
          <w:color w:val="2E5EAA"/>
          <w:sz w:val="26"/>
          <w:szCs w:val="26"/>
        </w:rPr>
        <w:t xml:space="preserve">4.2 The core metric: detection latency</w:t>
      </w:r>
    </w:p>
    <w:p>
      <w:pPr>
        <w:spacing w:after="200" w:line="300"/>
        <w:jc w:val="both"/>
      </w:pPr>
      <w:r>
        <w:rPr>
          <w:sz w:val="21"/>
          <w:szCs w:val="21"/>
        </w:rPr>
        <w:t xml:space="preserve">The primary metric for this capability is detection latency — the elapsed time between the labeled injection timestamp and the model's confidence score crossing below the configured policy threshold — rather than a simple accuracy figure, since the practical question a partner platform cares about is how quickly a mid-call swap gets flagged, not merely whether it eventually would be. Detection latency is reported as a distribution (e.g. median and 95th percentile), not a single number, since latency will vary with injection technique and call conditions (Section 2.2 above).</w:t>
      </w:r>
    </w:p>
    <w:p>
      <w:pPr>
        <w:pStyle w:val="Heading2"/>
        <w:spacing w:after="180" w:before="360"/>
      </w:pPr>
      <w:r>
        <w:rPr>
          <w:b/>
          <w:bCs/>
          <w:color w:val="2E5EAA"/>
          <w:sz w:val="26"/>
          <w:szCs w:val="26"/>
        </w:rPr>
        <w:t xml:space="preserve">4.3 False-trigger rate under normal call variation</w:t>
      </w:r>
    </w:p>
    <w:p>
      <w:pPr>
        <w:spacing w:after="200" w:line="300"/>
        <w:jc w:val="both"/>
      </w:pPr>
      <w:r>
        <w:rPr>
          <w:sz w:val="21"/>
          <w:szCs w:val="21"/>
        </w:rPr>
        <w:t xml:space="preserve">A companion metric is required alongside detection latency: the rate at which normal, non-malicious call variation (a participant moving out of frame briefly, a lighting change, a brief network-induced video glitch) is incorrectly flagged as an injection event. A model tuned purely to minimize detection latency without this companion metric could trivially achieve near-zero latency by triggering on any change at all — this metric exists specifically to prevent that failure mode from looking like success.</w:t>
      </w:r>
    </w:p>
    <w:p>
      <w:pPr>
        <w:pStyle w:val="Heading2"/>
        <w:spacing w:after="180" w:before="360"/>
      </w:pPr>
      <w:r>
        <w:rPr>
          <w:b/>
          <w:bCs/>
          <w:color w:val="2E5EAA"/>
          <w:sz w:val="26"/>
          <w:szCs w:val="26"/>
        </w:rPr>
        <w:t xml:space="preserve">4.4 Promotion gate for this capability specifically</w:t>
      </w:r>
    </w:p>
    <w:p>
      <w:pPr>
        <w:spacing w:after="200" w:line="300"/>
        <w:jc w:val="both"/>
      </w:pPr>
      <w:r>
        <w:rPr>
          <w:sz w:val="21"/>
          <w:szCs w:val="21"/>
        </w:rPr>
        <w:t xml:space="preserve">An edge synthetic-media model is not considered to have FR-C.3 capability until both metrics (Sections 4.2-4.3) are measured and published internally, following the same promotion-gate discipline as Version 1.0's models (Section 4.3) — a model that detects injections quickly but false-triggers unacceptably often on normal call variation is not promoted, regardless of its detection-latency number alone.</w:t>
      </w:r>
    </w:p>
    <w:p>
      <w:pPr>
        <w:pStyle w:val="Heading1"/>
        <w:pageBreakBefore/>
        <w:spacing w:after="240" w:before="480"/>
      </w:pPr>
      <w:r>
        <w:rPr>
          <w:b/>
          <w:bCs/>
          <w:color w:val="1A2B4C"/>
          <w:sz w:val="32"/>
          <w:szCs w:val="32"/>
        </w:rPr>
        <w:t xml:space="preserve">10. Bias Analysis (Extended for Edge Models)</w:t>
      </w:r>
    </w:p>
    <w:p>
      <w:pPr>
        <w:spacing w:after="200" w:line="300"/>
        <w:jc w:val="both"/>
      </w:pPr>
      <w:r>
        <w:rPr>
          <w:sz w:val="21"/>
          <w:szCs w:val="21"/>
        </w:rPr>
        <w:t xml:space="preserve">Version 1.0's subgroup fairness methodology (demographic and capture-condition subgroups, promotion-gate discipline, ongoing production monitoring — Version 1.0, Section 10) applies to the edge models without modification in its core discipline. This section adds one dimension Version 1.0's point-in-time context did not need to consider as heavily: device and platform diversity as a fairness-relevant subgroup axis in its own right.</w:t>
      </w:r>
    </w:p>
    <w:p>
      <w:pPr>
        <w:pStyle w:val="Heading2"/>
        <w:spacing w:after="180" w:before="360"/>
      </w:pPr>
      <w:r>
        <w:rPr>
          <w:b/>
          <w:bCs/>
          <w:color w:val="2E5EAA"/>
          <w:sz w:val="26"/>
          <w:szCs w:val="26"/>
        </w:rPr>
        <w:t xml:space="preserve">10.1 Device/platform as a fairness dimension</w:t>
      </w:r>
    </w:p>
    <w:p>
      <w:pPr>
        <w:spacing w:after="200" w:line="300"/>
        <w:jc w:val="both"/>
      </w:pPr>
      <w:r>
        <w:rPr>
          <w:sz w:val="21"/>
          <w:szCs w:val="21"/>
        </w:rPr>
        <w:t xml:space="preserve">Because the flagship's target verticals (dating, social, livestreaming platforms, per Product Strategy Document 3, Section 3.4) have far more device and OS diversity than an enterprise onboarding flow typically sees, and because the edge model's actual runtime differs by platform (Core ML on iOS, TFLite/NNAPI on Android, ONNX Runtime Mobile on web — Technical Requirements Document Section 3.1), a subgroup disparity could arise not from the model's training data alone but from how differently each runtime executes what is nominally 'the same' model. This is evaluated as its own subgroup breakdown — accuracy and calibration by platform/runtime, not only by demographic and lighting/camera subgroup — and a material disparity here is treated as a launch-blocking defect under the same promotion-gate discipline as any other subgroup finding (Version 1.0, Section 10.2).</w:t>
      </w:r>
    </w:p>
    <w:p>
      <w:pPr>
        <w:pStyle w:val="Heading2"/>
        <w:spacing w:after="180" w:before="360"/>
      </w:pPr>
      <w:r>
        <w:rPr>
          <w:b/>
          <w:bCs/>
          <w:color w:val="2E5EAA"/>
          <w:sz w:val="26"/>
          <w:szCs w:val="26"/>
        </w:rPr>
        <w:t xml:space="preserve">10.2 Budget-tier device representation</w:t>
      </w:r>
    </w:p>
    <w:p>
      <w:pPr>
        <w:spacing w:after="200" w:line="300"/>
        <w:jc w:val="both"/>
      </w:pPr>
      <w:r>
        <w:rPr>
          <w:sz w:val="21"/>
          <w:szCs w:val="21"/>
        </w:rPr>
        <w:t xml:space="preserve">Given the consumer-scale device diversity across the flagship verticals, the evaluation dataset's device representation is deliberately weighted to include lower-end and older device tiers, not only current flagship devices — a fairness consideration that also happens to overlap with the graceful-degradation trust-tier design (Technical Requirements Document, Section 8.1), since a device population excluded from strong evaluation coverage would also tend to be the population most often falling into the software-only trust tier, compounding rather than distributing risk.</w:t>
      </w:r>
    </w:p>
    <w:p>
      <w:pPr>
        <w:pStyle w:val="Heading1"/>
        <w:pageBreakBefore/>
        <w:spacing w:after="240" w:before="480"/>
      </w:pPr>
      <w:r>
        <w:rPr>
          <w:b/>
          <w:bCs/>
          <w:color w:val="1A2B4C"/>
          <w:sz w:val="32"/>
          <w:szCs w:val="32"/>
        </w:rPr>
        <w:t xml:space="preserve">11. Failure Modes (New Edge-Specific Entries)</w:t>
      </w:r>
    </w:p>
    <w:p>
      <w:pPr>
        <w:spacing w:after="200" w:line="300"/>
        <w:jc w:val="both"/>
      </w:pPr>
      <w:r>
        <w:rPr>
          <w:sz w:val="21"/>
          <w:szCs w:val="21"/>
        </w:rPr>
        <w:t xml:space="preserve">Extends Version 1.0's shared failure-mode categories (Table 11.1) with entries specific to the edge deployment context.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A2B4C" w:val="clear"/>
            <w:tcMar>
              <w:top w:type="dxa" w:w="100"/>
              <w:left w:type="dxa" w:w="140"/>
              <w:bottom w:type="dxa" w:w="100"/>
              <w:right w:type="dxa" w:w="140"/>
            </w:tcMar>
          </w:tcPr>
          <w:p>
            <w:r>
              <w:rPr>
                <w:b/>
                <w:bCs/>
                <w:color w:val="FFFFFF"/>
                <w:sz w:val="19"/>
                <w:szCs w:val="19"/>
              </w:rPr>
              <w:t xml:space="preserve">Failure mode category</w:t>
            </w:r>
          </w:p>
        </w:tc>
        <w:tc>
          <w:tcPr>
            <w:tcW w:type="dxa" w:w="3600"/>
            <w:shd w:fill="1A2B4C" w:val="clear"/>
            <w:tcMar>
              <w:top w:type="dxa" w:w="100"/>
              <w:left w:type="dxa" w:w="140"/>
              <w:bottom w:type="dxa" w:w="100"/>
              <w:right w:type="dxa" w:w="140"/>
            </w:tcMar>
          </w:tcPr>
          <w:p>
            <w:r>
              <w:rPr>
                <w:b/>
                <w:bCs/>
                <w:color w:val="FFFFFF"/>
                <w:sz w:val="19"/>
                <w:szCs w:val="19"/>
              </w:rPr>
              <w:t xml:space="preserve">Description</w:t>
            </w:r>
          </w:p>
        </w:tc>
        <w:tc>
          <w:tcPr>
            <w:tcW w:type="dxa" w:w="3400"/>
            <w:shd w:fill="1A2B4C" w:val="clear"/>
            <w:tcMar>
              <w:top w:type="dxa" w:w="100"/>
              <w:left w:type="dxa" w:w="140"/>
              <w:bottom w:type="dxa" w:w="100"/>
              <w:right w:type="dxa" w:w="140"/>
            </w:tcMar>
          </w:tcPr>
          <w:p>
            <w:r>
              <w:rPr>
                <w:b/>
                <w:bCs/>
                <w:color w:val="FFFFFF"/>
                <w:sz w:val="19"/>
                <w:szCs w:val="19"/>
              </w:rPr>
              <w:t xml:space="preserve">Mitigation</w:t>
            </w:r>
          </w:p>
        </w:tc>
      </w:tr>
      <w:tr>
        <w:tc>
          <w:tcPr>
            <w:tcW w:type="dxa" w:w="2400"/>
            <w:shd w:fill="F4F6F9" w:val="clear"/>
            <w:tcMar>
              <w:top w:type="dxa" w:w="100"/>
              <w:left w:type="dxa" w:w="140"/>
              <w:bottom w:type="dxa" w:w="100"/>
              <w:right w:type="dxa" w:w="140"/>
            </w:tcMar>
          </w:tcPr>
          <w:p>
            <w:r>
              <w:rPr>
                <w:sz w:val="19"/>
                <w:szCs w:val="19"/>
              </w:rPr>
              <w:t xml:space="preserve">Cross-runtime inconsistency</w:t>
            </w:r>
          </w:p>
        </w:tc>
        <w:tc>
          <w:tcPr>
            <w:tcW w:type="dxa" w:w="3600"/>
            <w:shd w:fill="F4F6F9" w:val="clear"/>
            <w:tcMar>
              <w:top w:type="dxa" w:w="100"/>
              <w:left w:type="dxa" w:w="140"/>
              <w:bottom w:type="dxa" w:w="100"/>
              <w:right w:type="dxa" w:w="140"/>
            </w:tcMar>
          </w:tcPr>
          <w:p>
            <w:r>
              <w:rPr>
                <w:sz w:val="19"/>
                <w:szCs w:val="19"/>
              </w:rPr>
              <w:t xml:space="preserve">The 'same' edge model, exported to Core ML, TFLite, and ONNX Runtime Mobile respectively, produces meaningfully different outputs for logically identical input due to differences in each runtime's numerical implementation, quantization behavior, or operator support</w:t>
            </w:r>
          </w:p>
        </w:tc>
        <w:tc>
          <w:tcPr>
            <w:tcW w:type="dxa" w:w="3400"/>
            <w:shd w:fill="F4F6F9" w:val="clear"/>
            <w:tcMar>
              <w:top w:type="dxa" w:w="100"/>
              <w:left w:type="dxa" w:w="140"/>
              <w:bottom w:type="dxa" w:w="100"/>
              <w:right w:type="dxa" w:w="140"/>
            </w:tcMar>
          </w:tcPr>
          <w:p>
            <w:r>
              <w:rPr>
                <w:sz w:val="19"/>
                <w:szCs w:val="19"/>
              </w:rPr>
              <w:t xml:space="preserve">Cross-runtime consistency testing as a dedicated evaluation step before promotion (extending Section 10.1's platform-subgroup analysis into a pre-promotion gate specifically, not only a post-hoc monitoring concern)</w:t>
            </w:r>
          </w:p>
        </w:tc>
      </w:tr>
      <w:tr>
        <w:tc>
          <w:tcPr>
            <w:tcW w:type="dxa" w:w="2400"/>
            <w:shd w:fill="FFFFFF" w:val="clear"/>
            <w:tcMar>
              <w:top w:type="dxa" w:w="100"/>
              <w:left w:type="dxa" w:w="140"/>
              <w:bottom w:type="dxa" w:w="100"/>
              <w:right w:type="dxa" w:w="140"/>
            </w:tcMar>
          </w:tcPr>
          <w:p>
            <w:r>
              <w:rPr>
                <w:sz w:val="19"/>
                <w:szCs w:val="19"/>
              </w:rPr>
              <w:t xml:space="preserve">Stale model version persistence</w:t>
            </w:r>
          </w:p>
        </w:tc>
        <w:tc>
          <w:tcPr>
            <w:tcW w:type="dxa" w:w="3600"/>
            <w:shd w:fill="FFFFFF" w:val="clear"/>
            <w:tcMar>
              <w:top w:type="dxa" w:w="100"/>
              <w:left w:type="dxa" w:w="140"/>
              <w:bottom w:type="dxa" w:w="100"/>
              <w:right w:type="dxa" w:w="140"/>
            </w:tcMar>
          </w:tcPr>
          <w:p>
            <w:r>
              <w:rPr>
                <w:sz w:val="19"/>
                <w:szCs w:val="19"/>
              </w:rPr>
              <w:t xml:space="preserve">A known-defective edge model version remains active on devices that haven't yet received an app update, for a duration outside Certivo's control (Section 2.5)</w:t>
            </w:r>
          </w:p>
        </w:tc>
        <w:tc>
          <w:tcPr>
            <w:tcW w:type="dxa" w:w="3400"/>
            <w:shd w:fill="FFFFFF" w:val="clear"/>
            <w:tcMar>
              <w:top w:type="dxa" w:w="100"/>
              <w:left w:type="dxa" w:w="140"/>
              <w:bottom w:type="dxa" w:w="100"/>
              <w:right w:type="dxa" w:w="140"/>
            </w:tcMar>
          </w:tcPr>
          <w:p>
            <w:r>
              <w:rPr>
                <w:sz w:val="19"/>
                <w:szCs w:val="19"/>
              </w:rPr>
              <w:t xml:space="preserve">Server-side score-discounting by model version (Section 2.5) as an immediate mitigation; SDK-side minimum-supported-version enforcement as a longer-term control, once available</w:t>
            </w:r>
          </w:p>
        </w:tc>
      </w:tr>
      <w:tr>
        <w:tc>
          <w:tcPr>
            <w:tcW w:type="dxa" w:w="2400"/>
            <w:shd w:fill="F4F6F9" w:val="clear"/>
            <w:tcMar>
              <w:top w:type="dxa" w:w="100"/>
              <w:left w:type="dxa" w:w="140"/>
              <w:bottom w:type="dxa" w:w="100"/>
              <w:right w:type="dxa" w:w="140"/>
            </w:tcMar>
          </w:tcPr>
          <w:p>
            <w:r>
              <w:rPr>
                <w:sz w:val="19"/>
                <w:szCs w:val="19"/>
              </w:rPr>
              <w:t xml:space="preserve">Compression-induced false positives</w:t>
            </w:r>
          </w:p>
        </w:tc>
        <w:tc>
          <w:tcPr>
            <w:tcW w:type="dxa" w:w="3600"/>
            <w:shd w:fill="F4F6F9" w:val="clear"/>
            <w:tcMar>
              <w:top w:type="dxa" w:w="100"/>
              <w:left w:type="dxa" w:w="140"/>
              <w:bottom w:type="dxa" w:w="100"/>
              <w:right w:type="dxa" w:w="140"/>
            </w:tcMar>
          </w:tcPr>
          <w:p>
            <w:r>
              <w:rPr>
                <w:sz w:val="19"/>
                <w:szCs w:val="19"/>
              </w:rPr>
              <w:t xml:space="preserve">Real-time call compression artifacts are mistaken for manipulation signatures, particularly under poor network conditions where adaptive bitrate reduces video quality significantly</w:t>
            </w:r>
          </w:p>
        </w:tc>
        <w:tc>
          <w:tcPr>
            <w:tcW w:type="dxa" w:w="3400"/>
            <w:shd w:fill="F4F6F9" w:val="clear"/>
            <w:tcMar>
              <w:top w:type="dxa" w:w="100"/>
              <w:left w:type="dxa" w:w="140"/>
              <w:bottom w:type="dxa" w:w="100"/>
              <w:right w:type="dxa" w:w="140"/>
            </w:tcMar>
          </w:tcPr>
          <w:p>
            <w:r>
              <w:rPr>
                <w:sz w:val="19"/>
                <w:szCs w:val="19"/>
              </w:rPr>
              <w:t xml:space="preserve">Dedicated evaluation against the compression/network-condition dataset (Section 2.2); false-trigger-rate monitoring in production (extending Section 4.3's methodology into an ongoing production metric, not only an offline benchmark)</w:t>
            </w:r>
          </w:p>
        </w:tc>
      </w:tr>
      <w:tr>
        <w:tc>
          <w:tcPr>
            <w:tcW w:type="dxa" w:w="2400"/>
            <w:shd w:fill="FFFFFF" w:val="clear"/>
            <w:tcMar>
              <w:top w:type="dxa" w:w="100"/>
              <w:left w:type="dxa" w:w="140"/>
              <w:bottom w:type="dxa" w:w="100"/>
              <w:right w:type="dxa" w:w="140"/>
            </w:tcMar>
          </w:tcPr>
          <w:p>
            <w:r>
              <w:rPr>
                <w:sz w:val="19"/>
                <w:szCs w:val="19"/>
              </w:rPr>
              <w:t xml:space="preserve">Distillation gap</w:t>
            </w:r>
          </w:p>
        </w:tc>
        <w:tc>
          <w:tcPr>
            <w:tcW w:type="dxa" w:w="3600"/>
            <w:shd w:fill="FFFFFF" w:val="clear"/>
            <w:tcMar>
              <w:top w:type="dxa" w:w="100"/>
              <w:left w:type="dxa" w:w="140"/>
              <w:bottom w:type="dxa" w:w="100"/>
              <w:right w:type="dxa" w:w="140"/>
            </w:tcMar>
          </w:tcPr>
          <w:p>
            <w:r>
              <w:rPr>
                <w:sz w:val="19"/>
                <w:szCs w:val="19"/>
              </w:rPr>
              <w:t xml:space="preserve">The edge model, trained to approximate the server-side teacher model (Section 2.1), fails to inherit the teacher's performance on a specific attack pattern the teacher handles well</w:t>
            </w:r>
          </w:p>
        </w:tc>
        <w:tc>
          <w:tcPr>
            <w:tcW w:type="dxa" w:w="3400"/>
            <w:shd w:fill="FFFFFF" w:val="clear"/>
            <w:tcMar>
              <w:top w:type="dxa" w:w="100"/>
              <w:left w:type="dxa" w:w="140"/>
              <w:bottom w:type="dxa" w:w="100"/>
              <w:right w:type="dxa" w:w="140"/>
            </w:tcMar>
          </w:tcPr>
          <w:p>
            <w:r>
              <w:rPr>
                <w:sz w:val="19"/>
                <w:szCs w:val="19"/>
              </w:rPr>
              <w:t xml:space="preserve">Edge model evaluation always includes a direct comparison against the teacher model's performance on the same benchmark, not evaluated in isolation — a large, undisclosed gap between student and teacher performance is itself a promotion-blocking finding</w:t>
            </w:r>
          </w:p>
        </w:tc>
      </w:tr>
    </w:tbl>
    <w:p>
      <w:pPr>
        <w:spacing w:after="260" w:before="80"/>
      </w:pPr>
      <w:r>
        <w:rPr>
          <w:i/>
          <w:iCs/>
          <w:color w:val="6B7280"/>
          <w:sz w:val="18"/>
          <w:szCs w:val="18"/>
        </w:rPr>
        <w:t xml:space="preserve">Table 11.1 (new entries) — Edge-specific failure modes, extending Version 1.0's Table 11.1.</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ML Architecture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2026-07-06T21:50:43.084Z</dcterms:created>
  <dcterms:modified xsi:type="dcterms:W3CDTF">2026-07-06T21:50:43.107Z</dcterms:modified>
</cp:coreProperties>
</file>

<file path=docProps/custom.xml><?xml version="1.0" encoding="utf-8"?>
<Properties xmlns="http://schemas.openxmlformats.org/officeDocument/2006/custom-properties" xmlns:vt="http://schemas.openxmlformats.org/officeDocument/2006/docPropsVTypes"/>
</file>