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DEVOPS MANUAL</w:t>
      </w:r>
    </w:p>
    <w:p>
      <w:pPr>
        <w:spacing w:before="200"/>
        <w:jc w:val="center"/>
      </w:pPr>
      <w:r>
        <w:rPr>
          <w:color w:val="6B7280"/>
          <w:sz w:val="20"/>
          <w:szCs w:val="20"/>
        </w:rPr>
        <w:t xml:space="preserve">Document 11 of 18 — Phase 5: Infrastructure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It adds CI/CD, release, and monitoring treatment for the Edge Inference SDK — a client-side artifact with a release process fundamentally unlike any backend service in Version 1.0's pipeline, since it ships inside partner apps subject to app store review rather than deploying directly under Certivo's control. Version 1.0's Docker, backend CI/CD, Kubernetes, and backup guidance remain the baseline for every backend service; this document adds the SDK-specific process alongside it.</w:t>
      </w:r>
    </w:p>
    <w:p>
      <w:pPr>
        <w:pStyle w:val="Heading1"/>
        <w:pageBreakBefore/>
        <w:spacing w:after="240" w:before="480"/>
      </w:pPr>
      <w:r>
        <w:rPr>
          <w:b/>
          <w:bCs/>
          <w:color w:val="1A2B4C"/>
          <w:sz w:val="32"/>
          <w:szCs w:val="32"/>
        </w:rPr>
        <w:t xml:space="preserve">2. SDK Release Process (New)</w:t>
      </w:r>
    </w:p>
    <w:p>
      <w:pPr>
        <w:spacing w:after="200" w:line="300"/>
        <w:jc w:val="both"/>
      </w:pPr>
      <w:r>
        <w:rPr>
          <w:sz w:val="21"/>
          <w:szCs w:val="21"/>
        </w:rPr>
        <w:t xml:space="preserve">Extends Version 1.0's CI/CD pipeline (Document 11, Section 2) with a distinct pipeline for the Edge Inference SDK, reflecting the constraint already established in the System Design Document (Section 6.2, Version 2.0): the SDK cannot be deployed the way a backend service can — it ships inside a partner's app, subject to that partner's own release cadence and, for mobile, app store review timelines outside Certivo's control.</w:t>
      </w:r>
    </w:p>
    <w:p>
      <w:pPr>
        <w:pStyle w:val="Heading2"/>
        <w:spacing w:after="180" w:before="360"/>
      </w:pPr>
      <w:r>
        <w:rPr>
          <w:b/>
          <w:bCs/>
          <w:color w:val="2E5EAA"/>
          <w:sz w:val="26"/>
          <w:szCs w:val="26"/>
        </w:rPr>
        <w:t xml:space="preserve">2.1 SDK build pipeline</w:t>
      </w:r>
    </w:p>
    <w:p>
      <w:pPr>
        <w:pBdr>
          <w:top w:val="single" w:color="D0D5DD" w:sz="4"/>
          <w:bottom w:val="single" w:color="D0D5DD" w:sz="4"/>
          <w:left w:val="single" w:color="D0D5DD" w:sz="4"/>
          <w:right w:val="single" w:color="D0D5DD" w:sz="4"/>
        </w:pBdr>
        <w:shd w:fill="F0F2F5" w:val="clear"/>
        <w:spacing w:after="220" w:before="120"/>
      </w:pPr>
      <w:r>
        <w:rPr>
          <w:rFonts w:ascii="Consolas" w:cs="Consolas" w:eastAsia="Consolas" w:hAnsi="Consolas"/>
          <w:color w:val="1A2B4C"/>
          <w:sz w:val="18"/>
          <w:szCs w:val="18"/>
        </w:rPr>
        <w:t xml:space="preserve"># .github/workflows/sdk-ci.yml (abbreviated, illustrating the three</w:t>
      </w:r>
      <w:r>
        <w:rPr>
          <w:rFonts w:ascii="Consolas" w:cs="Consolas" w:eastAsia="Consolas" w:hAnsi="Consolas"/>
          <w:color w:val="1A2B4C"/>
          <w:sz w:val="18"/>
          <w:szCs w:val="18"/>
        </w:rPr>
        <w:br/>
        <w:t xml:space="preserve"># platform-specific build targets a single SDK release produces)</w:t>
      </w:r>
      <w:r>
        <w:rPr>
          <w:rFonts w:ascii="Consolas" w:cs="Consolas" w:eastAsia="Consolas" w:hAnsi="Consolas"/>
          <w:color w:val="1A2B4C"/>
          <w:sz w:val="18"/>
          <w:szCs w:val="18"/>
        </w:rPr>
        <w:br/>
        <w:t xml:space="preserve">name: Edge Inference SDK CI</w:t>
      </w:r>
      <w:r>
        <w:rPr>
          <w:rFonts w:ascii="Consolas" w:cs="Consolas" w:eastAsia="Consolas" w:hAnsi="Consolas"/>
          <w:color w:val="1A2B4C"/>
          <w:sz w:val="18"/>
          <w:szCs w:val="18"/>
        </w:rPr>
        <w:br/>
        <w:t xml:space="preserve">on:</w:t>
      </w:r>
      <w:r>
        <w:rPr>
          <w:rFonts w:ascii="Consolas" w:cs="Consolas" w:eastAsia="Consolas" w:hAnsi="Consolas"/>
          <w:color w:val="1A2B4C"/>
          <w:sz w:val="18"/>
          <w:szCs w:val="18"/>
        </w:rPr>
        <w:br/>
        <w:t xml:space="preserve">  pull_request:</w:t>
      </w:r>
      <w:r>
        <w:rPr>
          <w:rFonts w:ascii="Consolas" w:cs="Consolas" w:eastAsia="Consolas" w:hAnsi="Consolas"/>
          <w:color w:val="1A2B4C"/>
          <w:sz w:val="18"/>
          <w:szCs w:val="18"/>
        </w:rPr>
        <w:br/>
        <w:t xml:space="preserve">    paths: ["sdk/**"]</w:t>
      </w:r>
      <w:r>
        <w:rPr>
          <w:rFonts w:ascii="Consolas" w:cs="Consolas" w:eastAsia="Consolas" w:hAnsi="Consolas"/>
          <w:color w:val="1A2B4C"/>
          <w:sz w:val="18"/>
          <w:szCs w:val="18"/>
        </w:rPr>
        <w:br/>
        <w:t xml:space="preserve"/>
      </w:r>
      <w:r>
        <w:rPr>
          <w:rFonts w:ascii="Consolas" w:cs="Consolas" w:eastAsia="Consolas" w:hAnsi="Consolas"/>
          <w:color w:val="1A2B4C"/>
          <w:sz w:val="18"/>
          <w:szCs w:val="18"/>
        </w:rPr>
        <w:br/>
        <w:t xml:space="preserve">jobs:</w:t>
      </w:r>
      <w:r>
        <w:rPr>
          <w:rFonts w:ascii="Consolas" w:cs="Consolas" w:eastAsia="Consolas" w:hAnsi="Consolas"/>
          <w:color w:val="1A2B4C"/>
          <w:sz w:val="18"/>
          <w:szCs w:val="18"/>
        </w:rPr>
        <w:br/>
        <w:t xml:space="preserve">  web-sdk-build:</w:t>
      </w:r>
      <w:r>
        <w:rPr>
          <w:rFonts w:ascii="Consolas" w:cs="Consolas" w:eastAsia="Consolas" w:hAnsi="Consolas"/>
          <w:color w:val="1A2B4C"/>
          <w:sz w:val="18"/>
          <w:szCs w:val="18"/>
        </w:rPr>
        <w:br/>
        <w:t xml:space="preserve">    runs-on: ubuntu-latest</w:t>
      </w:r>
      <w:r>
        <w:rPr>
          <w:rFonts w:ascii="Consolas" w:cs="Consolas" w:eastAsia="Consolas" w:hAnsi="Consolas"/>
          <w:color w:val="1A2B4C"/>
          <w:sz w:val="18"/>
          <w:szCs w:val="18"/>
        </w:rPr>
        <w:br/>
        <w:t xml:space="preserve">    steps:</w:t>
      </w:r>
      <w:r>
        <w:rPr>
          <w:rFonts w:ascii="Consolas" w:cs="Consolas" w:eastAsia="Consolas" w:hAnsi="Consolas"/>
          <w:color w:val="1A2B4C"/>
          <w:sz w:val="18"/>
          <w:szCs w:val="18"/>
        </w:rPr>
        <w:br/>
        <w:t xml:space="preserve">      - run: npm run build --workspace=sdk-web</w:t>
      </w:r>
      <w:r>
        <w:rPr>
          <w:rFonts w:ascii="Consolas" w:cs="Consolas" w:eastAsia="Consolas" w:hAnsi="Consolas"/>
          <w:color w:val="1A2B4C"/>
          <w:sz w:val="18"/>
          <w:szCs w:val="18"/>
        </w:rPr>
        <w:br/>
        <w:t xml:space="preserve">      - run: npm run test --workspace=sdk-web</w:t>
      </w:r>
      <w:r>
        <w:rPr>
          <w:rFonts w:ascii="Consolas" w:cs="Consolas" w:eastAsia="Consolas" w:hAnsi="Consolas"/>
          <w:color w:val="1A2B4C"/>
          <w:sz w:val="18"/>
          <w:szCs w:val="18"/>
        </w:rPr>
        <w:br/>
        <w:t xml:space="preserve">      - run: npm run bundle-size-check --workspace=sdk-web  # against Design System / TRD budget</w:t>
      </w:r>
      <w:r>
        <w:rPr>
          <w:rFonts w:ascii="Consolas" w:cs="Consolas" w:eastAsia="Consolas" w:hAnsi="Consolas"/>
          <w:color w:val="1A2B4C"/>
          <w:sz w:val="18"/>
          <w:szCs w:val="18"/>
        </w:rPr>
        <w:br/>
        <w:t xml:space="preserve"/>
      </w:r>
      <w:r>
        <w:rPr>
          <w:rFonts w:ascii="Consolas" w:cs="Consolas" w:eastAsia="Consolas" w:hAnsi="Consolas"/>
          <w:color w:val="1A2B4C"/>
          <w:sz w:val="18"/>
          <w:szCs w:val="18"/>
        </w:rPr>
        <w:br/>
        <w:t xml:space="preserve">  ios-sdk-build:</w:t>
      </w:r>
      <w:r>
        <w:rPr>
          <w:rFonts w:ascii="Consolas" w:cs="Consolas" w:eastAsia="Consolas" w:hAnsi="Consolas"/>
          <w:color w:val="1A2B4C"/>
          <w:sz w:val="18"/>
          <w:szCs w:val="18"/>
        </w:rPr>
        <w:br/>
        <w:t xml:space="preserve">    runs-on: macos-latest</w:t>
      </w:r>
      <w:r>
        <w:rPr>
          <w:rFonts w:ascii="Consolas" w:cs="Consolas" w:eastAsia="Consolas" w:hAnsi="Consolas"/>
          <w:color w:val="1A2B4C"/>
          <w:sz w:val="18"/>
          <w:szCs w:val="18"/>
        </w:rPr>
        <w:br/>
        <w:t xml:space="preserve">    steps:</w:t>
      </w:r>
      <w:r>
        <w:rPr>
          <w:rFonts w:ascii="Consolas" w:cs="Consolas" w:eastAsia="Consolas" w:hAnsi="Consolas"/>
          <w:color w:val="1A2B4C"/>
          <w:sz w:val="18"/>
          <w:szCs w:val="18"/>
        </w:rPr>
        <w:br/>
        <w:t xml:space="preserve">      - run: xcodebuild -scheme CertivoSDK build</w:t>
      </w:r>
      <w:r>
        <w:rPr>
          <w:rFonts w:ascii="Consolas" w:cs="Consolas" w:eastAsia="Consolas" w:hAnsi="Consolas"/>
          <w:color w:val="1A2B4C"/>
          <w:sz w:val="18"/>
          <w:szCs w:val="18"/>
        </w:rPr>
        <w:br/>
        <w:t xml:space="preserve">      - run: xcodebuild -scheme CertivoSDK test</w:t>
      </w:r>
      <w:r>
        <w:rPr>
          <w:rFonts w:ascii="Consolas" w:cs="Consolas" w:eastAsia="Consolas" w:hAnsi="Consolas"/>
          <w:color w:val="1A2B4C"/>
          <w:sz w:val="18"/>
          <w:szCs w:val="18"/>
        </w:rPr>
        <w:br/>
        <w:t xml:space="preserve">      - run: ./scripts/measure_binary_size.sh CertivoSDK.xcframework</w:t>
      </w:r>
      <w:r>
        <w:rPr>
          <w:rFonts w:ascii="Consolas" w:cs="Consolas" w:eastAsia="Consolas" w:hAnsi="Consolas"/>
          <w:color w:val="1A2B4C"/>
          <w:sz w:val="18"/>
          <w:szCs w:val="18"/>
        </w:rPr>
        <w:br/>
        <w:t xml:space="preserve"/>
      </w:r>
      <w:r>
        <w:rPr>
          <w:rFonts w:ascii="Consolas" w:cs="Consolas" w:eastAsia="Consolas" w:hAnsi="Consolas"/>
          <w:color w:val="1A2B4C"/>
          <w:sz w:val="18"/>
          <w:szCs w:val="18"/>
        </w:rPr>
        <w:br/>
        <w:t xml:space="preserve">  android-sdk-build:</w:t>
      </w:r>
      <w:r>
        <w:rPr>
          <w:rFonts w:ascii="Consolas" w:cs="Consolas" w:eastAsia="Consolas" w:hAnsi="Consolas"/>
          <w:color w:val="1A2B4C"/>
          <w:sz w:val="18"/>
          <w:szCs w:val="18"/>
        </w:rPr>
        <w:br/>
        <w:t xml:space="preserve">    runs-on: ubuntu-latest</w:t>
      </w:r>
      <w:r>
        <w:rPr>
          <w:rFonts w:ascii="Consolas" w:cs="Consolas" w:eastAsia="Consolas" w:hAnsi="Consolas"/>
          <w:color w:val="1A2B4C"/>
          <w:sz w:val="18"/>
          <w:szCs w:val="18"/>
        </w:rPr>
        <w:br/>
        <w:t xml:space="preserve">    steps:</w:t>
      </w:r>
      <w:r>
        <w:rPr>
          <w:rFonts w:ascii="Consolas" w:cs="Consolas" w:eastAsia="Consolas" w:hAnsi="Consolas"/>
          <w:color w:val="1A2B4C"/>
          <w:sz w:val="18"/>
          <w:szCs w:val="18"/>
        </w:rPr>
        <w:br/>
        <w:t xml:space="preserve">      - run: ./gradlew :sdk:assembleRelease</w:t>
      </w:r>
      <w:r>
        <w:rPr>
          <w:rFonts w:ascii="Consolas" w:cs="Consolas" w:eastAsia="Consolas" w:hAnsi="Consolas"/>
          <w:color w:val="1A2B4C"/>
          <w:sz w:val="18"/>
          <w:szCs w:val="18"/>
        </w:rPr>
        <w:br/>
        <w:t xml:space="preserve">      - run: ./gradlew :sdk:test</w:t>
      </w:r>
      <w:r>
        <w:rPr>
          <w:rFonts w:ascii="Consolas" w:cs="Consolas" w:eastAsia="Consolas" w:hAnsi="Consolas"/>
          <w:color w:val="1A2B4C"/>
          <w:sz w:val="18"/>
          <w:szCs w:val="18"/>
        </w:rPr>
        <w:br/>
        <w:t xml:space="preserve">      - run: ./gradlew :sdk:measureAarSize</w:t>
      </w:r>
      <w:r>
        <w:rPr>
          <w:rFonts w:ascii="Consolas" w:cs="Consolas" w:eastAsia="Consolas" w:hAnsi="Consolas"/>
          <w:color w:val="1A2B4C"/>
          <w:sz w:val="18"/>
          <w:szCs w:val="18"/>
        </w:rPr>
        <w:br/>
        <w:t xml:space="preserve"/>
      </w:r>
      <w:r>
        <w:rPr>
          <w:rFonts w:ascii="Consolas" w:cs="Consolas" w:eastAsia="Consolas" w:hAnsi="Consolas"/>
          <w:color w:val="1A2B4C"/>
          <w:sz w:val="18"/>
          <w:szCs w:val="18"/>
        </w:rPr>
        <w:br/>
        <w:t xml:space="preserve">  edge-model-validation:</w:t>
      </w:r>
      <w:r>
        <w:rPr>
          <w:rFonts w:ascii="Consolas" w:cs="Consolas" w:eastAsia="Consolas" w:hAnsi="Consolas"/>
          <w:color w:val="1A2B4C"/>
          <w:sz w:val="18"/>
          <w:szCs w:val="18"/>
        </w:rPr>
        <w:br/>
        <w:t xml:space="preserve">    needs: [web-sdk-build, ios-sdk-build, android-sdk-build]</w:t>
      </w:r>
      <w:r>
        <w:rPr>
          <w:rFonts w:ascii="Consolas" w:cs="Consolas" w:eastAsia="Consolas" w:hAnsi="Consolas"/>
          <w:color w:val="1A2B4C"/>
          <w:sz w:val="18"/>
          <w:szCs w:val="18"/>
        </w:rPr>
        <w:br/>
        <w:t xml:space="preserve">    runs-on: ubuntu-latest</w:t>
      </w:r>
      <w:r>
        <w:rPr>
          <w:rFonts w:ascii="Consolas" w:cs="Consolas" w:eastAsia="Consolas" w:hAnsi="Consolas"/>
          <w:color w:val="1A2B4C"/>
          <w:sz w:val="18"/>
          <w:szCs w:val="18"/>
        </w:rPr>
        <w:br/>
        <w:t xml:space="preserve">    steps:</w:t>
      </w:r>
      <w:r>
        <w:rPr>
          <w:rFonts w:ascii="Consolas" w:cs="Consolas" w:eastAsia="Consolas" w:hAnsi="Consolas"/>
          <w:color w:val="1A2B4C"/>
          <w:sz w:val="18"/>
          <w:szCs w:val="18"/>
        </w:rPr>
        <w:br/>
        <w:t xml:space="preserve">      - run: python3 scripts/cross_runtime_consistency_check.py  # ML Architecture Section 11's promotion gate</w:t>
      </w:r>
      <w:r>
        <w:rPr>
          <w:rFonts w:ascii="Consolas" w:cs="Consolas" w:eastAsia="Consolas" w:hAnsi="Consolas"/>
          <w:color w:val="1A2B4C"/>
          <w:sz w:val="18"/>
          <w:szCs w:val="18"/>
        </w:rPr>
        <w:br/>
        <w:t xml:space="preserve">      - run: python3 scripts/edge_benchmark_eval.py --model current --gate-on detection-latency,false-trigger-rate</w:t>
      </w:r>
    </w:p>
    <w:p>
      <w:pPr>
        <w:spacing w:after="260" w:before="80"/>
      </w:pPr>
      <w:r>
        <w:rPr>
          <w:i/>
          <w:iCs/>
          <w:color w:val="6B7280"/>
          <w:sz w:val="18"/>
          <w:szCs w:val="18"/>
        </w:rPr>
        <w:t xml:space="preserve">Figure 2.1 — Representative SDK CI pipeline, producing three platform-specific build artifacts from one release, each gated on its own size/performance budget in addition to the shared edge-model validation gates from ML Architecture (Document 7, Version 2.0).</w:t>
      </w:r>
    </w:p>
    <w:p>
      <w:pPr>
        <w:pStyle w:val="Heading2"/>
        <w:spacing w:after="180" w:before="360"/>
      </w:pPr>
      <w:r>
        <w:rPr>
          <w:b/>
          <w:bCs/>
          <w:color w:val="2E5EAA"/>
          <w:sz w:val="26"/>
          <w:szCs w:val="26"/>
        </w:rPr>
        <w:t xml:space="preserve">2.2 Release channels and partner rollout</w:t>
      </w:r>
    </w:p>
    <w:p>
      <w:pPr>
        <w:spacing w:after="200" w:line="300"/>
        <w:jc w:val="both"/>
      </w:pPr>
      <w:r>
        <w:rPr>
          <w:sz w:val="21"/>
          <w:szCs w:val="21"/>
        </w:rPr>
        <w:t xml:space="preserve">Because a partner platform's own app store submission timeline is outside Certivo's control, the SDK release process publishes to a set of versioned release channels rather than pushing a single 'latest' build partners must immediately adopt: a stable channel (partners integrate at their own pace), a beta channel (design partners validating a new capability or model version ahead of general availability, consistent with the Product Strategy's design-partner motion, Document 3, Section 2.2), and a security-patch channel (a minimal, fast-tracked update path for a critical fix, packaged to minimize the partner's own re-submission and review burden where the app store platform allows expedited review for security fixes).</w:t>
      </w:r>
    </w:p>
    <w:p>
      <w:pPr>
        <w:pStyle w:val="Heading2"/>
        <w:spacing w:after="180" w:before="360"/>
      </w:pPr>
      <w:r>
        <w:rPr>
          <w:b/>
          <w:bCs/>
          <w:color w:val="2E5EAA"/>
          <w:sz w:val="26"/>
          <w:szCs w:val="26"/>
        </w:rPr>
        <w:t xml:space="preserve">2.3 Coordinating a release with partners</w:t>
      </w:r>
    </w:p>
    <w:p>
      <w:pPr>
        <w:spacing w:after="200" w:line="300"/>
        <w:jc w:val="both"/>
      </w:pPr>
      <w:r>
        <w:rPr>
          <w:sz w:val="21"/>
          <w:szCs w:val="21"/>
        </w:rPr>
        <w:t xml:space="preserve">Unlike a backend deployment (Version 1.0, Section 10.4's single-approver production promotion), an SDK release requiring partner action is coordinated explicitly: partners are notified of a new release, given the relevant changelog and any migration notes, and — for a breaking change to the SDK's own integration surface — given a defined support window for the prior version, mirroring the API versioning deprecation policy already established for the backend API (Technical Requirements Document, Section 13.2) but adapted for the much longer realistic adoption timeline a mobile app release cycle requires.</w:t>
      </w:r>
    </w:p>
    <w:p>
      <w:pPr>
        <w:pStyle w:val="Heading1"/>
        <w:pageBreakBefore/>
        <w:spacing w:after="240" w:before="480"/>
      </w:pPr>
      <w:r>
        <w:rPr>
          <w:b/>
          <w:bCs/>
          <w:color w:val="1A2B4C"/>
          <w:sz w:val="32"/>
          <w:szCs w:val="32"/>
        </w:rPr>
        <w:t xml:space="preserve">3. Edge Model Rollout Pipeline (New)</w:t>
      </w:r>
    </w:p>
    <w:p>
      <w:pPr>
        <w:spacing w:after="200" w:line="300"/>
        <w:jc w:val="both"/>
      </w:pPr>
      <w:r>
        <w:rPr>
          <w:sz w:val="21"/>
          <w:szCs w:val="21"/>
        </w:rPr>
        <w:t xml:space="preserve">Distinct from the SDK code release process above: an edge model update (ML Architecture, Document 7, Section 2.4's versioning) can, depending on the update strategy chosen (System Design Document, Table 6.1), ship either bundled inside a new SDK release or via dynamic download — this section covers the operational pipeline for both.</w:t>
      </w:r>
    </w:p>
    <w:p>
      <w:pPr>
        <w:pStyle w:val="Heading2"/>
        <w:spacing w:after="180" w:before="360"/>
      </w:pPr>
      <w:r>
        <w:rPr>
          <w:b/>
          <w:bCs/>
          <w:color w:val="2E5EAA"/>
          <w:sz w:val="26"/>
          <w:szCs w:val="26"/>
        </w:rPr>
        <w:t xml:space="preserve">3.1 Bundled model updates</w:t>
      </w:r>
    </w:p>
    <w:p>
      <w:pPr>
        <w:spacing w:after="200" w:line="300"/>
        <w:jc w:val="both"/>
      </w:pPr>
      <w:r>
        <w:rPr>
          <w:sz w:val="21"/>
          <w:szCs w:val="21"/>
        </w:rPr>
        <w:t xml:space="preserve">Follow the SDK release process (Section 2) directly — a new model version is packaged into the next SDK build, gated by the same edge-model validation checks (Figure 2.1) before release, and subject to the same partner-rollout timeline constraint (Section 2.2-2.3).</w:t>
      </w:r>
    </w:p>
    <w:p>
      <w:pPr>
        <w:pStyle w:val="Heading2"/>
        <w:spacing w:after="180" w:before="360"/>
      </w:pPr>
      <w:r>
        <w:rPr>
          <w:b/>
          <w:bCs/>
          <w:color w:val="2E5EAA"/>
          <w:sz w:val="26"/>
          <w:szCs w:val="26"/>
        </w:rPr>
        <w:t xml:space="preserve">3.2 Dynamic model updates (Phase 2+, per System Design Document Table 6.1)</w:t>
      </w:r>
    </w:p>
    <w:p>
      <w:pPr>
        <w:spacing w:after="200" w:line="300"/>
        <w:jc w:val="both"/>
      </w:pPr>
      <w:r>
        <w:rPr>
          <w:sz w:val="21"/>
          <w:szCs w:val="21"/>
        </w:rPr>
        <w:t xml:space="preserve">Once the model-artifact integrity mechanism is built (System Design Document, Section 6.3), a dynamic update follows a distinct, faster pipeline: a new signed model artifact is published to a model distribution endpoint, validated by the SDK against the Cryptographic Service's published signing key before use (mirroring the same signature-validation discipline already applied to score packets, Technical Requirements Document Section 9.2), and rolled out via a percentage-based canary directly analogous to Version 1.0's server-side canary deployment (Document 11, Section 11.1) — the one part of edge model rollout that can, once built, approach backend-like deployment speed, since it doesn't require an app store review cycle.</w:t>
      </w:r>
    </w:p>
    <w:p>
      <w:pPr>
        <w:pStyle w:val="Heading1"/>
        <w:pageBreakBefore/>
        <w:spacing w:after="240" w:before="480"/>
      </w:pPr>
      <w:r>
        <w:rPr>
          <w:b/>
          <w:bCs/>
          <w:color w:val="1A2B4C"/>
          <w:sz w:val="32"/>
          <w:szCs w:val="32"/>
        </w:rPr>
        <w:t xml:space="preserve">4. Monitoring and Logging (Extended)</w:t>
      </w:r>
    </w:p>
    <w:p>
      <w:pPr>
        <w:spacing w:after="200" w:line="300"/>
        <w:jc w:val="both"/>
      </w:pPr>
      <w:r>
        <w:rPr>
          <w:sz w:val="21"/>
          <w:szCs w:val="21"/>
        </w:rPr>
        <w:t xml:space="preserve">Extends Version 1.0's monitoring stack (Document 11, Table 4.1) with SDK-specific telemetry, per the Technical Requirements Document's Section 2.6.</w:t>
      </w:r>
    </w:p>
    <w:p>
      <w:pPr>
        <w:pStyle w:val="Heading2"/>
        <w:spacing w:after="180" w:before="360"/>
      </w:pPr>
      <w:r>
        <w:rPr>
          <w:b/>
          <w:bCs/>
          <w:color w:val="2E5EAA"/>
          <w:sz w:val="26"/>
          <w:szCs w:val="26"/>
        </w:rPr>
        <w:t xml:space="preserve">4.1 New SDK telemetry dashboard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A2B4C" w:val="clear"/>
            <w:tcMar>
              <w:top w:type="dxa" w:w="100"/>
              <w:left w:type="dxa" w:w="140"/>
              <w:bottom w:type="dxa" w:w="100"/>
              <w:right w:type="dxa" w:w="140"/>
            </w:tcMar>
          </w:tcPr>
          <w:p>
            <w:r>
              <w:rPr>
                <w:b/>
                <w:bCs/>
                <w:color w:val="FFFFFF"/>
                <w:sz w:val="19"/>
                <w:szCs w:val="19"/>
              </w:rPr>
              <w:t xml:space="preserve">Metric</w:t>
            </w:r>
          </w:p>
        </w:tc>
        <w:tc>
          <w:tcPr>
            <w:tcW w:type="dxa" w:w="5800"/>
            <w:shd w:fill="1A2B4C" w:val="clear"/>
            <w:tcMar>
              <w:top w:type="dxa" w:w="100"/>
              <w:left w:type="dxa" w:w="140"/>
              <w:bottom w:type="dxa" w:w="100"/>
              <w:right w:type="dxa" w:w="140"/>
            </w:tcMar>
          </w:tcPr>
          <w:p>
            <w:r>
              <w:rPr>
                <w:b/>
                <w:bCs/>
                <w:color w:val="FFFFFF"/>
                <w:sz w:val="19"/>
                <w:szCs w:val="19"/>
              </w:rPr>
              <w:t xml:space="preserve">Purpose</w:t>
            </w:r>
          </w:p>
        </w:tc>
      </w:tr>
      <w:tr>
        <w:tc>
          <w:tcPr>
            <w:tcW w:type="dxa" w:w="3400"/>
            <w:shd w:fill="F4F6F9" w:val="clear"/>
            <w:tcMar>
              <w:top w:type="dxa" w:w="100"/>
              <w:left w:type="dxa" w:w="140"/>
              <w:bottom w:type="dxa" w:w="100"/>
              <w:right w:type="dxa" w:w="140"/>
            </w:tcMar>
          </w:tcPr>
          <w:p>
            <w:r>
              <w:rPr>
                <w:sz w:val="19"/>
                <w:szCs w:val="19"/>
              </w:rPr>
              <w:t xml:space="preserve">SDK version distribution across active sessions</w:t>
            </w:r>
          </w:p>
        </w:tc>
        <w:tc>
          <w:tcPr>
            <w:tcW w:type="dxa" w:w="5800"/>
            <w:shd w:fill="F4F6F9" w:val="clear"/>
            <w:tcMar>
              <w:top w:type="dxa" w:w="100"/>
              <w:left w:type="dxa" w:w="140"/>
              <w:bottom w:type="dxa" w:w="100"/>
              <w:right w:type="dxa" w:w="140"/>
            </w:tcMar>
          </w:tcPr>
          <w:p>
            <w:r>
              <w:rPr>
                <w:sz w:val="19"/>
                <w:szCs w:val="19"/>
              </w:rPr>
              <w:t xml:space="preserve">Directly supports the 'what fraction of traffic runs the latest model' question the ML Architecture document (Section 2.4) flags as newly important given the app-store-gated rollout constraint.</w:t>
            </w:r>
          </w:p>
        </w:tc>
      </w:tr>
      <w:tr>
        <w:tc>
          <w:tcPr>
            <w:tcW w:type="dxa" w:w="3400"/>
            <w:shd w:fill="FFFFFF" w:val="clear"/>
            <w:tcMar>
              <w:top w:type="dxa" w:w="100"/>
              <w:left w:type="dxa" w:w="140"/>
              <w:bottom w:type="dxa" w:w="100"/>
              <w:right w:type="dxa" w:w="140"/>
            </w:tcMar>
          </w:tcPr>
          <w:p>
            <w:r>
              <w:rPr>
                <w:sz w:val="19"/>
                <w:szCs w:val="19"/>
              </w:rPr>
              <w:t xml:space="preserve">Resource overhead by device/OS tier (CPU, memory, battery, bandwidth)</w:t>
            </w:r>
          </w:p>
        </w:tc>
        <w:tc>
          <w:tcPr>
            <w:tcW w:type="dxa" w:w="5800"/>
            <w:shd w:fill="FFFFFF" w:val="clear"/>
            <w:tcMar>
              <w:top w:type="dxa" w:w="100"/>
              <w:left w:type="dxa" w:w="140"/>
              <w:bottom w:type="dxa" w:w="100"/>
              <w:right w:type="dxa" w:w="140"/>
            </w:tcMar>
          </w:tcPr>
          <w:p>
            <w:r>
              <w:rPr>
                <w:sz w:val="19"/>
                <w:szCs w:val="19"/>
              </w:rPr>
              <w:t xml:space="preserve">The primary signal for the call-quality-impact validation required before any partner rollout (PRD NFR-C.2) — tracked continuously in production, not only during pre-launch validation, to catch a regression introduced by a new OS version or device model.</w:t>
            </w:r>
          </w:p>
        </w:tc>
      </w:tr>
      <w:tr>
        <w:tc>
          <w:tcPr>
            <w:tcW w:type="dxa" w:w="3400"/>
            <w:shd w:fill="F4F6F9" w:val="clear"/>
            <w:tcMar>
              <w:top w:type="dxa" w:w="100"/>
              <w:left w:type="dxa" w:w="140"/>
              <w:bottom w:type="dxa" w:w="100"/>
              <w:right w:type="dxa" w:w="140"/>
            </w:tcMar>
          </w:tcPr>
          <w:p>
            <w:r>
              <w:rPr>
                <w:sz w:val="19"/>
                <w:szCs w:val="19"/>
              </w:rPr>
              <w:t xml:space="preserve">Cross-runtime score consistency (Core ML vs. TFLite vs. ONNX Runtime Mobile)</w:t>
            </w:r>
          </w:p>
        </w:tc>
        <w:tc>
          <w:tcPr>
            <w:tcW w:type="dxa" w:w="5800"/>
            <w:shd w:fill="F4F6F9" w:val="clear"/>
            <w:tcMar>
              <w:top w:type="dxa" w:w="100"/>
              <w:left w:type="dxa" w:w="140"/>
              <w:bottom w:type="dxa" w:w="100"/>
              <w:right w:type="dxa" w:w="140"/>
            </w:tcMar>
          </w:tcPr>
          <w:p>
            <w:r>
              <w:rPr>
                <w:sz w:val="19"/>
                <w:szCs w:val="19"/>
              </w:rPr>
              <w:t xml:space="preserve">Operationalizes the cross-runtime inconsistency failure mode (ML Architecture, Document 7, Table 11.1) as an ongoing production metric, not only a pre-promotion evaluation step.</w:t>
            </w:r>
          </w:p>
        </w:tc>
      </w:tr>
      <w:tr>
        <w:tc>
          <w:tcPr>
            <w:tcW w:type="dxa" w:w="3400"/>
            <w:shd w:fill="FFFFFF" w:val="clear"/>
            <w:tcMar>
              <w:top w:type="dxa" w:w="100"/>
              <w:left w:type="dxa" w:w="140"/>
              <w:bottom w:type="dxa" w:w="100"/>
              <w:right w:type="dxa" w:w="140"/>
            </w:tcMar>
          </w:tcPr>
          <w:p>
            <w:r>
              <w:rPr>
                <w:sz w:val="19"/>
                <w:szCs w:val="19"/>
              </w:rPr>
              <w:t xml:space="preserve">Detection-latency distribution for mid-call injection events (where they occur in production, however rare)</w:t>
            </w:r>
          </w:p>
        </w:tc>
        <w:tc>
          <w:tcPr>
            <w:tcW w:type="dxa" w:w="5800"/>
            <w:shd w:fill="FFFFFF" w:val="clear"/>
            <w:tcMar>
              <w:top w:type="dxa" w:w="100"/>
              <w:left w:type="dxa" w:w="140"/>
              <w:bottom w:type="dxa" w:w="100"/>
              <w:right w:type="dxa" w:w="140"/>
            </w:tcMar>
          </w:tcPr>
          <w:p>
            <w:r>
              <w:rPr>
                <w:sz w:val="19"/>
                <w:szCs w:val="19"/>
              </w:rPr>
              <w:t xml:space="preserve">Tracks the real-world equivalent of the ML Architecture's offline detection-latency benchmark (Document 7, Section 4.2), closing the loop between offline evaluation and production reality.</w:t>
            </w:r>
          </w:p>
        </w:tc>
      </w:tr>
    </w:tbl>
    <w:p>
      <w:pPr>
        <w:spacing w:after="260" w:before="80"/>
      </w:pPr>
      <w:r>
        <w:rPr>
          <w:i/>
          <w:iCs/>
          <w:color w:val="6B7280"/>
          <w:sz w:val="18"/>
          <w:szCs w:val="18"/>
        </w:rPr>
        <w:t xml:space="preserve">Table 4.1 — New SDK-specific monitoring metrics.</w:t>
      </w:r>
    </w:p>
    <w:p>
      <w:pPr>
        <w:pStyle w:val="Heading1"/>
        <w:pageBreakBefore/>
        <w:spacing w:after="240" w:before="480"/>
      </w:pPr>
      <w:r>
        <w:rPr>
          <w:b/>
          <w:bCs/>
          <w:color w:val="1A2B4C"/>
          <w:sz w:val="32"/>
          <w:szCs w:val="32"/>
        </w:rPr>
        <w:t xml:space="preserve">5. Backups (Revised Addition)</w:t>
      </w:r>
    </w:p>
    <w:p>
      <w:pPr>
        <w:spacing w:after="200" w:line="300"/>
        <w:jc w:val="both"/>
      </w:pPr>
      <w:r>
        <w:rPr>
          <w:sz w:val="21"/>
          <w:szCs w:val="21"/>
        </w:rPr>
        <w:t xml:space="preserve">Extends Version 1.0's tiered backup configuration (Document 11, Table 7.1) with the new, high-write-volume, daily-partitioned continuous_score_events table (Database Design, Document 12, Section 4.1, Version 2.0).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600"/>
      </w:tblGrid>
      <w:tr>
        <w:trPr>
          <w:tblHeader/>
        </w:trPr>
        <w:tc>
          <w:tcPr>
            <w:tcW w:type="dxa" w:w="2800"/>
            <w:shd w:fill="1A2B4C" w:val="clear"/>
            <w:tcMar>
              <w:top w:type="dxa" w:w="100"/>
              <w:left w:type="dxa" w:w="140"/>
              <w:bottom w:type="dxa" w:w="100"/>
              <w:right w:type="dxa" w:w="140"/>
            </w:tcMar>
          </w:tcPr>
          <w:p>
            <w:r>
              <w:rPr>
                <w:b/>
                <w:bCs/>
                <w:color w:val="FFFFFF"/>
                <w:sz w:val="19"/>
                <w:szCs w:val="19"/>
              </w:rPr>
              <w:t xml:space="preserve">Table</w:t>
            </w:r>
          </w:p>
        </w:tc>
        <w:tc>
          <w:tcPr>
            <w:tcW w:type="dxa" w:w="3800"/>
            <w:shd w:fill="1A2B4C" w:val="clear"/>
            <w:tcMar>
              <w:top w:type="dxa" w:w="100"/>
              <w:left w:type="dxa" w:w="140"/>
              <w:bottom w:type="dxa" w:w="100"/>
              <w:right w:type="dxa" w:w="140"/>
            </w:tcMar>
          </w:tcPr>
          <w:p>
            <w:r>
              <w:rPr>
                <w:b/>
                <w:bCs/>
                <w:color w:val="FFFFFF"/>
                <w:sz w:val="19"/>
                <w:szCs w:val="19"/>
              </w:rPr>
              <w:t xml:space="preserve">Backup approach</w:t>
            </w:r>
          </w:p>
        </w:tc>
        <w:tc>
          <w:tcPr>
            <w:tcW w:type="dxa" w:w="2600"/>
            <w:shd w:fill="1A2B4C" w:val="clear"/>
            <w:tcMar>
              <w:top w:type="dxa" w:w="100"/>
              <w:left w:type="dxa" w:w="140"/>
              <w:bottom w:type="dxa" w:w="100"/>
              <w:right w:type="dxa" w:w="140"/>
            </w:tcMar>
          </w:tcPr>
          <w:p>
            <w:r>
              <w:rPr>
                <w:b/>
                <w:bCs/>
                <w:color w:val="FFFFFF"/>
                <w:sz w:val="19"/>
                <w:szCs w:val="19"/>
              </w:rPr>
              <w:t xml:space="preserve">Rationale</w:t>
            </w:r>
          </w:p>
        </w:tc>
      </w:tr>
      <w:tr>
        <w:tc>
          <w:tcPr>
            <w:tcW w:type="dxa" w:w="2800"/>
            <w:shd w:fill="F4F6F9" w:val="clear"/>
            <w:tcMar>
              <w:top w:type="dxa" w:w="100"/>
              <w:left w:type="dxa" w:w="140"/>
              <w:bottom w:type="dxa" w:w="100"/>
              <w:right w:type="dxa" w:w="140"/>
            </w:tcMar>
          </w:tcPr>
          <w:p>
            <w:r>
              <w:rPr>
                <w:sz w:val="19"/>
                <w:szCs w:val="19"/>
              </w:rPr>
              <w:t xml:space="preserve">continuous_score_events</w:t>
            </w:r>
          </w:p>
        </w:tc>
        <w:tc>
          <w:tcPr>
            <w:tcW w:type="dxa" w:w="3800"/>
            <w:shd w:fill="F4F6F9" w:val="clear"/>
            <w:tcMar>
              <w:top w:type="dxa" w:w="100"/>
              <w:left w:type="dxa" w:w="140"/>
              <w:bottom w:type="dxa" w:w="100"/>
              <w:right w:type="dxa" w:w="140"/>
            </w:tcMar>
          </w:tcPr>
          <w:p>
            <w:r>
              <w:rPr>
                <w:sz w:val="19"/>
                <w:szCs w:val="19"/>
              </w:rPr>
              <w:t xml:space="preserve">Daily partition-aligned backups, with a shorter retention than the point-in-time verification_sessions backups</w:t>
            </w:r>
          </w:p>
        </w:tc>
        <w:tc>
          <w:tcPr>
            <w:tcW w:type="dxa" w:w="2600"/>
            <w:shd w:fill="F4F6F9" w:val="clear"/>
            <w:tcMar>
              <w:top w:type="dxa" w:w="100"/>
              <w:left w:type="dxa" w:w="140"/>
              <w:bottom w:type="dxa" w:w="100"/>
              <w:right w:type="dxa" w:w="140"/>
            </w:tcMar>
          </w:tcPr>
          <w:p>
            <w:r>
              <w:rPr>
                <w:sz w:val="19"/>
                <w:szCs w:val="19"/>
              </w:rPr>
              <w:t xml:space="preserve">Backup granularity matches the partitioning scheme directly (Database Design, Section 4.1), and the shorter retention reflects that the session-length attestation, not the granular per-interval events, is this data's durable record (Privacy Architecture, Document 10, Section 2.2, Version 2.0)</w:t>
            </w:r>
          </w:p>
        </w:tc>
      </w:tr>
      <w:tr>
        <w:tc>
          <w:tcPr>
            <w:tcW w:type="dxa" w:w="2800"/>
            <w:shd w:fill="FFFFFF" w:val="clear"/>
            <w:tcMar>
              <w:top w:type="dxa" w:w="100"/>
              <w:left w:type="dxa" w:w="140"/>
              <w:bottom w:type="dxa" w:w="100"/>
              <w:right w:type="dxa" w:w="140"/>
            </w:tcMar>
          </w:tcPr>
          <w:p>
            <w:r>
              <w:rPr>
                <w:sz w:val="19"/>
                <w:szCs w:val="19"/>
              </w:rPr>
              <w:t xml:space="preserve">trusted_device_tokens</w:t>
            </w:r>
          </w:p>
        </w:tc>
        <w:tc>
          <w:tcPr>
            <w:tcW w:type="dxa" w:w="3800"/>
            <w:shd w:fill="FFFFFF" w:val="clear"/>
            <w:tcMar>
              <w:top w:type="dxa" w:w="100"/>
              <w:left w:type="dxa" w:w="140"/>
              <w:bottom w:type="dxa" w:w="100"/>
              <w:right w:type="dxa" w:w="140"/>
            </w:tcMar>
          </w:tcPr>
          <w:p>
            <w:r>
              <w:rPr>
                <w:sz w:val="19"/>
                <w:szCs w:val="19"/>
              </w:rPr>
              <w:t xml:space="preserve">Standard Tier 1 backup treatment (Version 1.0, Table 7.1), given its role in the security-relevant device-recognition flow</w:t>
            </w:r>
          </w:p>
        </w:tc>
        <w:tc>
          <w:tcPr>
            <w:tcW w:type="dxa" w:w="2600"/>
            <w:shd w:fill="FFFFFF" w:val="clear"/>
            <w:tcMar>
              <w:top w:type="dxa" w:w="100"/>
              <w:left w:type="dxa" w:w="140"/>
              <w:bottom w:type="dxa" w:w="100"/>
              <w:right w:type="dxa" w:w="140"/>
            </w:tcMar>
          </w:tcPr>
          <w:p>
            <w:r>
              <w:rPr>
                <w:sz w:val="19"/>
                <w:szCs w:val="19"/>
              </w:rPr>
              <w:t xml:space="preserve">Unlike continuous_score_events, this table's individual rows have ongoing operational value for as long as the token is active, warranting the same rigor as other Tier 1 tables</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DevOps Manual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2026-07-07T05:45:55.469Z</dcterms:created>
  <dcterms:modified xsi:type="dcterms:W3CDTF">2026-07-07T05:45:55.483Z</dcterms:modified>
</cp:coreProperties>
</file>

<file path=docProps/custom.xml><?xml version="1.0" encoding="utf-8"?>
<Properties xmlns="http://schemas.openxmlformats.org/officeDocument/2006/custom-properties" xmlns:vt="http://schemas.openxmlformats.org/officeDocument/2006/docPropsVTypes"/>
</file>