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Trust Infrastructure for the Age of Artificial Intelligence</w:t>
      </w:r>
    </w:p>
    <w:p>
      <w:pPr>
        <w:spacing w:before="800"/>
        <w:jc w:val="center"/>
      </w:pPr>
      <w:r>
        <w:rPr>
          <w:b/>
          <w:bCs/>
          <w:color w:val="6B7280"/>
          <w:sz w:val="32"/>
          <w:szCs w:val="32"/>
        </w:rPr>
        <w:t xml:space="preserve">ENTERPRISE SALES HANDBOOK</w:t>
      </w:r>
    </w:p>
    <w:p>
      <w:pPr>
        <w:spacing w:before="200"/>
        <w:jc w:val="center"/>
      </w:pPr>
      <w:r>
        <w:rPr>
          <w:color w:val="6B7280"/>
          <w:sz w:val="20"/>
          <w:szCs w:val="20"/>
        </w:rPr>
        <w:t xml:space="preserve">Document 16 of 18 — Phase 7: Business — Version 2.0</w:t>
      </w:r>
    </w:p>
    <w:p>
      <w:pPr>
        <w:spacing w:before="100"/>
        <w:jc w:val="center"/>
      </w:pPr>
      <w:r>
        <w:rPr>
          <w:color w:val="6B7280"/>
          <w:sz w:val="18"/>
          <w:szCs w:val="18"/>
        </w:rPr>
        <w:t xml:space="preserve">Version 1.0  |  Confidential  |  Internal Use</w:t>
      </w:r>
    </w:p>
    <w:p>
      <w:r>
        <w:br w:type="page"/>
      </w:r>
    </w:p>
    <w:p>
      <w:pPr>
        <w:pStyle w:val="Heading1"/>
        <w:spacing w:after="240" w:before="480"/>
      </w:pPr>
      <w:r>
        <w:rPr>
          <w:b/>
          <w:bCs/>
          <w:color w:val="1A2B4C"/>
          <w:sz w:val="32"/>
          <w:szCs w:val="32"/>
        </w:rPr>
        <w:t xml:space="preserve">Revision Note (Version 2.0)</w:t>
      </w:r>
    </w:p>
    <w:p>
      <w:pPr>
        <w:spacing w:after="200" w:line="300"/>
        <w:jc w:val="both"/>
      </w:pPr>
      <w:r>
        <w:rPr>
          <w:sz w:val="21"/>
          <w:szCs w:val="21"/>
        </w:rPr>
        <w:t xml:space="preserve">This document supersedes Version 1.0, rewritten for the SDK-embed partner motion (Path A) agreed across the documentation suite. The buyer is now a video-calling, dating, or livestreaming platform integrating an SDK, not an enterprise buying a direct API integration for its own onboarding flow — this changes the sales conversation's center of gravity from 'reduce your fraud losses' to 'don't let this hurt your product's core call-quality promise, while it protects your users.'</w:t>
      </w:r>
    </w:p>
    <w:p>
      <w:pPr>
        <w:pStyle w:val="Heading1"/>
        <w:pageBreakBefore/>
        <w:spacing w:after="240" w:before="480"/>
      </w:pPr>
      <w:r>
        <w:rPr>
          <w:b/>
          <w:bCs/>
          <w:color w:val="1A2B4C"/>
          <w:sz w:val="32"/>
          <w:szCs w:val="32"/>
        </w:rPr>
        <w:t xml:space="preserve">1. How to Sell</w:t>
      </w:r>
    </w:p>
    <w:p>
      <w:pPr>
        <w:pStyle w:val="Heading2"/>
        <w:spacing w:after="180" w:before="360"/>
      </w:pPr>
      <w:r>
        <w:rPr>
          <w:b/>
          <w:bCs/>
          <w:color w:val="2E5EAA"/>
          <w:sz w:val="26"/>
          <w:szCs w:val="26"/>
        </w:rPr>
        <w:t xml:space="preserve">1.1 Selling philosophy (revised)</w:t>
      </w:r>
    </w:p>
    <w:p>
      <w:pPr>
        <w:spacing w:after="200" w:line="300"/>
        <w:jc w:val="both"/>
      </w:pPr>
      <w:r>
        <w:rPr>
          <w:sz w:val="21"/>
          <w:szCs w:val="21"/>
        </w:rPr>
        <w:t xml:space="preserve">Per the Product Requirements Document's revised buying-committee analysis (Document 2, Section 4.3, Version 2.0), the technical evaluation stage carries more relative weight in this motion than it did in Version 1.0's fintech-focused sales process, because call-quality risk is immediate and directly at stake for any platform considering integration — a bad first impression on latency or battery impact is much harder to recover from than a slow initial accuracy conversation was in the original motion.</w:t>
      </w:r>
    </w:p>
    <w:p>
      <w:pPr>
        <w:pStyle w:val="Heading2"/>
        <w:spacing w:after="180" w:before="360"/>
      </w:pPr>
      <w:r>
        <w:rPr>
          <w:b/>
          <w:bCs/>
          <w:color w:val="2E5EAA"/>
          <w:sz w:val="26"/>
          <w:szCs w:val="26"/>
        </w:rPr>
        <w:t xml:space="preserve">1.2 Lead with validated numbers, not claims (revised)</w:t>
      </w:r>
    </w:p>
    <w:p>
      <w:pPr>
        <w:spacing w:after="200" w:line="300"/>
        <w:jc w:val="both"/>
      </w:pPr>
      <w:r>
        <w:rPr>
          <w:sz w:val="21"/>
          <w:szCs w:val="21"/>
        </w:rPr>
        <w:t xml:space="preserve">Consistent with Version 1.0's lead-with-proof philosophy, but now applied specifically to performance: sales conversations should lead with published, real resource-overhead benchmarks (Technical Requirements Document, NFR-C.2) from actual design-partner validation, not a generic 'lightweight SDK' claim — the Jordan Reyes and Priya Shah personas (Product Requirements Document, Document 2, Section 4.1, Version 2.0) are both explicitly skeptical of unvalidated performance claims, since call quality is their product's core promise, not a secondary concern.</w:t>
      </w:r>
    </w:p>
    <w:p>
      <w:pPr>
        <w:pStyle w:val="Heading2"/>
        <w:spacing w:after="180" w:before="360"/>
      </w:pPr>
      <w:r>
        <w:rPr>
          <w:b/>
          <w:bCs/>
          <w:color w:val="2E5EAA"/>
          <w:sz w:val="26"/>
          <w:szCs w:val="26"/>
        </w:rPr>
        <w:t xml:space="preserve">1.3 Messaging by buying committee role (revised)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Role</w:t>
            </w:r>
          </w:p>
        </w:tc>
        <w:tc>
          <w:tcPr>
            <w:tcW w:type="dxa" w:w="6800"/>
            <w:shd w:fill="1A2B4C" w:val="clear"/>
            <w:tcMar>
              <w:top w:type="dxa" w:w="100"/>
              <w:left w:type="dxa" w:w="140"/>
              <w:bottom w:type="dxa" w:w="100"/>
              <w:right w:type="dxa" w:w="140"/>
            </w:tcMar>
          </w:tcPr>
          <w:p>
            <w:r>
              <w:rPr>
                <w:b/>
                <w:bCs/>
                <w:color w:val="FFFFFF"/>
                <w:sz w:val="19"/>
                <w:szCs w:val="19"/>
              </w:rPr>
              <w:t xml:space="preserve">Core message</w:t>
            </w:r>
          </w:p>
        </w:tc>
      </w:tr>
      <w:tr>
        <w:tc>
          <w:tcPr>
            <w:tcW w:type="dxa" w:w="2600"/>
            <w:shd w:fill="F4F6F9" w:val="clear"/>
            <w:tcMar>
              <w:top w:type="dxa" w:w="100"/>
              <w:left w:type="dxa" w:w="140"/>
              <w:bottom w:type="dxa" w:w="100"/>
              <w:right w:type="dxa" w:w="140"/>
            </w:tcMar>
          </w:tcPr>
          <w:p>
            <w:r>
              <w:rPr>
                <w:sz w:val="19"/>
                <w:szCs w:val="19"/>
              </w:rPr>
              <w:t xml:space="preserve">Champion (Head of Trust &amp; Safety)</w:t>
            </w:r>
          </w:p>
        </w:tc>
        <w:tc>
          <w:tcPr>
            <w:tcW w:type="dxa" w:w="6800"/>
            <w:shd w:fill="F4F6F9" w:val="clear"/>
            <w:tcMar>
              <w:top w:type="dxa" w:w="100"/>
              <w:left w:type="dxa" w:w="140"/>
              <w:bottom w:type="dxa" w:w="100"/>
              <w:right w:type="dxa" w:w="140"/>
            </w:tcMar>
          </w:tcPr>
          <w:p>
            <w:r>
              <w:rPr>
                <w:sz w:val="19"/>
                <w:szCs w:val="19"/>
              </w:rPr>
              <w:t xml:space="preserve">This gives every call a continuously verified, real-time signal for every participant — including catching a synthetic swap injected mid-call, which no one-time check would ever see.</w:t>
            </w:r>
          </w:p>
        </w:tc>
      </w:tr>
      <w:tr>
        <w:tc>
          <w:tcPr>
            <w:tcW w:type="dxa" w:w="2600"/>
            <w:shd w:fill="FFFFFF" w:val="clear"/>
            <w:tcMar>
              <w:top w:type="dxa" w:w="100"/>
              <w:left w:type="dxa" w:w="140"/>
              <w:bottom w:type="dxa" w:w="100"/>
              <w:right w:type="dxa" w:w="140"/>
            </w:tcMar>
          </w:tcPr>
          <w:p>
            <w:r>
              <w:rPr>
                <w:sz w:val="19"/>
                <w:szCs w:val="19"/>
              </w:rPr>
              <w:t xml:space="preserve">Technical evaluator (platform engineering)</w:t>
            </w:r>
          </w:p>
        </w:tc>
        <w:tc>
          <w:tcPr>
            <w:tcW w:type="dxa" w:w="6800"/>
            <w:shd w:fill="FFFFFF" w:val="clear"/>
            <w:tcMar>
              <w:top w:type="dxa" w:w="100"/>
              <w:left w:type="dxa" w:w="140"/>
              <w:bottom w:type="dxa" w:w="100"/>
              <w:right w:type="dxa" w:w="140"/>
            </w:tcMar>
          </w:tcPr>
          <w:p>
            <w:r>
              <w:rPr>
                <w:sz w:val="19"/>
                <w:szCs w:val="19"/>
              </w:rPr>
              <w:t xml:space="preserve">Validated against real infrastructure and real device tiers before you commit to anything, never a generic benchmark — and the resource budget is agreed with you specifically, not imposed.</w:t>
            </w:r>
          </w:p>
        </w:tc>
      </w:tr>
      <w:tr>
        <w:tc>
          <w:tcPr>
            <w:tcW w:type="dxa" w:w="2600"/>
            <w:shd w:fill="F4F6F9" w:val="clear"/>
            <w:tcMar>
              <w:top w:type="dxa" w:w="100"/>
              <w:left w:type="dxa" w:w="140"/>
              <w:bottom w:type="dxa" w:w="100"/>
              <w:right w:type="dxa" w:w="140"/>
            </w:tcMar>
          </w:tcPr>
          <w:p>
            <w:r>
              <w:rPr>
                <w:sz w:val="19"/>
                <w:szCs w:val="19"/>
              </w:rPr>
              <w:t xml:space="preserve">Legal / Compliance</w:t>
            </w:r>
          </w:p>
        </w:tc>
        <w:tc>
          <w:tcPr>
            <w:tcW w:type="dxa" w:w="6800"/>
            <w:shd w:fill="F4F6F9" w:val="clear"/>
            <w:tcMar>
              <w:top w:type="dxa" w:w="100"/>
              <w:left w:type="dxa" w:w="140"/>
              <w:bottom w:type="dxa" w:w="100"/>
              <w:right w:type="dxa" w:w="140"/>
            </w:tcMar>
          </w:tcPr>
          <w:p>
            <w:r>
              <w:rPr>
                <w:sz w:val="19"/>
                <w:szCs w:val="19"/>
              </w:rPr>
              <w:t xml:space="preserve">Raw video never reaches our servers, even briefly — verification happens entirely on the participant's own device. The Trusted Device Layer is architecturally incapable of being used to track someone across two unrelated platforms.</w:t>
            </w:r>
          </w:p>
        </w:tc>
      </w:tr>
      <w:tr>
        <w:tc>
          <w:tcPr>
            <w:tcW w:type="dxa" w:w="2600"/>
            <w:shd w:fill="FFFFFF" w:val="clear"/>
            <w:tcMar>
              <w:top w:type="dxa" w:w="100"/>
              <w:left w:type="dxa" w:w="140"/>
              <w:bottom w:type="dxa" w:w="100"/>
              <w:right w:type="dxa" w:w="140"/>
            </w:tcMar>
          </w:tcPr>
          <w:p>
            <w:r>
              <w:rPr>
                <w:sz w:val="19"/>
                <w:szCs w:val="19"/>
              </w:rPr>
              <w:t xml:space="preserve">Economic buyer</w:t>
            </w:r>
          </w:p>
        </w:tc>
        <w:tc>
          <w:tcPr>
            <w:tcW w:type="dxa" w:w="6800"/>
            <w:shd w:fill="FFFFFF" w:val="clear"/>
            <w:tcMar>
              <w:top w:type="dxa" w:w="100"/>
              <w:left w:type="dxa" w:w="140"/>
              <w:bottom w:type="dxa" w:w="100"/>
              <w:right w:type="dxa" w:w="140"/>
            </w:tcMar>
          </w:tcPr>
          <w:p>
            <w:r>
              <w:rPr>
                <w:sz w:val="19"/>
                <w:szCs w:val="19"/>
              </w:rPr>
              <w:t xml:space="preserve">Usage-based pricing tied to verified call-minutes, matching how you likely already think about your own calling infrastructure costs.</w:t>
            </w:r>
          </w:p>
        </w:tc>
      </w:tr>
    </w:tbl>
    <w:p>
      <w:pPr>
        <w:spacing w:after="260" w:before="80"/>
      </w:pPr>
      <w:r>
        <w:rPr>
          <w:i/>
          <w:iCs/>
          <w:color w:val="6B7280"/>
          <w:sz w:val="18"/>
          <w:szCs w:val="18"/>
        </w:rPr>
        <w:t xml:space="preserve">Table 1.1 — Core messaging by buying committee role, revised for the flagship.</w:t>
      </w:r>
    </w:p>
    <w:p>
      <w:pPr>
        <w:pStyle w:val="Heading1"/>
        <w:pageBreakBefore/>
        <w:spacing w:after="240" w:before="480"/>
      </w:pPr>
      <w:r>
        <w:rPr>
          <w:b/>
          <w:bCs/>
          <w:color w:val="1A2B4C"/>
          <w:sz w:val="32"/>
          <w:szCs w:val="32"/>
        </w:rPr>
        <w:t xml:space="preserve">2. Customer Journey</w:t>
      </w:r>
    </w:p>
    <w:p>
      <w:pPr>
        <w:pStyle w:val="Heading2"/>
        <w:spacing w:after="180" w:before="360"/>
      </w:pPr>
      <w:r>
        <w:rPr>
          <w:b/>
          <w:bCs/>
          <w:color w:val="2E5EAA"/>
          <w:sz w:val="26"/>
          <w:szCs w:val="26"/>
        </w:rPr>
        <w:t xml:space="preserve">2.1 Journey stages (revised)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400"/>
      </w:tblGrid>
      <w:tr>
        <w:trPr>
          <w:tblHeader/>
        </w:trPr>
        <w:tc>
          <w:tcPr>
            <w:tcW w:type="dxa" w:w="2000"/>
            <w:shd w:fill="1A2B4C" w:val="clear"/>
            <w:tcMar>
              <w:top w:type="dxa" w:w="100"/>
              <w:left w:type="dxa" w:w="140"/>
              <w:bottom w:type="dxa" w:w="100"/>
              <w:right w:type="dxa" w:w="140"/>
            </w:tcMar>
          </w:tcPr>
          <w:p>
            <w:r>
              <w:rPr>
                <w:b/>
                <w:bCs/>
                <w:color w:val="FFFFFF"/>
                <w:sz w:val="19"/>
                <w:szCs w:val="19"/>
              </w:rPr>
              <w:t xml:space="preserve">Stage</w:t>
            </w:r>
          </w:p>
        </w:tc>
        <w:tc>
          <w:tcPr>
            <w:tcW w:type="dxa" w:w="5000"/>
            <w:shd w:fill="1A2B4C" w:val="clear"/>
            <w:tcMar>
              <w:top w:type="dxa" w:w="100"/>
              <w:left w:type="dxa" w:w="140"/>
              <w:bottom w:type="dxa" w:w="100"/>
              <w:right w:type="dxa" w:w="140"/>
            </w:tcMar>
          </w:tcPr>
          <w:p>
            <w:r>
              <w:rPr>
                <w:b/>
                <w:bCs/>
                <w:color w:val="FFFFFF"/>
                <w:sz w:val="19"/>
                <w:szCs w:val="19"/>
              </w:rPr>
              <w:t xml:space="preserve">Key activity</w:t>
            </w:r>
          </w:p>
        </w:tc>
        <w:tc>
          <w:tcPr>
            <w:tcW w:type="dxa" w:w="2400"/>
            <w:shd w:fill="1A2B4C" w:val="clear"/>
            <w:tcMar>
              <w:top w:type="dxa" w:w="100"/>
              <w:left w:type="dxa" w:w="140"/>
              <w:bottom w:type="dxa" w:w="100"/>
              <w:right w:type="dxa" w:w="140"/>
            </w:tcMar>
          </w:tcPr>
          <w:p>
            <w:r>
              <w:rPr>
                <w:b/>
                <w:bCs/>
                <w:color w:val="FFFFFF"/>
                <w:sz w:val="19"/>
                <w:szCs w:val="19"/>
              </w:rPr>
              <w:t xml:space="preserve">Owner</w:t>
            </w:r>
          </w:p>
        </w:tc>
      </w:tr>
      <w:tr>
        <w:tc>
          <w:tcPr>
            <w:tcW w:type="dxa" w:w="2000"/>
            <w:shd w:fill="F4F6F9" w:val="clear"/>
            <w:tcMar>
              <w:top w:type="dxa" w:w="100"/>
              <w:left w:type="dxa" w:w="140"/>
              <w:bottom w:type="dxa" w:w="100"/>
              <w:right w:type="dxa" w:w="140"/>
            </w:tcMar>
          </w:tcPr>
          <w:p>
            <w:r>
              <w:rPr>
                <w:sz w:val="19"/>
                <w:szCs w:val="19"/>
              </w:rPr>
              <w:t xml:space="preserve">1. Discovery</w:t>
            </w:r>
          </w:p>
        </w:tc>
        <w:tc>
          <w:tcPr>
            <w:tcW w:type="dxa" w:w="5000"/>
            <w:shd w:fill="F4F6F9" w:val="clear"/>
            <w:tcMar>
              <w:top w:type="dxa" w:w="100"/>
              <w:left w:type="dxa" w:w="140"/>
              <w:bottom w:type="dxa" w:w="100"/>
              <w:right w:type="dxa" w:w="140"/>
            </w:tcMar>
          </w:tcPr>
          <w:p>
            <w:r>
              <w:rPr>
                <w:sz w:val="19"/>
                <w:szCs w:val="19"/>
              </w:rPr>
              <w:t xml:space="preserve">Targeted outreach to platforms with acute, already-publicized impersonation/catfishing pain (Product Strategy, Document 3, Section 4.1, Version 2.0) — not broad outbound</w:t>
            </w:r>
          </w:p>
        </w:tc>
        <w:tc>
          <w:tcPr>
            <w:tcW w:type="dxa" w:w="2400"/>
            <w:shd w:fill="F4F6F9" w:val="clear"/>
            <w:tcMar>
              <w:top w:type="dxa" w:w="100"/>
              <w:left w:type="dxa" w:w="140"/>
              <w:bottom w:type="dxa" w:w="100"/>
              <w:right w:type="dxa" w:w="140"/>
            </w:tcMar>
          </w:tcPr>
          <w:p>
            <w:r>
              <w:rPr>
                <w:sz w:val="19"/>
                <w:szCs w:val="19"/>
              </w:rPr>
              <w:t xml:space="preserve">Founder-led (Phase 0)</w:t>
            </w:r>
          </w:p>
        </w:tc>
      </w:tr>
      <w:tr>
        <w:tc>
          <w:tcPr>
            <w:tcW w:type="dxa" w:w="2000"/>
            <w:shd w:fill="FFFFFF" w:val="clear"/>
            <w:tcMar>
              <w:top w:type="dxa" w:w="100"/>
              <w:left w:type="dxa" w:w="140"/>
              <w:bottom w:type="dxa" w:w="100"/>
              <w:right w:type="dxa" w:w="140"/>
            </w:tcMar>
          </w:tcPr>
          <w:p>
            <w:r>
              <w:rPr>
                <w:sz w:val="19"/>
                <w:szCs w:val="19"/>
              </w:rPr>
              <w:t xml:space="preserve">2. Technical evaluation</w:t>
            </w:r>
          </w:p>
        </w:tc>
        <w:tc>
          <w:tcPr>
            <w:tcW w:type="dxa" w:w="5000"/>
            <w:shd w:fill="FFFFFF" w:val="clear"/>
            <w:tcMar>
              <w:top w:type="dxa" w:w="100"/>
              <w:left w:type="dxa" w:w="140"/>
              <w:bottom w:type="dxa" w:w="100"/>
              <w:right w:type="dxa" w:w="140"/>
            </w:tcMar>
          </w:tcPr>
          <w:p>
            <w:r>
              <w:rPr>
                <w:sz w:val="19"/>
                <w:szCs w:val="19"/>
              </w:rPr>
              <w:t xml:space="preserve">Validated latency/bandwidth/battery-impact testing against the partner's own infrastructure and reference devices — a higher-stakes, more central stage than in Version 1.0's motion (Section 1.1 above)</w:t>
            </w:r>
          </w:p>
        </w:tc>
        <w:tc>
          <w:tcPr>
            <w:tcW w:type="dxa" w:w="2400"/>
            <w:shd w:fill="FFFFFF" w:val="clear"/>
            <w:tcMar>
              <w:top w:type="dxa" w:w="100"/>
              <w:left w:type="dxa" w:w="140"/>
              <w:bottom w:type="dxa" w:w="100"/>
              <w:right w:type="dxa" w:w="140"/>
            </w:tcMar>
          </w:tcPr>
          <w:p>
            <w:r>
              <w:rPr>
                <w:sz w:val="19"/>
                <w:szCs w:val="19"/>
              </w:rPr>
              <w:t xml:space="preserve">Sales engineering + partner's platform engineering team</w:t>
            </w:r>
          </w:p>
        </w:tc>
      </w:tr>
      <w:tr>
        <w:tc>
          <w:tcPr>
            <w:tcW w:type="dxa" w:w="2000"/>
            <w:shd w:fill="F4F6F9" w:val="clear"/>
            <w:tcMar>
              <w:top w:type="dxa" w:w="100"/>
              <w:left w:type="dxa" w:w="140"/>
              <w:bottom w:type="dxa" w:w="100"/>
              <w:right w:type="dxa" w:w="140"/>
            </w:tcMar>
          </w:tcPr>
          <w:p>
            <w:r>
              <w:rPr>
                <w:sz w:val="19"/>
                <w:szCs w:val="19"/>
              </w:rPr>
              <w:t xml:space="preserve">3. Security and compliance review</w:t>
            </w:r>
          </w:p>
        </w:tc>
        <w:tc>
          <w:tcPr>
            <w:tcW w:type="dxa" w:w="5000"/>
            <w:shd w:fill="F4F6F9" w:val="clear"/>
            <w:tcMar>
              <w:top w:type="dxa" w:w="100"/>
              <w:left w:type="dxa" w:w="140"/>
              <w:bottom w:type="dxa" w:w="100"/>
              <w:right w:type="dxa" w:w="140"/>
            </w:tcMar>
          </w:tcPr>
          <w:p>
            <w:r>
              <w:rPr>
                <w:sz w:val="19"/>
                <w:szCs w:val="19"/>
              </w:rPr>
              <w:t xml:space="preserve">Data-flow walkthrough emphasizing the edge-perimeter guarantee (Privacy Architecture, Document 10, Section 1, Version 2.0) — raw video never reaching Certivo's servers is a stronger, easier claim to defend than Version 1.0's already-strong biometric-perimeter story</w:t>
            </w:r>
          </w:p>
        </w:tc>
        <w:tc>
          <w:tcPr>
            <w:tcW w:type="dxa" w:w="2400"/>
            <w:shd w:fill="F4F6F9" w:val="clear"/>
            <w:tcMar>
              <w:top w:type="dxa" w:w="100"/>
              <w:left w:type="dxa" w:w="140"/>
              <w:bottom w:type="dxa" w:w="100"/>
              <w:right w:type="dxa" w:w="140"/>
            </w:tcMar>
          </w:tcPr>
          <w:p>
            <w:r>
              <w:rPr>
                <w:sz w:val="19"/>
                <w:szCs w:val="19"/>
              </w:rPr>
              <w:t xml:space="preserve">Sales + partner's legal/compliance stakeholder</w:t>
            </w:r>
          </w:p>
        </w:tc>
      </w:tr>
      <w:tr>
        <w:tc>
          <w:tcPr>
            <w:tcW w:type="dxa" w:w="2000"/>
            <w:shd w:fill="FFFFFF" w:val="clear"/>
            <w:tcMar>
              <w:top w:type="dxa" w:w="100"/>
              <w:left w:type="dxa" w:w="140"/>
              <w:bottom w:type="dxa" w:w="100"/>
              <w:right w:type="dxa" w:w="140"/>
            </w:tcMar>
          </w:tcPr>
          <w:p>
            <w:r>
              <w:rPr>
                <w:sz w:val="19"/>
                <w:szCs w:val="19"/>
              </w:rPr>
              <w:t xml:space="preserve">4. Pilot</w:t>
            </w:r>
          </w:p>
        </w:tc>
        <w:tc>
          <w:tcPr>
            <w:tcW w:type="dxa" w:w="5000"/>
            <w:shd w:fill="FFFFFF" w:val="clear"/>
            <w:tcMar>
              <w:top w:type="dxa" w:w="100"/>
              <w:left w:type="dxa" w:w="140"/>
              <w:bottom w:type="dxa" w:w="100"/>
              <w:right w:type="dxa" w:w="140"/>
            </w:tcMar>
          </w:tcPr>
          <w:p>
            <w:r>
              <w:rPr>
                <w:sz w:val="19"/>
                <w:szCs w:val="19"/>
              </w:rPr>
              <w:t xml:space="preserve">Scoped, staged rollout validating call-quality impact on real traffic before full deployment (Section 3 below)</w:t>
            </w:r>
          </w:p>
        </w:tc>
        <w:tc>
          <w:tcPr>
            <w:tcW w:type="dxa" w:w="2400"/>
            <w:shd w:fill="FFFFFF" w:val="clear"/>
            <w:tcMar>
              <w:top w:type="dxa" w:w="100"/>
              <w:left w:type="dxa" w:w="140"/>
              <w:bottom w:type="dxa" w:w="100"/>
              <w:right w:type="dxa" w:w="140"/>
            </w:tcMar>
          </w:tcPr>
          <w:p>
            <w:r>
              <w:rPr>
                <w:sz w:val="19"/>
                <w:szCs w:val="19"/>
              </w:rPr>
              <w:t xml:space="preserve">Customer success / sales engineering</w:t>
            </w:r>
          </w:p>
        </w:tc>
      </w:tr>
      <w:tr>
        <w:tc>
          <w:tcPr>
            <w:tcW w:type="dxa" w:w="2000"/>
            <w:shd w:fill="F4F6F9" w:val="clear"/>
            <w:tcMar>
              <w:top w:type="dxa" w:w="100"/>
              <w:left w:type="dxa" w:w="140"/>
              <w:bottom w:type="dxa" w:w="100"/>
              <w:right w:type="dxa" w:w="140"/>
            </w:tcMar>
          </w:tcPr>
          <w:p>
            <w:r>
              <w:rPr>
                <w:sz w:val="19"/>
                <w:szCs w:val="19"/>
              </w:rPr>
              <w:t xml:space="preserve">5. Commercial negotiation</w:t>
            </w:r>
          </w:p>
        </w:tc>
        <w:tc>
          <w:tcPr>
            <w:tcW w:type="dxa" w:w="5000"/>
            <w:shd w:fill="F4F6F9" w:val="clear"/>
            <w:tcMar>
              <w:top w:type="dxa" w:w="100"/>
              <w:left w:type="dxa" w:w="140"/>
              <w:bottom w:type="dxa" w:w="100"/>
              <w:right w:type="dxa" w:w="140"/>
            </w:tcMar>
          </w:tcPr>
          <w:p>
            <w:r>
              <w:rPr>
                <w:sz w:val="19"/>
                <w:szCs w:val="19"/>
              </w:rPr>
              <w:t xml:space="preserve">Per-call-minute pricing and contract terms (Sections 4-5)</w:t>
            </w:r>
          </w:p>
        </w:tc>
        <w:tc>
          <w:tcPr>
            <w:tcW w:type="dxa" w:w="2400"/>
            <w:shd w:fill="F4F6F9" w:val="clear"/>
            <w:tcMar>
              <w:top w:type="dxa" w:w="100"/>
              <w:left w:type="dxa" w:w="140"/>
              <w:bottom w:type="dxa" w:w="100"/>
              <w:right w:type="dxa" w:w="140"/>
            </w:tcMar>
          </w:tcPr>
          <w:p>
            <w:r>
              <w:rPr>
                <w:sz w:val="19"/>
                <w:szCs w:val="19"/>
              </w:rPr>
              <w:t xml:space="preserve">Sales + partner's economic buyer</w:t>
            </w:r>
          </w:p>
        </w:tc>
      </w:tr>
      <w:tr>
        <w:tc>
          <w:tcPr>
            <w:tcW w:type="dxa" w:w="2000"/>
            <w:shd w:fill="FFFFFF" w:val="clear"/>
            <w:tcMar>
              <w:top w:type="dxa" w:w="100"/>
              <w:left w:type="dxa" w:w="140"/>
              <w:bottom w:type="dxa" w:w="100"/>
              <w:right w:type="dxa" w:w="140"/>
            </w:tcMar>
          </w:tcPr>
          <w:p>
            <w:r>
              <w:rPr>
                <w:sz w:val="19"/>
                <w:szCs w:val="19"/>
              </w:rPr>
              <w:t xml:space="preserve">6. Onboarding and expansion</w:t>
            </w:r>
          </w:p>
        </w:tc>
        <w:tc>
          <w:tcPr>
            <w:tcW w:type="dxa" w:w="5000"/>
            <w:shd w:fill="FFFFFF" w:val="clear"/>
            <w:tcMar>
              <w:top w:type="dxa" w:w="100"/>
              <w:left w:type="dxa" w:w="140"/>
              <w:bottom w:type="dxa" w:w="100"/>
              <w:right w:type="dxa" w:w="140"/>
            </w:tcMar>
          </w:tcPr>
          <w:p>
            <w:r>
              <w:rPr>
                <w:sz w:val="19"/>
                <w:szCs w:val="19"/>
              </w:rPr>
              <w:t xml:space="preserve">Full rollout, then Trusted Device Layer as a second capability, then multi-participant support if relevant (Product Strategy, Document 3, Section 5.1, Version 2.0)</w:t>
            </w:r>
          </w:p>
        </w:tc>
        <w:tc>
          <w:tcPr>
            <w:tcW w:type="dxa" w:w="2400"/>
            <w:shd w:fill="FFFFFF" w:val="clear"/>
            <w:tcMar>
              <w:top w:type="dxa" w:w="100"/>
              <w:left w:type="dxa" w:w="140"/>
              <w:bottom w:type="dxa" w:w="100"/>
              <w:right w:type="dxa" w:w="140"/>
            </w:tcMar>
          </w:tcPr>
          <w:p>
            <w:r>
              <w:rPr>
                <w:sz w:val="19"/>
                <w:szCs w:val="19"/>
              </w:rPr>
              <w:t xml:space="preserve">Customer success</w:t>
            </w:r>
          </w:p>
        </w:tc>
      </w:tr>
    </w:tbl>
    <w:p>
      <w:pPr>
        <w:spacing w:after="260" w:before="80"/>
      </w:pPr>
      <w:r>
        <w:rPr>
          <w:i/>
          <w:iCs/>
          <w:color w:val="6B7280"/>
          <w:sz w:val="18"/>
          <w:szCs w:val="18"/>
        </w:rPr>
        <w:t xml:space="preserve">Table 2.1 — Customer journey stages, revised for the flagship.</w:t>
      </w:r>
    </w:p>
    <w:p>
      <w:pPr>
        <w:pStyle w:val="Heading2"/>
        <w:spacing w:after="180" w:before="360"/>
      </w:pPr>
      <w:r>
        <w:rPr>
          <w:b/>
          <w:bCs/>
          <w:color w:val="2E5EAA"/>
          <w:sz w:val="26"/>
          <w:szCs w:val="26"/>
        </w:rPr>
        <w:t xml:space="preserve">2.2 New stall point specific to this motion</w:t>
      </w:r>
    </w:p>
    <w:p>
      <w:pPr>
        <w:spacing w:after="200" w:line="300"/>
        <w:jc w:val="both"/>
      </w:pPr>
      <w:r>
        <w:rPr>
          <w:sz w:val="21"/>
          <w:szCs w:val="21"/>
        </w:rPr>
        <w:t xml:space="preserve">Stall at call-quality risk aversion: a platform's engineering team may be reluctant to integrate anything into their call pipeline given how directly call quality affects their own product's reputation. Addressed by offering the smallest possible initial validation scope (a limited percentage rollout or a single call type, per the pilot structure in Section 3) rather than asking for a broad commitment upfront — the ask at Phase 0 is explicitly a validation partnership, not a production commitment (Product Strategy, Document 3, Section 4.1, Version 2.0).</w:t>
      </w:r>
    </w:p>
    <w:p>
      <w:pPr>
        <w:pStyle w:val="Heading1"/>
        <w:pageBreakBefore/>
        <w:spacing w:after="240" w:before="480"/>
      </w:pPr>
      <w:r>
        <w:rPr>
          <w:b/>
          <w:bCs/>
          <w:color w:val="1A2B4C"/>
          <w:sz w:val="32"/>
          <w:szCs w:val="32"/>
        </w:rPr>
        <w:t xml:space="preserve">3. Pilot Program</w:t>
      </w:r>
    </w:p>
    <w:p>
      <w:pPr>
        <w:pStyle w:val="Heading2"/>
        <w:spacing w:after="180" w:before="360"/>
      </w:pPr>
      <w:r>
        <w:rPr>
          <w:b/>
          <w:bCs/>
          <w:color w:val="2E5EAA"/>
          <w:sz w:val="26"/>
          <w:szCs w:val="26"/>
        </w:rPr>
        <w:t xml:space="preserve">3.1 Pilot program structure (revised)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Pilot parameter</w:t>
            </w:r>
          </w:p>
        </w:tc>
        <w:tc>
          <w:tcPr>
            <w:tcW w:type="dxa" w:w="6800"/>
            <w:shd w:fill="1A2B4C" w:val="clear"/>
            <w:tcMar>
              <w:top w:type="dxa" w:w="100"/>
              <w:left w:type="dxa" w:w="140"/>
              <w:bottom w:type="dxa" w:w="100"/>
              <w:right w:type="dxa" w:w="140"/>
            </w:tcMar>
          </w:tcPr>
          <w:p>
            <w:r>
              <w:rPr>
                <w:b/>
                <w:bCs/>
                <w:color w:val="FFFFFF"/>
                <w:sz w:val="19"/>
                <w:szCs w:val="19"/>
              </w:rPr>
              <w:t xml:space="preserve">Revised structure</w:t>
            </w:r>
          </w:p>
        </w:tc>
      </w:tr>
      <w:tr>
        <w:tc>
          <w:tcPr>
            <w:tcW w:type="dxa" w:w="2600"/>
            <w:shd w:fill="F4F6F9" w:val="clear"/>
            <w:tcMar>
              <w:top w:type="dxa" w:w="100"/>
              <w:left w:type="dxa" w:w="140"/>
              <w:bottom w:type="dxa" w:w="100"/>
              <w:right w:type="dxa" w:w="140"/>
            </w:tcMar>
          </w:tcPr>
          <w:p>
            <w:r>
              <w:rPr>
                <w:sz w:val="19"/>
                <w:szCs w:val="19"/>
              </w:rPr>
              <w:t xml:space="preserve">Scope</w:t>
            </w:r>
          </w:p>
        </w:tc>
        <w:tc>
          <w:tcPr>
            <w:tcW w:type="dxa" w:w="6800"/>
            <w:shd w:fill="F4F6F9" w:val="clear"/>
            <w:tcMar>
              <w:top w:type="dxa" w:w="100"/>
              <w:left w:type="dxa" w:w="140"/>
              <w:bottom w:type="dxa" w:w="100"/>
              <w:right w:type="dxa" w:w="140"/>
            </w:tcMar>
          </w:tcPr>
          <w:p>
            <w:r>
              <w:rPr>
                <w:sz w:val="19"/>
                <w:szCs w:val="19"/>
              </w:rPr>
              <w:t xml:space="preserve">A percentage-based or call-type-based rollout on real production traffic, validating resource overhead against the partner's own actual device/network distribution — not a sandbox-only evaluation, since call-quality impact can only be genuinely validated against real conditions.</w:t>
            </w:r>
          </w:p>
        </w:tc>
      </w:tr>
      <w:tr>
        <w:tc>
          <w:tcPr>
            <w:tcW w:type="dxa" w:w="2600"/>
            <w:shd w:fill="FFFFFF" w:val="clear"/>
            <w:tcMar>
              <w:top w:type="dxa" w:w="100"/>
              <w:left w:type="dxa" w:w="140"/>
              <w:bottom w:type="dxa" w:w="100"/>
              <w:right w:type="dxa" w:w="140"/>
            </w:tcMar>
          </w:tcPr>
          <w:p>
            <w:r>
              <w:rPr>
                <w:sz w:val="19"/>
                <w:szCs w:val="19"/>
              </w:rPr>
              <w:t xml:space="preserve">Success criteria</w:t>
            </w:r>
          </w:p>
        </w:tc>
        <w:tc>
          <w:tcPr>
            <w:tcW w:type="dxa" w:w="6800"/>
            <w:shd w:fill="FFFFFF" w:val="clear"/>
            <w:tcMar>
              <w:top w:type="dxa" w:w="100"/>
              <w:left w:type="dxa" w:w="140"/>
              <w:bottom w:type="dxa" w:w="100"/>
              <w:right w:type="dxa" w:w="140"/>
            </w:tcMar>
          </w:tcPr>
          <w:p>
            <w:r>
              <w:rPr>
                <w:sz w:val="19"/>
                <w:szCs w:val="19"/>
              </w:rPr>
              <w:t xml:space="preserve">Defined jointly before the pilot begins, explicitly including a resource-overhead budget (CPU/battery/bandwidth, Technical Requirements Document NFR-C.2) alongside detection-quality criteria — a pilot that meets detection goals but exceeds the agreed performance budget is not a pass.</w:t>
            </w:r>
          </w:p>
        </w:tc>
      </w:tr>
      <w:tr>
        <w:tc>
          <w:tcPr>
            <w:tcW w:type="dxa" w:w="2600"/>
            <w:shd w:fill="F4F6F9" w:val="clear"/>
            <w:tcMar>
              <w:top w:type="dxa" w:w="100"/>
              <w:left w:type="dxa" w:w="140"/>
              <w:bottom w:type="dxa" w:w="100"/>
              <w:right w:type="dxa" w:w="140"/>
            </w:tcMar>
          </w:tcPr>
          <w:p>
            <w:r>
              <w:rPr>
                <w:sz w:val="19"/>
                <w:szCs w:val="19"/>
              </w:rPr>
              <w:t xml:space="preserve">Commercial terms</w:t>
            </w:r>
          </w:p>
        </w:tc>
        <w:tc>
          <w:tcPr>
            <w:tcW w:type="dxa" w:w="6800"/>
            <w:shd w:fill="F4F6F9" w:val="clear"/>
            <w:tcMar>
              <w:top w:type="dxa" w:w="100"/>
              <w:left w:type="dxa" w:w="140"/>
              <w:bottom w:type="dxa" w:w="100"/>
              <w:right w:type="dxa" w:w="140"/>
            </w:tcMar>
          </w:tcPr>
          <w:p>
            <w:r>
              <w:rPr>
                <w:sz w:val="19"/>
                <w:szCs w:val="19"/>
              </w:rPr>
              <w:t xml:space="preserve">Per Section 2.2 of the Product Strategy (Version 2.0), pilots run under Design-Partner-tier pricing given the real risk the partner takes on integrating first.</w:t>
            </w:r>
          </w:p>
        </w:tc>
      </w:tr>
    </w:tbl>
    <w:p>
      <w:pPr>
        <w:spacing w:after="260" w:before="80"/>
      </w:pPr>
      <w:r>
        <w:rPr>
          <w:i/>
          <w:iCs/>
          <w:color w:val="6B7280"/>
          <w:sz w:val="18"/>
          <w:szCs w:val="18"/>
        </w:rPr>
        <w:t xml:space="preserve">Table 3.1 — Pilot program structure, revised for the flagship's call-quality validation needs.</w:t>
      </w:r>
    </w:p>
    <w:p>
      <w:pPr>
        <w:pStyle w:val="Heading1"/>
        <w:pageBreakBefore/>
        <w:spacing w:after="240" w:before="480"/>
      </w:pPr>
      <w:r>
        <w:rPr>
          <w:b/>
          <w:bCs/>
          <w:color w:val="1A2B4C"/>
          <w:sz w:val="32"/>
          <w:szCs w:val="32"/>
        </w:rPr>
        <w:t xml:space="preserve">4. Pricing</w:t>
      </w:r>
    </w:p>
    <w:p>
      <w:pPr>
        <w:spacing w:after="200" w:line="300"/>
        <w:jc w:val="both"/>
      </w:pPr>
      <w:r>
        <w:rPr>
          <w:sz w:val="21"/>
          <w:szCs w:val="21"/>
        </w:rPr>
        <w:t xml:space="preserve">Recaps the Product Strategy's revised pricing (Document 3, Section 2, Version 2.0): usage-based, priced per verified call-minute rather than per verification event, with a Design Partner tier preceding Growth/Scale/Enterprise. Sales should frame this against the partner's own existing calling-infrastructure cost model, which is very often already minute-based, making Certivo's pricing intuitive rather than a new billing concept to explain from scratch.</w:t>
      </w:r>
    </w:p>
    <w:p>
      <w:pPr>
        <w:pStyle w:val="Heading1"/>
        <w:pageBreakBefore/>
        <w:spacing w:after="240" w:before="480"/>
      </w:pPr>
      <w:r>
        <w:rPr>
          <w:b/>
          <w:bCs/>
          <w:color w:val="1A2B4C"/>
          <w:sz w:val="32"/>
          <w:szCs w:val="32"/>
        </w:rPr>
        <w:t xml:space="preserve">5. Contracts</w:t>
      </w:r>
    </w:p>
    <w:p>
      <w:pPr>
        <w:pStyle w:val="Heading2"/>
        <w:spacing w:after="180" w:before="360"/>
      </w:pPr>
      <w:r>
        <w:rPr>
          <w:b/>
          <w:bCs/>
          <w:color w:val="2E5EAA"/>
          <w:sz w:val="26"/>
          <w:szCs w:val="26"/>
        </w:rPr>
        <w:t xml:space="preserve">5.1 Revised contract components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A2B4C" w:val="clear"/>
            <w:tcMar>
              <w:top w:type="dxa" w:w="100"/>
              <w:left w:type="dxa" w:w="140"/>
              <w:bottom w:type="dxa" w:w="100"/>
              <w:right w:type="dxa" w:w="140"/>
            </w:tcMar>
          </w:tcPr>
          <w:p>
            <w:r>
              <w:rPr>
                <w:b/>
                <w:bCs/>
                <w:color w:val="FFFFFF"/>
                <w:sz w:val="19"/>
                <w:szCs w:val="19"/>
              </w:rPr>
              <w:t xml:space="preserve">Component</w:t>
            </w:r>
          </w:p>
        </w:tc>
        <w:tc>
          <w:tcPr>
            <w:tcW w:type="dxa" w:w="6400"/>
            <w:shd w:fill="1A2B4C" w:val="clear"/>
            <w:tcMar>
              <w:top w:type="dxa" w:w="100"/>
              <w:left w:type="dxa" w:w="140"/>
              <w:bottom w:type="dxa" w:w="100"/>
              <w:right w:type="dxa" w:w="140"/>
            </w:tcMar>
          </w:tcPr>
          <w:p>
            <w:r>
              <w:rPr>
                <w:b/>
                <w:bCs/>
                <w:color w:val="FFFFFF"/>
                <w:sz w:val="19"/>
                <w:szCs w:val="19"/>
              </w:rPr>
              <w:t xml:space="preserve">What's new for the flagship</w:t>
            </w:r>
          </w:p>
        </w:tc>
      </w:tr>
      <w:tr>
        <w:tc>
          <w:tcPr>
            <w:tcW w:type="dxa" w:w="2800"/>
            <w:shd w:fill="F4F6F9" w:val="clear"/>
            <w:tcMar>
              <w:top w:type="dxa" w:w="100"/>
              <w:left w:type="dxa" w:w="140"/>
              <w:bottom w:type="dxa" w:w="100"/>
              <w:right w:type="dxa" w:w="140"/>
            </w:tcMar>
          </w:tcPr>
          <w:p>
            <w:r>
              <w:rPr>
                <w:sz w:val="19"/>
                <w:szCs w:val="19"/>
              </w:rPr>
              <w:t xml:space="preserve">Data Processing Agreement (DPA)</w:t>
            </w:r>
          </w:p>
        </w:tc>
        <w:tc>
          <w:tcPr>
            <w:tcW w:type="dxa" w:w="6400"/>
            <w:shd w:fill="F4F6F9" w:val="clear"/>
            <w:tcMar>
              <w:top w:type="dxa" w:w="100"/>
              <w:left w:type="dxa" w:w="140"/>
              <w:bottom w:type="dxa" w:w="100"/>
              <w:right w:type="dxa" w:w="140"/>
            </w:tcMar>
          </w:tcPr>
          <w:p>
            <w:r>
              <w:rPr>
                <w:sz w:val="19"/>
                <w:szCs w:val="19"/>
              </w:rPr>
              <w:t xml:space="preserve">Must reflect the edge-perimeter guarantee accurately (Privacy Architecture, Document 10, Section 1, Version 2.0) and include distinct terms for the Trusted Device Layer specifically (Document 10, Section 2) — never a single generic biometric-processing clause covering both, since the two have genuinely different retention and consent treatments.</w:t>
            </w:r>
          </w:p>
        </w:tc>
      </w:tr>
      <w:tr>
        <w:tc>
          <w:tcPr>
            <w:tcW w:type="dxa" w:w="2800"/>
            <w:shd w:fill="FFFFFF" w:val="clear"/>
            <w:tcMar>
              <w:top w:type="dxa" w:w="100"/>
              <w:left w:type="dxa" w:w="140"/>
              <w:bottom w:type="dxa" w:w="100"/>
              <w:right w:type="dxa" w:w="140"/>
            </w:tcMar>
          </w:tcPr>
          <w:p>
            <w:r>
              <w:rPr>
                <w:sz w:val="19"/>
                <w:szCs w:val="19"/>
              </w:rPr>
              <w:t xml:space="preserve">Service Level Agreement (SLA)</w:t>
            </w:r>
          </w:p>
        </w:tc>
        <w:tc>
          <w:tcPr>
            <w:tcW w:type="dxa" w:w="6400"/>
            <w:shd w:fill="FFFFFF" w:val="clear"/>
            <w:tcMar>
              <w:top w:type="dxa" w:w="100"/>
              <w:left w:type="dxa" w:w="140"/>
              <w:bottom w:type="dxa" w:w="100"/>
              <w:right w:type="dxa" w:w="140"/>
            </w:tcMar>
          </w:tcPr>
          <w:p>
            <w:r>
              <w:rPr>
                <w:sz w:val="19"/>
                <w:szCs w:val="19"/>
              </w:rPr>
              <w:t xml:space="preserve">Extended beyond Version 1.0's uptime-only commitments to include the resource-overhead budget agreed during the pilot (Section 3) as a contractual performance commitment, not only an internal engineering target.</w:t>
            </w:r>
          </w:p>
        </w:tc>
      </w:tr>
      <w:tr>
        <w:tc>
          <w:tcPr>
            <w:tcW w:type="dxa" w:w="2800"/>
            <w:shd w:fill="F4F6F9" w:val="clear"/>
            <w:tcMar>
              <w:top w:type="dxa" w:w="100"/>
              <w:left w:type="dxa" w:w="140"/>
              <w:bottom w:type="dxa" w:w="100"/>
              <w:right w:type="dxa" w:w="140"/>
            </w:tcMar>
          </w:tcPr>
          <w:p>
            <w:r>
              <w:rPr>
                <w:sz w:val="19"/>
                <w:szCs w:val="19"/>
              </w:rPr>
              <w:t xml:space="preserve">Order Form / Pricing Schedule</w:t>
            </w:r>
          </w:p>
        </w:tc>
        <w:tc>
          <w:tcPr>
            <w:tcW w:type="dxa" w:w="6400"/>
            <w:shd w:fill="F4F6F9" w:val="clear"/>
            <w:tcMar>
              <w:top w:type="dxa" w:w="100"/>
              <w:left w:type="dxa" w:w="140"/>
              <w:bottom w:type="dxa" w:w="100"/>
              <w:right w:type="dxa" w:w="140"/>
            </w:tcMar>
          </w:tcPr>
          <w:p>
            <w:r>
              <w:rPr>
                <w:sz w:val="19"/>
                <w:szCs w:val="19"/>
              </w:rPr>
              <w:t xml:space="preserve">Per-call-minute pricing per the Product Strategy (Document 3, Section 2, Version 2.0).</w:t>
            </w:r>
          </w:p>
        </w:tc>
      </w:tr>
    </w:tbl>
    <w:p>
      <w:pPr>
        <w:pStyle w:val="Heading2"/>
        <w:spacing w:after="180" w:before="360"/>
      </w:pPr>
      <w:r>
        <w:rPr>
          <w:b/>
          <w:bCs/>
          <w:color w:val="2E5EAA"/>
          <w:sz w:val="26"/>
          <w:szCs w:val="26"/>
        </w:rPr>
        <w:t xml:space="preserve">5.2 A new negotiation principle specific to this model</w:t>
      </w:r>
    </w:p>
    <w:p>
      <w:pPr>
        <w:spacing w:after="200" w:line="300"/>
        <w:jc w:val="both"/>
      </w:pPr>
      <w:r>
        <w:rPr>
          <w:sz w:val="21"/>
          <w:szCs w:val="21"/>
        </w:rPr>
        <w:t xml:space="preserve">Never contractually commit to a specific detection-latency number for mid-call injection detection (ML Architecture, Document 7, Section 4.2) beyond what's been empirically validated for that partner's specific traffic and device mix — this is exactly the kind of unsubstantiated-claim risk the Vision Document's Non-Negotiables (Document 1, Section 6) exist to prevent, now applied to contract negotiation specifically rather than only public marketing claims.</w:t>
      </w:r>
    </w:p>
    <w:p>
      <w:pPr>
        <w:pStyle w:val="Heading1"/>
        <w:pageBreakBefore/>
        <w:spacing w:after="240" w:before="480"/>
      </w:pPr>
      <w:r>
        <w:rPr>
          <w:b/>
          <w:bCs/>
          <w:color w:val="1A2B4C"/>
          <w:sz w:val="32"/>
          <w:szCs w:val="32"/>
        </w:rPr>
        <w:t xml:space="preserve">6. FAQs</w:t>
      </w:r>
    </w:p>
    <w:p>
      <w:pPr>
        <w:pStyle w:val="Heading3"/>
        <w:spacing w:after="140" w:before="280"/>
      </w:pPr>
      <w:r>
        <w:rPr>
          <w:b/>
          <w:bCs/>
          <w:color w:val="1A2B4C"/>
          <w:sz w:val="22"/>
          <w:szCs w:val="22"/>
        </w:rPr>
        <w:t xml:space="preserve">"Will this affect our call quality?"</w:t>
      </w:r>
    </w:p>
    <w:p>
      <w:pPr>
        <w:spacing w:after="200" w:line="300"/>
        <w:jc w:val="both"/>
      </w:pPr>
      <w:r>
        <w:rPr>
          <w:sz w:val="21"/>
          <w:szCs w:val="21"/>
        </w:rPr>
        <w:t xml:space="preserve">Answered directly with the specific, validated resource-overhead numbers for that prospect's actual device/network mix (Technical Requirements Document, NFR-C.2) — never a generic reassurance. If validation hasn't yet been done for their specific infrastructure, the honest answer is that it needs to happen during the technical evaluation stage (Section 1.1) before a confident answer can be given at all.</w:t>
      </w:r>
    </w:p>
    <w:p>
      <w:pPr>
        <w:pStyle w:val="Heading3"/>
        <w:spacing w:after="140" w:before="280"/>
      </w:pPr>
      <w:r>
        <w:rPr>
          <w:b/>
          <w:bCs/>
          <w:color w:val="1A2B4C"/>
          <w:sz w:val="22"/>
          <w:szCs w:val="22"/>
        </w:rPr>
        <w:t xml:space="preserve">"What happens on devices that don't support hardware attestation?"</w:t>
      </w:r>
    </w:p>
    <w:p>
      <w:pPr>
        <w:spacing w:after="200" w:line="300"/>
        <w:jc w:val="both"/>
      </w:pPr>
      <w:r>
        <w:rPr>
          <w:sz w:val="21"/>
          <w:szCs w:val="21"/>
        </w:rPr>
        <w:t xml:space="preserve">The Trusted Device Layer degrades gracefully to a lower, honestly-disclosed trust tier (Technical Requirements Document, Table 8.1) rather than failing or excluding those users — this was a deliberate design decision specifically so the feature works across a platform's entire real device fleet, not just premium hardware (Product Strategy, Document 3, Section 3.4).</w:t>
      </w:r>
    </w:p>
    <w:p>
      <w:pPr>
        <w:pStyle w:val="Heading3"/>
        <w:spacing w:after="140" w:before="280"/>
      </w:pPr>
      <w:r>
        <w:rPr>
          <w:b/>
          <w:bCs/>
          <w:color w:val="1A2B4C"/>
          <w:sz w:val="22"/>
          <w:szCs w:val="22"/>
        </w:rPr>
        <w:t xml:space="preserve">"Can another platform see anything about our users through the Trusted Device Layer?"</w:t>
      </w:r>
    </w:p>
    <w:p>
      <w:pPr>
        <w:spacing w:after="200" w:line="300"/>
        <w:jc w:val="both"/>
      </w:pPr>
      <w:r>
        <w:rPr>
          <w:sz w:val="21"/>
          <w:szCs w:val="21"/>
        </w:rPr>
        <w:t xml:space="preserve">No — platform scoping is a hard cryptographic property of how the token itself is constructed (Technical Requirements Document, Section 8.3), not a configurable policy setting, and this is one of the Vision Document's Non-Negotiables (Document 1, Section 6).</w:t>
      </w:r>
    </w:p>
    <w:p>
      <w:pPr>
        <w:pStyle w:val="Heading3"/>
        <w:spacing w:after="140" w:before="280"/>
      </w:pPr>
      <w:r>
        <w:rPr>
          <w:b/>
          <w:bCs/>
          <w:color w:val="1A2B4C"/>
          <w:sz w:val="22"/>
          <w:szCs w:val="22"/>
        </w:rPr>
        <w:t xml:space="preserve">"Does raw video ever reach Certivo's servers?"</w:t>
      </w:r>
    </w:p>
    <w:p>
      <w:pPr>
        <w:spacing w:after="200" w:line="300"/>
        <w:jc w:val="both"/>
      </w:pPr>
      <w:r>
        <w:rPr>
          <w:sz w:val="21"/>
          <w:szCs w:val="21"/>
        </w:rPr>
        <w:t xml:space="preserve">No, for continuous verification specifically — inference runs entirely on the participant's own device, and only a derived, non-reconstructive score is transmitted (Technical Requirements Document, Section 2.1; Privacy Architecture, Document 10, Section 1).</w:t>
      </w:r>
    </w:p>
    <w:p>
      <w:pPr>
        <w:pStyle w:val="Heading3"/>
        <w:spacing w:after="140" w:before="280"/>
      </w:pPr>
      <w:r>
        <w:rPr>
          <w:b/>
          <w:bCs/>
          <w:color w:val="1A2B4C"/>
          <w:sz w:val="22"/>
          <w:szCs w:val="22"/>
        </w:rPr>
        <w:t xml:space="preserve">"What if someone builds a modified client to fake their score?"</w:t>
      </w:r>
    </w:p>
    <w:p>
      <w:pPr>
        <w:spacing w:after="200" w:line="300"/>
        <w:jc w:val="both"/>
      </w:pPr>
      <w:r>
        <w:rPr>
          <w:sz w:val="21"/>
          <w:szCs w:val="21"/>
        </w:rPr>
        <w:t xml:space="preserve">Addressed honestly, not dismissively: this is a real threat category (Security Architecture, Document 9, Section 1, Version 2.0), mitigated through layered controls (device-specific signing keys, hardware attestation, anomaly detection, and policy-layer trust-tier weighting) rather than a single silver-bullet defense — framed the same way any credible anti-fraud or anti-cheat system would be, since claiming a perfect, unbeatable defense would itself be an unsubstantiated claim.</w:t>
      </w:r>
    </w:p>
    <w:p>
      <w:pPr>
        <w:pStyle w:val="Heading1"/>
        <w:pageBreakBefore/>
        <w:spacing w:after="240" w:before="480"/>
      </w:pPr>
      <w:r>
        <w:rPr>
          <w:b/>
          <w:bCs/>
          <w:color w:val="1A2B4C"/>
          <w:sz w:val="32"/>
          <w:szCs w:val="32"/>
        </w:rPr>
        <w:t xml:space="preserve">7. Security Answers</w:t>
      </w:r>
    </w:p>
    <w:p>
      <w:pPr>
        <w:spacing w:after="200" w:line="300"/>
        <w:jc w:val="both"/>
      </w:pPr>
      <w:r>
        <w:rPr>
          <w:sz w:val="21"/>
          <w:szCs w:val="21"/>
        </w:rPr>
        <w:t xml:space="preserve">Extends Version 1.0's pre-drafted security questionnaire responses (Document 16, Section 7) with entries specific to the edge-inference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A2B4C" w:val="clear"/>
            <w:tcMar>
              <w:top w:type="dxa" w:w="100"/>
              <w:left w:type="dxa" w:w="140"/>
              <w:bottom w:type="dxa" w:w="100"/>
              <w:right w:type="dxa" w:w="140"/>
            </w:tcMar>
          </w:tcPr>
          <w:p>
            <w:r>
              <w:rPr>
                <w:b/>
                <w:bCs/>
                <w:color w:val="FFFFFF"/>
                <w:sz w:val="19"/>
                <w:szCs w:val="19"/>
              </w:rPr>
              <w:t xml:space="preserve">Question</w:t>
            </w:r>
          </w:p>
        </w:tc>
        <w:tc>
          <w:tcPr>
            <w:tcW w:type="dxa" w:w="5800"/>
            <w:shd w:fill="1A2B4C" w:val="clear"/>
            <w:tcMar>
              <w:top w:type="dxa" w:w="100"/>
              <w:left w:type="dxa" w:w="140"/>
              <w:bottom w:type="dxa" w:w="100"/>
              <w:right w:type="dxa" w:w="140"/>
            </w:tcMar>
          </w:tcPr>
          <w:p>
            <w:r>
              <w:rPr>
                <w:b/>
                <w:bCs/>
                <w:color w:val="FFFFFF"/>
                <w:sz w:val="19"/>
                <w:szCs w:val="19"/>
              </w:rPr>
              <w:t xml:space="preserve">Answer</w:t>
            </w:r>
          </w:p>
        </w:tc>
      </w:tr>
      <w:tr>
        <w:tc>
          <w:tcPr>
            <w:tcW w:type="dxa" w:w="3400"/>
            <w:shd w:fill="F4F6F9" w:val="clear"/>
            <w:tcMar>
              <w:top w:type="dxa" w:w="100"/>
              <w:left w:type="dxa" w:w="140"/>
              <w:bottom w:type="dxa" w:w="100"/>
              <w:right w:type="dxa" w:w="140"/>
            </w:tcMar>
          </w:tcPr>
          <w:p>
            <w:r>
              <w:rPr>
                <w:sz w:val="19"/>
                <w:szCs w:val="19"/>
              </w:rPr>
              <w:t xml:space="preserve">Does verification data ever leave our users' devices?</w:t>
            </w:r>
          </w:p>
        </w:tc>
        <w:tc>
          <w:tcPr>
            <w:tcW w:type="dxa" w:w="5800"/>
            <w:shd w:fill="F4F6F9" w:val="clear"/>
            <w:tcMar>
              <w:top w:type="dxa" w:w="100"/>
              <w:left w:type="dxa" w:w="140"/>
              <w:bottom w:type="dxa" w:w="100"/>
              <w:right w:type="dxa" w:w="140"/>
            </w:tcMar>
          </w:tcPr>
          <w:p>
            <w:r>
              <w:rPr>
                <w:sz w:val="19"/>
                <w:szCs w:val="19"/>
              </w:rPr>
              <w:t xml:space="preserve">Only a signed, derived score-and-explanation packet — never raw video or audio, which is processed and discarded entirely on-device (Technical Requirements Document, Section 2.1).</w:t>
            </w:r>
          </w:p>
        </w:tc>
      </w:tr>
      <w:tr>
        <w:tc>
          <w:tcPr>
            <w:tcW w:type="dxa" w:w="3400"/>
            <w:shd w:fill="FFFFFF" w:val="clear"/>
            <w:tcMar>
              <w:top w:type="dxa" w:w="100"/>
              <w:left w:type="dxa" w:w="140"/>
              <w:bottom w:type="dxa" w:w="100"/>
              <w:right w:type="dxa" w:w="140"/>
            </w:tcMar>
          </w:tcPr>
          <w:p>
            <w:r>
              <w:rPr>
                <w:sz w:val="19"/>
                <w:szCs w:val="19"/>
              </w:rPr>
              <w:t xml:space="preserve">How do you prevent a compromised or modified client from submitting fraudulent verification results?</w:t>
            </w:r>
          </w:p>
        </w:tc>
        <w:tc>
          <w:tcPr>
            <w:tcW w:type="dxa" w:w="5800"/>
            <w:shd w:fill="FFFFFF" w:val="clear"/>
            <w:tcMar>
              <w:top w:type="dxa" w:w="100"/>
              <w:left w:type="dxa" w:w="140"/>
              <w:bottom w:type="dxa" w:w="100"/>
              <w:right w:type="dxa" w:w="140"/>
            </w:tcMar>
          </w:tcPr>
          <w:p>
            <w:r>
              <w:rPr>
                <w:sz w:val="19"/>
                <w:szCs w:val="19"/>
              </w:rPr>
              <w:t xml:space="preserve">Device-specific signing keys, hardware attestation where available (App Attest, Play Integrity, WebAuthn), and server-side anomaly detection on implausible score patterns — a layered defense, detailed fully in Security Architecture (Document 9, Section 1, Version 2.0), not a single control.</w:t>
            </w:r>
          </w:p>
        </w:tc>
      </w:tr>
      <w:tr>
        <w:tc>
          <w:tcPr>
            <w:tcW w:type="dxa" w:w="3400"/>
            <w:shd w:fill="F4F6F9" w:val="clear"/>
            <w:tcMar>
              <w:top w:type="dxa" w:w="100"/>
              <w:left w:type="dxa" w:w="140"/>
              <w:bottom w:type="dxa" w:w="100"/>
              <w:right w:type="dxa" w:w="140"/>
            </w:tcMar>
          </w:tcPr>
          <w:p>
            <w:r>
              <w:rPr>
                <w:sz w:val="19"/>
                <w:szCs w:val="19"/>
              </w:rPr>
              <w:t xml:space="preserve">How is the persistent device credential (Trusted Device Layer) secured and scoped?</w:t>
            </w:r>
          </w:p>
        </w:tc>
        <w:tc>
          <w:tcPr>
            <w:tcW w:type="dxa" w:w="5800"/>
            <w:shd w:fill="F4F6F9" w:val="clear"/>
            <w:tcMar>
              <w:top w:type="dxa" w:w="100"/>
              <w:left w:type="dxa" w:w="140"/>
              <w:bottom w:type="dxa" w:w="100"/>
              <w:right w:type="dxa" w:w="140"/>
            </w:tcMar>
          </w:tcPr>
          <w:p>
            <w:r>
              <w:rPr>
                <w:sz w:val="19"/>
                <w:szCs w:val="19"/>
              </w:rPr>
              <w:t xml:space="preserve">Bound cryptographically to a specific integrating platform at issuance (Technical Requirements Document, Section 8.3) — unusable by any other platform without the user's separate, explicit consent to link them.</w:t>
            </w:r>
          </w:p>
        </w:tc>
      </w:tr>
      <w:tr>
        <w:tc>
          <w:tcPr>
            <w:tcW w:type="dxa" w:w="3400"/>
            <w:shd w:fill="FFFFFF" w:val="clear"/>
            <w:tcMar>
              <w:top w:type="dxa" w:w="100"/>
              <w:left w:type="dxa" w:w="140"/>
              <w:bottom w:type="dxa" w:w="100"/>
              <w:right w:type="dxa" w:w="140"/>
            </w:tcMar>
          </w:tcPr>
          <w:p>
            <w:r>
              <w:rPr>
                <w:sz w:val="19"/>
                <w:szCs w:val="19"/>
              </w:rPr>
              <w:t xml:space="preserve">What happens if your backend is unreachable during a live call?</w:t>
            </w:r>
          </w:p>
        </w:tc>
        <w:tc>
          <w:tcPr>
            <w:tcW w:type="dxa" w:w="5800"/>
            <w:shd w:fill="FFFFFF" w:val="clear"/>
            <w:tcMar>
              <w:top w:type="dxa" w:w="100"/>
              <w:left w:type="dxa" w:w="140"/>
              <w:bottom w:type="dxa" w:w="100"/>
              <w:right w:type="dxa" w:w="140"/>
            </w:tcMar>
          </w:tcPr>
          <w:p>
            <w:r>
              <w:rPr>
                <w:sz w:val="19"/>
                <w:szCs w:val="19"/>
              </w:rPr>
              <w:t xml:space="preserve">The client continues local inference and buffers signed results; the call is never interrupted on our account, and any resulting coverage gap is disclosed transparently in the session's final record rather than hidden (System Design Document, Document 5, Section 7.1, Version 2.0).</w:t>
            </w:r>
          </w:p>
        </w:tc>
      </w:tr>
    </w:tbl>
    <w:p>
      <w:pPr>
        <w:spacing w:after="260" w:before="80"/>
      </w:pPr>
      <w:r>
        <w:rPr>
          <w:i/>
          <w:iCs/>
          <w:color w:val="6B7280"/>
          <w:sz w:val="18"/>
          <w:szCs w:val="18"/>
        </w:rPr>
        <w:t xml:space="preserve">Table 7.1 — New security questionnaire responses specific to the edge-inference architecture.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Enterprise Sales Handbook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2026-07-07T11:00:32.524Z</dcterms:created>
  <dcterms:modified xsi:type="dcterms:W3CDTF">2026-07-07T11:00:32.546Z</dcterms:modified>
</cp:coreProperties>
</file>

<file path=docProps/custom.xml><?xml version="1.0" encoding="utf-8"?>
<Properties xmlns="http://schemas.openxmlformats.org/officeDocument/2006/custom-properties" xmlns:vt="http://schemas.openxmlformats.org/officeDocument/2006/docPropsVTypes"/>
</file>