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The Trust Layer for Live Human Interaction</w:t>
      </w:r>
    </w:p>
    <w:p>
      <w:pPr>
        <w:spacing w:before="800"/>
        <w:jc w:val="center"/>
      </w:pPr>
      <w:r>
        <w:rPr>
          <w:b/>
          <w:bCs/>
          <w:color w:val="6B7280"/>
          <w:sz w:val="32"/>
          <w:szCs w:val="32"/>
        </w:rPr>
        <w:t xml:space="preserve">PRODUCT REQUIREMENTS DOCUMENT</w:t>
      </w:r>
    </w:p>
    <w:p>
      <w:pPr>
        <w:spacing w:before="200"/>
        <w:jc w:val="center"/>
      </w:pPr>
      <w:r>
        <w:rPr>
          <w:color w:val="6B7280"/>
          <w:sz w:val="20"/>
          <w:szCs w:val="20"/>
        </w:rPr>
        <w:t xml:space="preserve">Document 2 of 18 — Phase 1: Product Foundation</w:t>
      </w:r>
    </w:p>
    <w:p>
      <w:pPr>
        <w:spacing w:before="100"/>
        <w:jc w:val="center"/>
      </w:pPr>
      <w:r>
        <w:rPr>
          <w:color w:val="6B7280"/>
          <w:sz w:val="18"/>
          <w:szCs w:val="18"/>
        </w:rPr>
        <w:t xml:space="preserve">Version 2.0 — Revised for live-call verification as flagship  |  Confidential</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The prior version led with fintech account-recovery and onboarding as Certivo's beachhead use case; continuous, live-call verification was documented only as a future feature (Version 1.0, Section 11). Version 2.0 reverses that: continuous, multi-party live-call verification — embedded as an SDK into video-calling, dating, livestreaming, and remote-meeting platforms — is now the flagship use case and leads the roadmap from Phase 0. Fintech, healthcare, and hiring use cases remain valid and are retained in this document as Phase 2+ applications of the same underlying platform, not the entry point.</w:t>
      </w:r>
    </w:p>
    <w:p>
      <w:pPr>
        <w:spacing w:after="200" w:line="300"/>
        <w:jc w:val="both"/>
      </w:pPr>
      <w:r>
        <w:rPr>
          <w:sz w:val="21"/>
          <w:szCs w:val="21"/>
        </w:rPr>
        <w:t xml:space="preserve">This revision also introduces the Trusted Device Layer — a persistent, scoped, revocable device-trust credential distinct from the original per-session Device Trust score — and adds three new verticals (dating platforms, social/live-media platforms, and remote meeting platforms) to the market analysis, consistent with the Vision Document's Version 2.0 revision.</w:t>
      </w:r>
    </w:p>
    <w:p>
      <w:pPr>
        <w:pStyle w:val="Heading1"/>
        <w:pageBreakBefore/>
        <w:spacing w:after="240" w:before="480"/>
      </w:pPr>
      <w:r>
        <w:rPr>
          <w:b/>
          <w:bCs/>
          <w:color w:val="1A2B4C"/>
          <w:sz w:val="32"/>
          <w:szCs w:val="32"/>
        </w:rPr>
        <w:t xml:space="preserve">1. Executive Summary</w:t>
      </w:r>
    </w:p>
    <w:p>
      <w:pPr>
        <w:spacing w:after="200" w:line="300"/>
        <w:jc w:val="both"/>
      </w:pPr>
      <w:r>
        <w:rPr>
          <w:sz w:val="21"/>
          <w:szCs w:val="21"/>
        </w:rPr>
        <w:t xml:space="preserve">Certivo is real-time trust infrastructure for live human interaction. We provide an SDK that video-calling, dating, livestreaming, and remote-meeting platforms embed directly into their own products, giving every participant on a live call a continuously updated, cryptographically verifiable signal that every other participant is a real, present human whose video and audio have not been synthetically manipulated — for as long as the call lasts, not just at its start.</w:t>
      </w:r>
    </w:p>
    <w:p>
      <w:pPr>
        <w:spacing w:after="200" w:line="300"/>
        <w:jc w:val="both"/>
      </w:pPr>
      <w:r>
        <w:rPr>
          <w:sz w:val="21"/>
          <w:szCs w:val="21"/>
        </w:rPr>
        <w:t xml:space="preserve">The product is built for platforms where an unverified or synthetically manipulated live participant carries real cost: corporate video-conferencing (deepfake-enabled business email compromise and impersonation fraud), dating and social platforms (catfishing, romance-scam operations, synthetic profiles going live on video), and livestreaming platforms (impersonation, fraudulent live-selling, fabricated authority figures). Point-in-time verification use cases — fintech onboarding, healthcare telehealth, hiring-interview integrity — remain part of the long-term platform but follow the flagship rather than leading it.</w:t>
      </w:r>
    </w:p>
    <w:p>
      <w:pPr>
        <w:spacing w:after="200" w:line="300"/>
        <w:jc w:val="both"/>
      </w:pPr>
      <w:r>
        <w:rPr>
          <w:sz w:val="21"/>
          <w:szCs w:val="21"/>
        </w:rPr>
        <w:t xml:space="preserve">This PRD defines requirements for the first twenty months, sequenced from a narrow, defensible flagship (continuous liveness and deepfake detection embedded in live calls, validated with 1-2 design-partner platforms) to a broader embedded-trust platform including the Trusted Device Layer and, eventually, the adjacent point-in-time verticals. It should be read alongside the Vision Document (Document 1, Version 2.0), which this PRD operationalizes.</w:t>
      </w:r>
    </w:p>
    <w:p>
      <w:pPr>
        <w:pStyle w:val="Heading2"/>
        <w:spacing w:after="180" w:before="360"/>
      </w:pPr>
      <w:r>
        <w:rPr>
          <w:b/>
          <w:bCs/>
          <w:color w:val="2E5EAA"/>
          <w:sz w:val="26"/>
          <w:szCs w:val="26"/>
        </w:rPr>
        <w:t xml:space="preserve">Summary of what we are building</w:t>
      </w:r>
    </w:p>
    <w:p>
      <w:pPr>
        <w:pStyle w:val="ListParagraph"/>
        <w:numPr>
          <w:ilvl w:val="0"/>
          <w:numId w:val="2"/>
        </w:numPr>
        <w:spacing w:after="100" w:line="280"/>
      </w:pPr>
      <w:r>
        <w:rPr>
          <w:sz w:val="21"/>
          <w:szCs w:val="21"/>
        </w:rPr>
        <w:t xml:space="preserve">An SDK, embedded by partner platforms into their own live video-calling, dating, streaming, or meeting products, that performs continuous (not one-time) liveness detection and synthetic-media/deepfake detection for every participant on a live call.</w:t>
      </w:r>
    </w:p>
    <w:p>
      <w:pPr>
        <w:pStyle w:val="ListParagraph"/>
        <w:numPr>
          <w:ilvl w:val="0"/>
          <w:numId w:val="2"/>
        </w:numPr>
        <w:spacing w:after="100" w:line="280"/>
      </w:pPr>
      <w:r>
        <w:rPr>
          <w:sz w:val="21"/>
          <w:szCs w:val="21"/>
        </w:rPr>
        <w:t xml:space="preserve">A per-participant, continuously updated trust score and explanation, broadcast to other participants (and, where the integrating platform chooses, to their own trust &amp; safety systems) throughout the call — not a single pass/fail check at the start.</w:t>
      </w:r>
    </w:p>
    <w:p>
      <w:pPr>
        <w:pStyle w:val="ListParagraph"/>
        <w:numPr>
          <w:ilvl w:val="0"/>
          <w:numId w:val="2"/>
        </w:numPr>
        <w:spacing w:after="100" w:line="280"/>
      </w:pPr>
      <w:r>
        <w:rPr>
          <w:sz w:val="21"/>
          <w:szCs w:val="21"/>
        </w:rPr>
        <w:t xml:space="preserve">A Trusted Device Layer: a persistent, revocable, platform-scoped credential confirming that the same previously verified human is still operating from the same trusted device across sessions, without enabling cross-platform tracking (Vision Document, Document 1, Section 6's non-negotiable).</w:t>
      </w:r>
    </w:p>
    <w:p>
      <w:pPr>
        <w:pStyle w:val="ListParagraph"/>
        <w:numPr>
          <w:ilvl w:val="0"/>
          <w:numId w:val="2"/>
        </w:numPr>
        <w:spacing w:after="100" w:line="280"/>
      </w:pPr>
      <w:r>
        <w:rPr>
          <w:sz w:val="21"/>
          <w:szCs w:val="21"/>
        </w:rPr>
        <w:t xml:space="preserve">A cryptographic attestation service producing signed authenticity receipts for verified call sessions, extending the same attestation model from the original point-in-time design to continuous sessions.</w:t>
      </w:r>
    </w:p>
    <w:p>
      <w:pPr>
        <w:pStyle w:val="ListParagraph"/>
        <w:numPr>
          <w:ilvl w:val="0"/>
          <w:numId w:val="2"/>
        </w:numPr>
        <w:spacing w:after="100" w:line="280"/>
      </w:pPr>
      <w:r>
        <w:rPr>
          <w:sz w:val="21"/>
          <w:szCs w:val="21"/>
        </w:rPr>
        <w:t xml:space="preserve">A privacy-preserving architecture that never persists raw biometric data beyond the minimum needed for continuous inference, applied with equal rigor to a 90-minute call as to a 3-second check.</w:t>
      </w:r>
    </w:p>
    <w:p>
      <w:pPr>
        <w:pStyle w:val="Heading2"/>
        <w:spacing w:after="180" w:before="360"/>
      </w:pPr>
      <w:r>
        <w:rPr>
          <w:b/>
          <w:bCs/>
          <w:color w:val="2E5EAA"/>
          <w:sz w:val="26"/>
          <w:szCs w:val="26"/>
        </w:rPr>
        <w:t xml:space="preserve">What success looks like at 20 months</w:t>
      </w:r>
    </w:p>
    <w:p>
      <w:pPr>
        <w:spacing w:after="200" w:line="300"/>
        <w:jc w:val="both"/>
      </w:pPr>
      <w:r>
        <w:rPr>
          <w:sz w:val="21"/>
          <w:szCs w:val="21"/>
        </w:rPr>
        <w:t xml:space="preserve">A defensible, security-reviewed platform embedded in a focused set of design-partner calling/dating/streaming platforms, processing continuous verification across real live call volume, with published, methodologically transparent accuracy figures for the continuous-verification model class specifically (which has different failure characteristics than a point-in-time model), and a technical foundation ready to extend into the Trusted Device Layer and the adjacent point-in-time verticals without re-architecture.</w:t>
      </w:r>
    </w:p>
    <w:p>
      <w:pPr>
        <w:pStyle w:val="Heading1"/>
        <w:pageBreakBefore/>
        <w:spacing w:after="240" w:before="480"/>
      </w:pPr>
      <w:r>
        <w:rPr>
          <w:b/>
          <w:bCs/>
          <w:color w:val="1A2B4C"/>
          <w:sz w:val="32"/>
          <w:szCs w:val="32"/>
        </w:rPr>
        <w:t xml:space="preserve">2. Problem Statement</w:t>
      </w:r>
    </w:p>
    <w:p>
      <w:pPr>
        <w:pStyle w:val="Heading2"/>
        <w:spacing w:after="180" w:before="360"/>
      </w:pPr>
      <w:r>
        <w:rPr>
          <w:b/>
          <w:bCs/>
          <w:color w:val="2E5EAA"/>
          <w:sz w:val="26"/>
          <w:szCs w:val="26"/>
        </w:rPr>
        <w:t xml:space="preserve">2.1 The core problem</w:t>
      </w:r>
    </w:p>
    <w:p>
      <w:pPr>
        <w:spacing w:after="200" w:line="300"/>
        <w:jc w:val="both"/>
      </w:pPr>
      <w:r>
        <w:rPr>
          <w:sz w:val="21"/>
          <w:szCs w:val="21"/>
        </w:rPr>
        <w:t xml:space="preserve">Live video interaction has historically relied on a simple, mostly correct assumption: if a video feed shows a person talking and responding in real time, a real human is present and unaltered. Generative AI has broken that assumption. Real-time face-swap, voice cloning, and fully synthetic video generation can now produce a live-seeming video call participant who is not who — or what — they appear to be, and the tooling to do this is falling in cost and rising in quality on a timescale of months, not years.</w:t>
      </w:r>
    </w:p>
    <w:p>
      <w:pPr>
        <w:spacing w:after="200" w:line="300"/>
        <w:jc w:val="both"/>
      </w:pPr>
      <w:r>
        <w:rPr>
          <w:sz w:val="21"/>
          <w:szCs w:val="21"/>
        </w:rPr>
        <w:t xml:space="preserve">Meanwhile, the platforms most exposed to this — video-conferencing tools, dating apps, livestreaming platforms, remote-meeting software — have essentially no dedicated defense. Account-level authentication (a password, a login) says nothing about who or what is in front of the camera on a specific call, right now. A one-time identity check at signup says nothing about whether the same person is present three months and four hundred calls later. The gap is precisely the live, continuous moment — and no existing infrastructure is built to cover it.</w:t>
      </w:r>
    </w:p>
    <w:p>
      <w:pPr>
        <w:pStyle w:val="Heading2"/>
        <w:spacing w:after="180" w:before="360"/>
      </w:pPr>
      <w:r>
        <w:rPr>
          <w:b/>
          <w:bCs/>
          <w:color w:val="2E5EAA"/>
          <w:sz w:val="26"/>
          <w:szCs w:val="26"/>
        </w:rPr>
        <w:t xml:space="preserve">2.2 Why existing solutions fall short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A2B4C" w:val="clear"/>
            <w:tcMar>
              <w:top w:type="dxa" w:w="100"/>
              <w:left w:type="dxa" w:w="140"/>
              <w:bottom w:type="dxa" w:w="100"/>
              <w:right w:type="dxa" w:w="140"/>
            </w:tcMar>
          </w:tcPr>
          <w:p>
            <w:r>
              <w:rPr>
                <w:b/>
                <w:bCs/>
                <w:color w:val="FFFFFF"/>
                <w:sz w:val="19"/>
                <w:szCs w:val="19"/>
              </w:rPr>
              <w:t xml:space="preserve">Existing approach</w:t>
            </w:r>
          </w:p>
        </w:tc>
        <w:tc>
          <w:tcPr>
            <w:tcW w:type="dxa" w:w="5200"/>
            <w:shd w:fill="1A2B4C" w:val="clear"/>
            <w:tcMar>
              <w:top w:type="dxa" w:w="100"/>
              <w:left w:type="dxa" w:w="140"/>
              <w:bottom w:type="dxa" w:w="100"/>
              <w:right w:type="dxa" w:w="140"/>
            </w:tcMar>
          </w:tcPr>
          <w:p>
            <w:r>
              <w:rPr>
                <w:b/>
                <w:bCs/>
                <w:color w:val="FFFFFF"/>
                <w:sz w:val="19"/>
                <w:szCs w:val="19"/>
              </w:rPr>
              <w:t xml:space="preserve">Why it's insufficient for live interaction</w:t>
            </w:r>
          </w:p>
        </w:tc>
      </w:tr>
      <w:tr>
        <w:tc>
          <w:tcPr>
            <w:tcW w:type="dxa" w:w="4200"/>
            <w:shd w:fill="F4F6F9" w:val="clear"/>
            <w:tcMar>
              <w:top w:type="dxa" w:w="100"/>
              <w:left w:type="dxa" w:w="140"/>
              <w:bottom w:type="dxa" w:w="100"/>
              <w:right w:type="dxa" w:w="140"/>
            </w:tcMar>
          </w:tcPr>
          <w:p>
            <w:r>
              <w:rPr>
                <w:sz w:val="19"/>
                <w:szCs w:val="19"/>
              </w:rPr>
              <w:t xml:space="preserve">Account password / login</w:t>
            </w:r>
          </w:p>
        </w:tc>
        <w:tc>
          <w:tcPr>
            <w:tcW w:type="dxa" w:w="5200"/>
            <w:shd w:fill="F4F6F9" w:val="clear"/>
            <w:tcMar>
              <w:top w:type="dxa" w:w="100"/>
              <w:left w:type="dxa" w:w="140"/>
              <w:bottom w:type="dxa" w:w="100"/>
              <w:right w:type="dxa" w:w="140"/>
            </w:tcMar>
          </w:tcPr>
          <w:p>
            <w:r>
              <w:rPr>
                <w:sz w:val="19"/>
                <w:szCs w:val="19"/>
              </w:rPr>
              <w:t xml:space="preserve">Verifies possession of credentials, not presence of a specific human on a specific live call.</w:t>
            </w:r>
          </w:p>
        </w:tc>
      </w:tr>
      <w:tr>
        <w:tc>
          <w:tcPr>
            <w:tcW w:type="dxa" w:w="4200"/>
            <w:shd w:fill="FFFFFF" w:val="clear"/>
            <w:tcMar>
              <w:top w:type="dxa" w:w="100"/>
              <w:left w:type="dxa" w:w="140"/>
              <w:bottom w:type="dxa" w:w="100"/>
              <w:right w:type="dxa" w:w="140"/>
            </w:tcMar>
          </w:tcPr>
          <w:p>
            <w:r>
              <w:rPr>
                <w:sz w:val="19"/>
                <w:szCs w:val="19"/>
              </w:rPr>
              <w:t xml:space="preserve">One-time identity verification at signup</w:t>
            </w:r>
          </w:p>
        </w:tc>
        <w:tc>
          <w:tcPr>
            <w:tcW w:type="dxa" w:w="5200"/>
            <w:shd w:fill="FFFFFF" w:val="clear"/>
            <w:tcMar>
              <w:top w:type="dxa" w:w="100"/>
              <w:left w:type="dxa" w:w="140"/>
              <w:bottom w:type="dxa" w:w="100"/>
              <w:right w:type="dxa" w:w="140"/>
            </w:tcMar>
          </w:tcPr>
          <w:p>
            <w:r>
              <w:rPr>
                <w:sz w:val="19"/>
                <w:szCs w:val="19"/>
              </w:rPr>
              <w:t xml:space="preserve">Says nothing about who is actually on a call happening months later; does not detect a session hijacked or handed off to someone else mid-relationship with a platform.</w:t>
            </w:r>
          </w:p>
        </w:tc>
      </w:tr>
      <w:tr>
        <w:tc>
          <w:tcPr>
            <w:tcW w:type="dxa" w:w="4200"/>
            <w:shd w:fill="F4F6F9" w:val="clear"/>
            <w:tcMar>
              <w:top w:type="dxa" w:w="100"/>
              <w:left w:type="dxa" w:w="140"/>
              <w:bottom w:type="dxa" w:w="100"/>
              <w:right w:type="dxa" w:w="140"/>
            </w:tcMar>
          </w:tcPr>
          <w:p>
            <w:r>
              <w:rPr>
                <w:sz w:val="19"/>
                <w:szCs w:val="19"/>
              </w:rPr>
              <w:t xml:space="preserve">Platform-native fraud detection (behavioral analytics, report systems)</w:t>
            </w:r>
          </w:p>
        </w:tc>
        <w:tc>
          <w:tcPr>
            <w:tcW w:type="dxa" w:w="5200"/>
            <w:shd w:fill="F4F6F9" w:val="clear"/>
            <w:tcMar>
              <w:top w:type="dxa" w:w="100"/>
              <w:left w:type="dxa" w:w="140"/>
              <w:bottom w:type="dxa" w:w="100"/>
              <w:right w:type="dxa" w:w="140"/>
            </w:tcMar>
          </w:tcPr>
          <w:p>
            <w:r>
              <w:rPr>
                <w:sz w:val="19"/>
                <w:szCs w:val="19"/>
              </w:rPr>
              <w:t xml:space="preserve">Reactive, not real-time — typically detects a problem after victims report it, not while a call is happening.</w:t>
            </w:r>
          </w:p>
        </w:tc>
      </w:tr>
      <w:tr>
        <w:tc>
          <w:tcPr>
            <w:tcW w:type="dxa" w:w="4200"/>
            <w:shd w:fill="FFFFFF" w:val="clear"/>
            <w:tcMar>
              <w:top w:type="dxa" w:w="100"/>
              <w:left w:type="dxa" w:w="140"/>
              <w:bottom w:type="dxa" w:w="100"/>
              <w:right w:type="dxa" w:w="140"/>
            </w:tcMar>
          </w:tcPr>
          <w:p>
            <w:r>
              <w:rPr>
                <w:sz w:val="19"/>
                <w:szCs w:val="19"/>
              </w:rPr>
              <w:t xml:space="preserve">Manual moderation / human review</w:t>
            </w:r>
          </w:p>
        </w:tc>
        <w:tc>
          <w:tcPr>
            <w:tcW w:type="dxa" w:w="5200"/>
            <w:shd w:fill="FFFFFF" w:val="clear"/>
            <w:tcMar>
              <w:top w:type="dxa" w:w="100"/>
              <w:left w:type="dxa" w:w="140"/>
              <w:bottom w:type="dxa" w:w="100"/>
              <w:right w:type="dxa" w:w="140"/>
            </w:tcMar>
          </w:tcPr>
          <w:p>
            <w:r>
              <w:rPr>
                <w:sz w:val="19"/>
                <w:szCs w:val="19"/>
              </w:rPr>
              <w:t xml:space="preserve">Cannot scale to the volume of live calls on a major platform, and cannot act within the timeframe a live scam or impersonation actually unfolds.</w:t>
            </w:r>
          </w:p>
        </w:tc>
      </w:tr>
      <w:tr>
        <w:tc>
          <w:tcPr>
            <w:tcW w:type="dxa" w:w="4200"/>
            <w:shd w:fill="F4F6F9" w:val="clear"/>
            <w:tcMar>
              <w:top w:type="dxa" w:w="100"/>
              <w:left w:type="dxa" w:w="140"/>
              <w:bottom w:type="dxa" w:w="100"/>
              <w:right w:type="dxa" w:w="140"/>
            </w:tcMar>
          </w:tcPr>
          <w:p>
            <w:r>
              <w:rPr>
                <w:sz w:val="19"/>
                <w:szCs w:val="19"/>
              </w:rPr>
              <w:t xml:space="preserve">General-purpose point-in-time identity verification vendors</w:t>
            </w:r>
          </w:p>
        </w:tc>
        <w:tc>
          <w:tcPr>
            <w:tcW w:type="dxa" w:w="5200"/>
            <w:shd w:fill="F4F6F9" w:val="clear"/>
            <w:tcMar>
              <w:top w:type="dxa" w:w="100"/>
              <w:left w:type="dxa" w:w="140"/>
              <w:bottom w:type="dxa" w:w="100"/>
              <w:right w:type="dxa" w:w="140"/>
            </w:tcMar>
          </w:tcPr>
          <w:p>
            <w:r>
              <w:rPr>
                <w:sz w:val="19"/>
                <w:szCs w:val="19"/>
              </w:rPr>
              <w:t xml:space="preserve">Built for a single check at onboarding, not architected for continuous, low-latency, in-call operation — see Section 2.4 for why this is a materially different engineering problem, not a smaller version of the same one.</w:t>
            </w:r>
          </w:p>
        </w:tc>
      </w:tr>
    </w:tbl>
    <w:p>
      <w:pPr>
        <w:spacing w:after="260" w:before="80"/>
      </w:pPr>
      <w:r>
        <w:rPr>
          <w:i/>
          <w:iCs/>
          <w:color w:val="6B7280"/>
          <w:sz w:val="18"/>
          <w:szCs w:val="18"/>
        </w:rPr>
        <w:t xml:space="preserve">Table 2.1 — Gaps in existing approaches, specific to live interaction.</w:t>
      </w:r>
    </w:p>
    <w:p>
      <w:pPr>
        <w:pStyle w:val="Heading2"/>
        <w:spacing w:after="180" w:before="360"/>
      </w:pPr>
      <w:r>
        <w:rPr>
          <w:b/>
          <w:bCs/>
          <w:color w:val="2E5EAA"/>
          <w:sz w:val="26"/>
          <w:szCs w:val="26"/>
        </w:rPr>
        <w:t xml:space="preserve">2.3 Why this problem is urgent now</w:t>
      </w:r>
    </w:p>
    <w:p>
      <w:pPr>
        <w:pStyle w:val="ListParagraph"/>
        <w:numPr>
          <w:ilvl w:val="0"/>
          <w:numId w:val="3"/>
        </w:numPr>
        <w:spacing w:after="100" w:line="280"/>
      </w:pPr>
      <w:r>
        <w:rPr>
          <w:sz w:val="21"/>
          <w:szCs w:val="21"/>
        </w:rPr>
        <w:t xml:space="preserve">Real-time deepfake generation — live face-swap and voice-cloning tools that operate within a live video call, not just on pre-recorded footage — has moved from research demonstration to consumer-accessible tooling within the last two years.</w:t>
      </w:r>
    </w:p>
    <w:p>
      <w:pPr>
        <w:pStyle w:val="ListParagraph"/>
        <w:numPr>
          <w:ilvl w:val="0"/>
          <w:numId w:val="3"/>
        </w:numPr>
        <w:spacing w:after="100" w:line="280"/>
      </w:pPr>
      <w:r>
        <w:rPr>
          <w:sz w:val="21"/>
          <w:szCs w:val="21"/>
        </w:rPr>
        <w:t xml:space="preserve">Corporate video-conferencing has already seen publicized incidents of deepfake-enabled impersonation used to authorize fraudulent transactions — a category of attack that specifically targets the live-call moment this document is about, not document-based identity fraud.</w:t>
      </w:r>
    </w:p>
    <w:p>
      <w:pPr>
        <w:pStyle w:val="ListParagraph"/>
        <w:numPr>
          <w:ilvl w:val="0"/>
          <w:numId w:val="3"/>
        </w:numPr>
        <w:spacing w:after="100" w:line="280"/>
      </w:pPr>
      <w:r>
        <w:rPr>
          <w:sz w:val="21"/>
          <w:szCs w:val="21"/>
        </w:rPr>
        <w:t xml:space="preserve">Dating and social platforms face a rising volume of synthetic and manipulated video profiles going live on camera, a use case existing identity-document verification has no mechanism to address at all, since no document is involved.</w:t>
      </w:r>
    </w:p>
    <w:p>
      <w:pPr>
        <w:pStyle w:val="ListParagraph"/>
        <w:numPr>
          <w:ilvl w:val="0"/>
          <w:numId w:val="3"/>
        </w:numPr>
        <w:spacing w:after="100" w:line="280"/>
      </w:pPr>
      <w:r>
        <w:rPr>
          <w:sz w:val="21"/>
          <w:szCs w:val="21"/>
        </w:rPr>
        <w:t xml:space="preserve">Livestreaming platforms increasingly host commerce, fundraising, and claims of authority (e.g. a purported official or executive going live) where a synthetically impersonated broadcaster carries direct financial and reputational cost to the platform hosting the stream.</w:t>
      </w:r>
    </w:p>
    <w:p>
      <w:pPr>
        <w:pStyle w:val="Heading2"/>
        <w:spacing w:after="180" w:before="360"/>
      </w:pPr>
      <w:r>
        <w:rPr>
          <w:b/>
          <w:bCs/>
          <w:color w:val="2E5EAA"/>
          <w:sz w:val="26"/>
          <w:szCs w:val="26"/>
        </w:rPr>
        <w:t xml:space="preserve">2.4 Why continuous, live verification is a different problem than point-in-time verification</w:t>
      </w:r>
    </w:p>
    <w:p>
      <w:pPr>
        <w:spacing w:after="200" w:line="300"/>
        <w:jc w:val="both"/>
      </w:pPr>
      <w:r>
        <w:rPr>
          <w:sz w:val="21"/>
          <w:szCs w:val="21"/>
        </w:rPr>
        <w:t xml:space="preserve">This distinction matters enough to state explicitly, since it is the central reason this document leads with a different flagship than Version 1.0. A point-in-time check has a generous latency budget (seconds), runs once, and can use a relatively heavy model. Continuous, in-call verification must run repeatedly for the duration of a call, cannot introduce perceptible call lag or degrade audio/video quality, must operate within a modest, bounded share of the device's CPU/battery/bandwidth budget, and must produce a trust signal that can meaningfully change mid-call — a live face-swap injected ten minutes into a call is a real, documented attack pattern a one-time check at call start would never catch.</w:t>
      </w:r>
    </w:p>
    <w:p>
      <w:pPr>
        <w:pStyle w:val="Heading2"/>
        <w:spacing w:after="180" w:before="360"/>
      </w:pPr>
      <w:r>
        <w:rPr>
          <w:b/>
          <w:bCs/>
          <w:color w:val="2E5EAA"/>
          <w:sz w:val="26"/>
          <w:szCs w:val="26"/>
        </w:rPr>
        <w:t xml:space="preserve">2.5 Cost of inaction</w:t>
      </w:r>
    </w:p>
    <w:p>
      <w:pPr>
        <w:spacing w:after="200" w:line="300"/>
        <w:jc w:val="both"/>
      </w:pPr>
      <w:r>
        <w:rPr>
          <w:sz w:val="21"/>
          <w:szCs w:val="21"/>
        </w:rPr>
        <w:t xml:space="preserve">For a video-calling or livestreaming platform, a single publicized incident of a synthetically impersonated participant used for fraud or harassment carries a cost that compounds beyond the direct financial loss: erosion of user trust in the platform's core promise (that a video call shows a real person), regulatory attention, and, for a platform hosting commerce or fundraising livestreams specifically, direct liability exposure. For dating platforms, catfishing and synthetic-profile fraud is already a leading driver of user churn and a recurring source of reputational damage independent of any single incident.</w:t>
      </w:r>
    </w:p>
    <w:p>
      <w:pPr>
        <w:pStyle w:val="Heading1"/>
        <w:pageBreakBefore/>
        <w:spacing w:after="240" w:before="480"/>
      </w:pPr>
      <w:r>
        <w:rPr>
          <w:b/>
          <w:bCs/>
          <w:color w:val="1A2B4C"/>
          <w:sz w:val="32"/>
          <w:szCs w:val="32"/>
        </w:rPr>
        <w:t xml:space="preserve">3. Market Opportunity</w:t>
      </w:r>
    </w:p>
    <w:p>
      <w:pPr>
        <w:pStyle w:val="Heading2"/>
        <w:spacing w:after="180" w:before="360"/>
      </w:pPr>
      <w:r>
        <w:rPr>
          <w:b/>
          <w:bCs/>
          <w:color w:val="2E5EAA"/>
          <w:sz w:val="26"/>
          <w:szCs w:val="26"/>
        </w:rPr>
        <w:t xml:space="preserve">3.1 Market sizing framework</w:t>
      </w:r>
    </w:p>
    <w:p>
      <w:pPr>
        <w:spacing w:after="200" w:line="300"/>
        <w:jc w:val="both"/>
      </w:pPr>
      <w:r>
        <w:rPr>
          <w:sz w:val="21"/>
          <w:szCs w:val="21"/>
        </w:rPr>
        <w:t xml:space="preserve">As in Version 1.0, this document deliberately avoids asserting specific TAM/SAM/SOM dollar figures without third-party sourcing validated at the time of use. The flagship pivot changes which markets matter most, not the discipline around how they should be sized.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rPr>
          <w:tblHeader/>
        </w:trPr>
        <w:tc>
          <w:tcPr>
            <w:tcW w:type="dxa" w:w="1600"/>
            <w:shd w:fill="1A2B4C" w:val="clear"/>
            <w:tcMar>
              <w:top w:type="dxa" w:w="100"/>
              <w:left w:type="dxa" w:w="140"/>
              <w:bottom w:type="dxa" w:w="100"/>
              <w:right w:type="dxa" w:w="140"/>
            </w:tcMar>
          </w:tcPr>
          <w:p>
            <w:r>
              <w:rPr>
                <w:b/>
                <w:bCs/>
                <w:color w:val="FFFFFF"/>
                <w:sz w:val="19"/>
                <w:szCs w:val="19"/>
              </w:rPr>
              <w:t xml:space="preserve">Layer</w:t>
            </w:r>
          </w:p>
        </w:tc>
        <w:tc>
          <w:tcPr>
            <w:tcW w:type="dxa" w:w="8200"/>
            <w:shd w:fill="1A2B4C" w:val="clear"/>
            <w:tcMar>
              <w:top w:type="dxa" w:w="100"/>
              <w:left w:type="dxa" w:w="140"/>
              <w:bottom w:type="dxa" w:w="100"/>
              <w:right w:type="dxa" w:w="140"/>
            </w:tcMar>
          </w:tcPr>
          <w:p>
            <w:r>
              <w:rPr>
                <w:b/>
                <w:bCs/>
                <w:color w:val="FFFFFF"/>
                <w:sz w:val="19"/>
                <w:szCs w:val="19"/>
              </w:rPr>
              <w:t xml:space="preserve">Definition (revised for the flagship)</w:t>
            </w:r>
          </w:p>
        </w:tc>
      </w:tr>
      <w:tr>
        <w:tc>
          <w:tcPr>
            <w:tcW w:type="dxa" w:w="1600"/>
            <w:shd w:fill="F4F6F9" w:val="clear"/>
            <w:tcMar>
              <w:top w:type="dxa" w:w="100"/>
              <w:left w:type="dxa" w:w="140"/>
              <w:bottom w:type="dxa" w:w="100"/>
              <w:right w:type="dxa" w:w="140"/>
            </w:tcMar>
          </w:tcPr>
          <w:p>
            <w:r>
              <w:rPr>
                <w:sz w:val="19"/>
                <w:szCs w:val="19"/>
              </w:rPr>
              <w:t xml:space="preserve">TAM</w:t>
            </w:r>
          </w:p>
        </w:tc>
        <w:tc>
          <w:tcPr>
            <w:tcW w:type="dxa" w:w="8200"/>
            <w:shd w:fill="F4F6F9" w:val="clear"/>
            <w:tcMar>
              <w:top w:type="dxa" w:w="100"/>
              <w:left w:type="dxa" w:w="140"/>
              <w:bottom w:type="dxa" w:w="100"/>
              <w:right w:type="dxa" w:w="140"/>
            </w:tcMar>
          </w:tcPr>
          <w:p>
            <w:r>
              <w:rPr>
                <w:sz w:val="19"/>
                <w:szCs w:val="19"/>
              </w:rPr>
              <w:t xml:space="preserve">Total spend on trust &amp; safety, fraud prevention, and identity infrastructure across video-calling, dating, livestreaming, and remote-meeting platforms globally, plus the pre-existing identity-verification/fraud-prevention markets this platform will later extend into.</w:t>
            </w:r>
          </w:p>
        </w:tc>
      </w:tr>
      <w:tr>
        <w:tc>
          <w:tcPr>
            <w:tcW w:type="dxa" w:w="1600"/>
            <w:shd w:fill="FFFFFF" w:val="clear"/>
            <w:tcMar>
              <w:top w:type="dxa" w:w="100"/>
              <w:left w:type="dxa" w:w="140"/>
              <w:bottom w:type="dxa" w:w="100"/>
              <w:right w:type="dxa" w:w="140"/>
            </w:tcMar>
          </w:tcPr>
          <w:p>
            <w:r>
              <w:rPr>
                <w:sz w:val="19"/>
                <w:szCs w:val="19"/>
              </w:rPr>
              <w:t xml:space="preserve">SAM</w:t>
            </w:r>
          </w:p>
        </w:tc>
        <w:tc>
          <w:tcPr>
            <w:tcW w:type="dxa" w:w="8200"/>
            <w:shd w:fill="FFFFFF" w:val="clear"/>
            <w:tcMar>
              <w:top w:type="dxa" w:w="100"/>
              <w:left w:type="dxa" w:w="140"/>
              <w:bottom w:type="dxa" w:w="100"/>
              <w:right w:type="dxa" w:w="140"/>
            </w:tcMar>
          </w:tcPr>
          <w:p>
            <w:r>
              <w:rPr>
                <w:sz w:val="19"/>
                <w:szCs w:val="19"/>
              </w:rPr>
              <w:t xml:space="preserve">Spend addressable by an embeddable, continuous, real-time verification SDK serving calling, dating, and streaming platforms specifically — a narrower, newer category than general identity verification, without mature third-party market sizing yet.</w:t>
            </w:r>
          </w:p>
        </w:tc>
      </w:tr>
      <w:tr>
        <w:tc>
          <w:tcPr>
            <w:tcW w:type="dxa" w:w="1600"/>
            <w:shd w:fill="F4F6F9" w:val="clear"/>
            <w:tcMar>
              <w:top w:type="dxa" w:w="100"/>
              <w:left w:type="dxa" w:w="140"/>
              <w:bottom w:type="dxa" w:w="100"/>
              <w:right w:type="dxa" w:w="140"/>
            </w:tcMar>
          </w:tcPr>
          <w:p>
            <w:r>
              <w:rPr>
                <w:sz w:val="19"/>
                <w:szCs w:val="19"/>
              </w:rPr>
              <w:t xml:space="preserve">SOM</w:t>
            </w:r>
          </w:p>
        </w:tc>
        <w:tc>
          <w:tcPr>
            <w:tcW w:type="dxa" w:w="8200"/>
            <w:shd w:fill="F4F6F9" w:val="clear"/>
            <w:tcMar>
              <w:top w:type="dxa" w:w="100"/>
              <w:left w:type="dxa" w:w="140"/>
              <w:bottom w:type="dxa" w:w="100"/>
              <w:right w:type="dxa" w:w="140"/>
            </w:tcMar>
          </w:tcPr>
          <w:p>
            <w:r>
              <w:rPr>
                <w:sz w:val="19"/>
                <w:szCs w:val="19"/>
              </w:rPr>
              <w:t xml:space="preserve">Realistic 2-3 year serviceable obtainable market given a focused SDK-partnership motion (Path A) with a small number of design-partner platforms before broader availability.</w:t>
            </w:r>
          </w:p>
        </w:tc>
      </w:tr>
    </w:tbl>
    <w:p>
      <w:pPr>
        <w:spacing w:after="260" w:before="80"/>
      </w:pPr>
      <w:r>
        <w:rPr>
          <w:i/>
          <w:iCs/>
          <w:color w:val="6B7280"/>
          <w:sz w:val="18"/>
          <w:szCs w:val="18"/>
        </w:rPr>
        <w:t xml:space="preserve">Table 3.1 — Market sizing framework, revised for the flagship. Dollar figures require validation against current third-party research before external use, exactly as Version 1.0 required for its own market sizing.</w:t>
      </w:r>
    </w:p>
    <w:p>
      <w:pPr>
        <w:pStyle w:val="Heading2"/>
        <w:spacing w:after="180" w:before="360"/>
      </w:pPr>
      <w:r>
        <w:rPr>
          <w:b/>
          <w:bCs/>
          <w:color w:val="2E5EAA"/>
          <w:sz w:val="26"/>
          <w:szCs w:val="26"/>
        </w:rPr>
        <w:t xml:space="preserve">3.2 Market trends in our favor</w:t>
      </w:r>
    </w:p>
    <w:p>
      <w:pPr>
        <w:pStyle w:val="ListParagraph"/>
        <w:numPr>
          <w:ilvl w:val="0"/>
          <w:numId w:val="2"/>
        </w:numPr>
        <w:spacing w:after="100" w:line="280"/>
      </w:pPr>
      <w:r>
        <w:rPr>
          <w:sz w:val="21"/>
          <w:szCs w:val="21"/>
        </w:rPr>
        <w:t xml:space="preserve">Video-calling, dating, and livestreaming platforms are experiencing rising publicized deepfake and impersonation incidents, creating board-level and regulatory attention independent of Certivo's own go-to-market efforts.</w:t>
      </w:r>
    </w:p>
    <w:p>
      <w:pPr>
        <w:pStyle w:val="ListParagraph"/>
        <w:numPr>
          <w:ilvl w:val="0"/>
          <w:numId w:val="2"/>
        </w:numPr>
        <w:spacing w:after="100" w:line="280"/>
      </w:pPr>
      <w:r>
        <w:rPr>
          <w:sz w:val="21"/>
          <w:szCs w:val="21"/>
        </w:rPr>
        <w:t xml:space="preserve">The SDK-embed distribution model has a proven precedent: trust &amp; safety and fraud-detection capabilities are increasingly bought as embedded infrastructure (an SDK or API) rather than built in-house, the same pattern that built the original point-in-time identity-verification market this document's Version 1.0 targeted.</w:t>
      </w:r>
    </w:p>
    <w:p>
      <w:pPr>
        <w:pStyle w:val="ListParagraph"/>
        <w:numPr>
          <w:ilvl w:val="0"/>
          <w:numId w:val="2"/>
        </w:numPr>
        <w:spacing w:after="100" w:line="280"/>
      </w:pPr>
      <w:r>
        <w:rPr>
          <w:sz w:val="21"/>
          <w:szCs w:val="21"/>
        </w:rPr>
        <w:t xml:space="preserve">Regulatory attention on AI-generated and manipulated media is rising globally, increasing platforms' willingness to pay for a defensible, real-time authenticity signal specifically for live video.</w:t>
      </w:r>
    </w:p>
    <w:p>
      <w:pPr>
        <w:pStyle w:val="Heading2"/>
        <w:spacing w:after="180" w:before="360"/>
      </w:pPr>
      <w:r>
        <w:rPr>
          <w:b/>
          <w:bCs/>
          <w:color w:val="2E5EAA"/>
          <w:sz w:val="26"/>
          <w:szCs w:val="26"/>
        </w:rPr>
        <w:t xml:space="preserve">3.3 Why now, why us</w:t>
      </w:r>
    </w:p>
    <w:p>
      <w:pPr>
        <w:spacing w:after="200" w:line="300"/>
        <w:jc w:val="both"/>
      </w:pPr>
      <w:r>
        <w:rPr>
          <w:sz w:val="21"/>
          <w:szCs w:val="21"/>
        </w:rPr>
        <w:t xml:space="preserve">The technical bar for continuous, real-time authenticity verification is high enough — low-latency inference, bandwidth-conscious architecture, a fundamentally different model class than point-in-time detection (Section 2.4) — that it favors a company built from the start around this specific engineering problem, rather than a point-in-time identity-verification incumbent retrofitting their existing product for continuous operation. Certivo's privacy-by-design architecture and cryptographic attestation model, both already central to the original design, are directly reusable here and remain a meaningful differentiator against a hypothetical competitor building continuous verification without that foundation.</w:t>
      </w:r>
    </w:p>
    <w:p>
      <w:pPr>
        <w:pStyle w:val="Heading2"/>
        <w:spacing w:after="180" w:before="360"/>
      </w:pPr>
      <w:r>
        <w:rPr>
          <w:b/>
          <w:bCs/>
          <w:color w:val="2E5EAA"/>
          <w:sz w:val="26"/>
          <w:szCs w:val="26"/>
        </w:rPr>
        <w:t xml:space="preserve">3.4 Competitive landscape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shd w:fill="1A2B4C" w:val="clear"/>
            <w:tcMar>
              <w:top w:type="dxa" w:w="100"/>
              <w:left w:type="dxa" w:w="140"/>
              <w:bottom w:type="dxa" w:w="100"/>
              <w:right w:type="dxa" w:w="140"/>
            </w:tcMar>
          </w:tcPr>
          <w:p>
            <w:r>
              <w:rPr>
                <w:b/>
                <w:bCs/>
                <w:color w:val="FFFFFF"/>
                <w:sz w:val="19"/>
                <w:szCs w:val="19"/>
              </w:rPr>
              <w:t xml:space="preserve">Category</w:t>
            </w:r>
          </w:p>
        </w:tc>
        <w:tc>
          <w:tcPr>
            <w:tcW w:type="dxa" w:w="3400"/>
            <w:shd w:fill="1A2B4C" w:val="clear"/>
            <w:tcMar>
              <w:top w:type="dxa" w:w="100"/>
              <w:left w:type="dxa" w:w="140"/>
              <w:bottom w:type="dxa" w:w="100"/>
              <w:right w:type="dxa" w:w="140"/>
            </w:tcMar>
          </w:tcPr>
          <w:p>
            <w:r>
              <w:rPr>
                <w:b/>
                <w:bCs/>
                <w:color w:val="FFFFFF"/>
                <w:sz w:val="19"/>
                <w:szCs w:val="19"/>
              </w:rPr>
              <w:t xml:space="preserve">Representative approach</w:t>
            </w:r>
          </w:p>
        </w:tc>
        <w:tc>
          <w:tcPr>
            <w:tcW w:type="dxa" w:w="3200"/>
            <w:shd w:fill="1A2B4C" w:val="clear"/>
            <w:tcMar>
              <w:top w:type="dxa" w:w="100"/>
              <w:left w:type="dxa" w:w="140"/>
              <w:bottom w:type="dxa" w:w="100"/>
              <w:right w:type="dxa" w:w="140"/>
            </w:tcMar>
          </w:tcPr>
          <w:p>
            <w:r>
              <w:rPr>
                <w:b/>
                <w:bCs/>
                <w:color w:val="FFFFFF"/>
                <w:sz w:val="19"/>
                <w:szCs w:val="19"/>
              </w:rPr>
              <w:t xml:space="preserve">Where Certivo differentiates</w:t>
            </w:r>
          </w:p>
        </w:tc>
      </w:tr>
      <w:tr>
        <w:tc>
          <w:tcPr>
            <w:tcW w:type="dxa" w:w="2800"/>
            <w:shd w:fill="F4F6F9" w:val="clear"/>
            <w:tcMar>
              <w:top w:type="dxa" w:w="100"/>
              <w:left w:type="dxa" w:w="140"/>
              <w:bottom w:type="dxa" w:w="100"/>
              <w:right w:type="dxa" w:w="140"/>
            </w:tcMar>
          </w:tcPr>
          <w:p>
            <w:r>
              <w:rPr>
                <w:sz w:val="19"/>
                <w:szCs w:val="19"/>
              </w:rPr>
              <w:t xml:space="preserve">Point-in-time identity verification incumbents</w:t>
            </w:r>
          </w:p>
        </w:tc>
        <w:tc>
          <w:tcPr>
            <w:tcW w:type="dxa" w:w="3400"/>
            <w:shd w:fill="F4F6F9" w:val="clear"/>
            <w:tcMar>
              <w:top w:type="dxa" w:w="100"/>
              <w:left w:type="dxa" w:w="140"/>
              <w:bottom w:type="dxa" w:w="100"/>
              <w:right w:type="dxa" w:w="140"/>
            </w:tcMar>
          </w:tcPr>
          <w:p>
            <w:r>
              <w:rPr>
                <w:sz w:val="19"/>
                <w:szCs w:val="19"/>
              </w:rPr>
              <w:t xml:space="preserve">One-time document/selfie checks at signup; not architected for continuous, in-session operation</w:t>
            </w:r>
          </w:p>
        </w:tc>
        <w:tc>
          <w:tcPr>
            <w:tcW w:type="dxa" w:w="3200"/>
            <w:shd w:fill="F4F6F9" w:val="clear"/>
            <w:tcMar>
              <w:top w:type="dxa" w:w="100"/>
              <w:left w:type="dxa" w:w="140"/>
              <w:bottom w:type="dxa" w:w="100"/>
              <w:right w:type="dxa" w:w="140"/>
            </w:tcMar>
          </w:tcPr>
          <w:p>
            <w:r>
              <w:rPr>
                <w:sz w:val="19"/>
                <w:szCs w:val="19"/>
              </w:rPr>
              <w:t xml:space="preserve">Purpose-built continuous inference pipeline within a live call's latency and bandwidth budget, not a retrofit</w:t>
            </w:r>
          </w:p>
        </w:tc>
      </w:tr>
      <w:tr>
        <w:tc>
          <w:tcPr>
            <w:tcW w:type="dxa" w:w="2800"/>
            <w:shd w:fill="FFFFFF" w:val="clear"/>
            <w:tcMar>
              <w:top w:type="dxa" w:w="100"/>
              <w:left w:type="dxa" w:w="140"/>
              <w:bottom w:type="dxa" w:w="100"/>
              <w:right w:type="dxa" w:w="140"/>
            </w:tcMar>
          </w:tcPr>
          <w:p>
            <w:r>
              <w:rPr>
                <w:sz w:val="19"/>
                <w:szCs w:val="19"/>
              </w:rPr>
              <w:t xml:space="preserve">Platform-native trust &amp; safety tooling</w:t>
            </w:r>
          </w:p>
        </w:tc>
        <w:tc>
          <w:tcPr>
            <w:tcW w:type="dxa" w:w="3400"/>
            <w:shd w:fill="FFFFFF" w:val="clear"/>
            <w:tcMar>
              <w:top w:type="dxa" w:w="100"/>
              <w:left w:type="dxa" w:w="140"/>
              <w:bottom w:type="dxa" w:w="100"/>
              <w:right w:type="dxa" w:w="140"/>
            </w:tcMar>
          </w:tcPr>
          <w:p>
            <w:r>
              <w:rPr>
                <w:sz w:val="19"/>
                <w:szCs w:val="19"/>
              </w:rPr>
              <w:t xml:space="preserve">Behavioral analytics and reporting systems, largely reactive</w:t>
            </w:r>
          </w:p>
        </w:tc>
        <w:tc>
          <w:tcPr>
            <w:tcW w:type="dxa" w:w="3200"/>
            <w:shd w:fill="FFFFFF" w:val="clear"/>
            <w:tcMar>
              <w:top w:type="dxa" w:w="100"/>
              <w:left w:type="dxa" w:w="140"/>
              <w:bottom w:type="dxa" w:w="100"/>
              <w:right w:type="dxa" w:w="140"/>
            </w:tcMar>
          </w:tcPr>
          <w:p>
            <w:r>
              <w:rPr>
                <w:sz w:val="19"/>
                <w:szCs w:val="19"/>
              </w:rPr>
              <w:t xml:space="preserve">Real-time, in-call signal available to both the platform and, symmetrically, to the participants themselves</w:t>
            </w:r>
          </w:p>
        </w:tc>
      </w:tr>
      <w:tr>
        <w:tc>
          <w:tcPr>
            <w:tcW w:type="dxa" w:w="2800"/>
            <w:shd w:fill="F4F6F9" w:val="clear"/>
            <w:tcMar>
              <w:top w:type="dxa" w:w="100"/>
              <w:left w:type="dxa" w:w="140"/>
              <w:bottom w:type="dxa" w:w="100"/>
              <w:right w:type="dxa" w:w="140"/>
            </w:tcMar>
          </w:tcPr>
          <w:p>
            <w:r>
              <w:rPr>
                <w:sz w:val="19"/>
                <w:szCs w:val="19"/>
              </w:rPr>
              <w:t xml:space="preserve">General deepfake-detection research APIs</w:t>
            </w:r>
          </w:p>
        </w:tc>
        <w:tc>
          <w:tcPr>
            <w:tcW w:type="dxa" w:w="3400"/>
            <w:shd w:fill="F4F6F9" w:val="clear"/>
            <w:tcMar>
              <w:top w:type="dxa" w:w="100"/>
              <w:left w:type="dxa" w:w="140"/>
              <w:bottom w:type="dxa" w:w="100"/>
              <w:right w:type="dxa" w:w="140"/>
            </w:tcMar>
          </w:tcPr>
          <w:p>
            <w:r>
              <w:rPr>
                <w:sz w:val="19"/>
                <w:szCs w:val="19"/>
              </w:rPr>
              <w:t xml:space="preserve">Detection on uploaded/recorded media, not live streams</w:t>
            </w:r>
          </w:p>
        </w:tc>
        <w:tc>
          <w:tcPr>
            <w:tcW w:type="dxa" w:w="3200"/>
            <w:shd w:fill="F4F6F9" w:val="clear"/>
            <w:tcMar>
              <w:top w:type="dxa" w:w="100"/>
              <w:left w:type="dxa" w:w="140"/>
              <w:bottom w:type="dxa" w:w="100"/>
              <w:right w:type="dxa" w:w="140"/>
            </w:tcMar>
          </w:tcPr>
          <w:p>
            <w:r>
              <w:rPr>
                <w:sz w:val="19"/>
                <w:szCs w:val="19"/>
              </w:rPr>
              <w:t xml:space="preserve">Designed from the ground up for live, ongoing, multi-participant streams rather than post-hoc analysis of a finished recording</w:t>
            </w:r>
          </w:p>
        </w:tc>
      </w:tr>
    </w:tbl>
    <w:p>
      <w:pPr>
        <w:spacing w:after="260" w:before="80"/>
      </w:pPr>
      <w:r>
        <w:rPr>
          <w:i/>
          <w:iCs/>
          <w:color w:val="6B7280"/>
          <w:sz w:val="18"/>
          <w:szCs w:val="18"/>
        </w:rPr>
        <w:t xml:space="preserve">Table 3.2 — Competitive landscape for the flagship use case.</w:t>
      </w:r>
    </w:p>
    <w:p>
      <w:pPr>
        <w:pStyle w:val="Heading2"/>
        <w:spacing w:after="180" w:before="360"/>
      </w:pPr>
      <w:r>
        <w:rPr>
          <w:b/>
          <w:bCs/>
          <w:color w:val="2E5EAA"/>
          <w:sz w:val="26"/>
          <w:szCs w:val="26"/>
        </w:rPr>
        <w:t xml:space="preserve">3.5 Opportunity by vertical</w:t>
      </w:r>
    </w:p>
    <w:p>
      <w:pPr>
        <w:spacing w:after="200" w:line="300"/>
        <w:jc w:val="both"/>
      </w:pPr>
      <w:r>
        <w:rPr>
          <w:sz w:val="21"/>
          <w:szCs w:val="21"/>
        </w:rPr>
        <w:t xml:space="preserve">The flagship (video-calling and remote-meeting platforms) leads; dating and livestreaming follow closely given similar technical requirements; the original point-in-time verticals (fintech, healthcare, hiring) remain valid, later-stage applications of the same platform.</w:t>
      </w:r>
    </w:p>
    <w:p>
      <w:pPr>
        <w:pStyle w:val="Heading3"/>
        <w:spacing w:after="140" w:before="280"/>
      </w:pPr>
      <w:r>
        <w:rPr>
          <w:b/>
          <w:bCs/>
          <w:color w:val="1A2B4C"/>
          <w:sz w:val="22"/>
          <w:szCs w:val="22"/>
        </w:rPr>
        <w:t xml:space="preserve">Video-calling and remote-meeting platforms — the flagship</w:t>
      </w:r>
    </w:p>
    <w:p>
      <w:pPr>
        <w:spacing w:after="200" w:line="300"/>
        <w:jc w:val="both"/>
      </w:pPr>
      <w:r>
        <w:rPr>
          <w:sz w:val="21"/>
          <w:szCs w:val="21"/>
        </w:rPr>
        <w:t xml:space="preserve">Corporate video-conferencing and remote-meeting tools face direct fraud exposure from deepfake-enabled impersonation in business contexts, and are the vertical with the clearest willingness to pay for a real-time authenticity signal given the direct financial stakes of business communication.</w:t>
      </w:r>
    </w:p>
    <w:p>
      <w:pPr>
        <w:pStyle w:val="Heading3"/>
        <w:spacing w:after="140" w:before="280"/>
      </w:pPr>
      <w:r>
        <w:rPr>
          <w:b/>
          <w:bCs/>
          <w:color w:val="1A2B4C"/>
          <w:sz w:val="22"/>
          <w:szCs w:val="22"/>
        </w:rPr>
        <w:t xml:space="preserve">Dating platforms</w:t>
      </w:r>
    </w:p>
    <w:p>
      <w:pPr>
        <w:spacing w:after="200" w:line="300"/>
        <w:jc w:val="both"/>
      </w:pPr>
      <w:r>
        <w:rPr>
          <w:sz w:val="21"/>
          <w:szCs w:val="21"/>
        </w:rPr>
        <w:t xml:space="preserve">Catfishing and synthetic video profiles are a well-documented, high-churn problem for dating platforms specifically, and video-based verification (rather than a static photo check) is a natural, high-value extension of what many dating platforms already ask users to do (a 'video selfie' verification step) — Certivo's continuous model extends this from a one-time check into an ongoing guarantee for video calls conducted through the platform.</w:t>
      </w:r>
    </w:p>
    <w:p>
      <w:pPr>
        <w:pStyle w:val="Heading3"/>
        <w:spacing w:after="140" w:before="280"/>
      </w:pPr>
      <w:r>
        <w:rPr>
          <w:b/>
          <w:bCs/>
          <w:color w:val="1A2B4C"/>
          <w:sz w:val="22"/>
          <w:szCs w:val="22"/>
        </w:rPr>
        <w:t xml:space="preserve">Livestreaming and social/live-media platforms</w:t>
      </w:r>
    </w:p>
    <w:p>
      <w:pPr>
        <w:spacing w:after="200" w:line="300"/>
        <w:jc w:val="both"/>
      </w:pPr>
      <w:r>
        <w:rPr>
          <w:sz w:val="21"/>
          <w:szCs w:val="21"/>
        </w:rPr>
        <w:t xml:space="preserve">Livestreaming platforms hosting commerce, fundraising, or claims of official authority face direct liability from a synthetically impersonated broadcaster; a continuous, real-time authenticity signal is a differentiator these platforms can surface directly to viewers, not only use internally for moderation.</w:t>
      </w:r>
    </w:p>
    <w:p>
      <w:pPr>
        <w:pStyle w:val="Heading3"/>
        <w:spacing w:after="140" w:before="280"/>
      </w:pPr>
      <w:r>
        <w:rPr>
          <w:b/>
          <w:bCs/>
          <w:color w:val="1A2B4C"/>
          <w:sz w:val="22"/>
          <w:szCs w:val="22"/>
        </w:rPr>
        <w:t xml:space="preserve">Fintech, healthcare, and hiring — retained, sequenced later</w:t>
      </w:r>
    </w:p>
    <w:p>
      <w:pPr>
        <w:spacing w:after="200" w:line="300"/>
        <w:jc w:val="both"/>
      </w:pPr>
      <w:r>
        <w:rPr>
          <w:sz w:val="21"/>
          <w:szCs w:val="21"/>
        </w:rPr>
        <w:t xml:space="preserve">These verticals, detailed fully in Version 1.0 of this document, remain valid and are retained as Phase 2+ applications of the same underlying platform (Section 9), extending from live-call verification into point-in-time verification use cases rather than the reverse.</w:t>
      </w:r>
    </w:p>
    <w:p>
      <w:pPr>
        <w:pStyle w:val="Heading1"/>
        <w:pageBreakBefore/>
        <w:spacing w:after="240" w:before="480"/>
      </w:pPr>
      <w:r>
        <w:rPr>
          <w:b/>
          <w:bCs/>
          <w:color w:val="1A2B4C"/>
          <w:sz w:val="32"/>
          <w:szCs w:val="32"/>
        </w:rPr>
        <w:t xml:space="preserve">4. User Personas</w:t>
      </w:r>
    </w:p>
    <w:p>
      <w:pPr>
        <w:spacing w:after="200" w:line="300"/>
        <w:jc w:val="both"/>
      </w:pPr>
      <w:r>
        <w:rPr>
          <w:sz w:val="21"/>
          <w:szCs w:val="21"/>
        </w:rPr>
        <w:t xml:space="preserve">Revised to lead with the flagship's buying committee and end users. The original fintech-focused personas (Maya Osei, Daniel Cho, Elena Vasquez, Priya Nair) remain valid for the Phase 2+ verticals and are retained in full in Version 1.0 of this document; they are not repeated here to keep this revision focused, but they are not deprecated.</w:t>
      </w:r>
    </w:p>
    <w:p>
      <w:pPr>
        <w:pStyle w:val="Heading2"/>
        <w:spacing w:after="180" w:before="360"/>
      </w:pPr>
      <w:r>
        <w:rPr>
          <w:b/>
          <w:bCs/>
          <w:color w:val="2E5EAA"/>
          <w:sz w:val="26"/>
          <w:szCs w:val="26"/>
        </w:rPr>
        <w:t xml:space="preserve">4.1 Buyer / integrator personas (new, primary)</w:t>
      </w:r>
    </w:p>
    <w:p>
      <w:pPr>
        <w:pStyle w:val="Heading3"/>
        <w:spacing w:after="140" w:before="280"/>
      </w:pPr>
      <w:r>
        <w:rPr>
          <w:b/>
          <w:bCs/>
          <w:color w:val="1A2B4C"/>
          <w:sz w:val="22"/>
          <w:szCs w:val="22"/>
        </w:rPr>
        <w:t xml:space="preserve">Jordan Reyes — Head of Trust &amp; Safety, video-calling platform</w:t>
      </w:r>
    </w:p>
    <w:p>
      <w:pPr>
        <w:spacing w:after="200" w:line="300"/>
        <w:jc w:val="both"/>
      </w:pPr>
      <w:r>
        <w:rPr>
          <w:sz w:val="21"/>
          <w:szCs w:val="21"/>
        </w:rPr>
        <w:t xml:space="preserve">Context: Mid-size remote-meeting and video-calling platform, millions of monthly call-minutes, growing enterprise customer base concerned about impersonation fraud.</w:t>
      </w:r>
    </w:p>
    <w:p>
      <w:pPr>
        <w:spacing w:after="80"/>
      </w:pPr>
      <w:r>
        <w:rPr>
          <w:b/>
          <w:bCs/>
          <w:color w:val="2E5EAA"/>
          <w:sz w:val="21"/>
          <w:szCs w:val="21"/>
        </w:rPr>
        <w:t xml:space="preserve">Goals</w:t>
      </w:r>
    </w:p>
    <w:p>
      <w:pPr>
        <w:pStyle w:val="ListParagraph"/>
        <w:numPr>
          <w:ilvl w:val="0"/>
          <w:numId w:val="2"/>
        </w:numPr>
        <w:spacing w:after="100" w:line="280"/>
      </w:pPr>
      <w:r>
        <w:rPr>
          <w:sz w:val="21"/>
          <w:szCs w:val="21"/>
        </w:rPr>
        <w:t xml:space="preserve">Give enterprise customers a credible answer to 'how do you know the person on this call is real' without building the capability in-house.</w:t>
      </w:r>
    </w:p>
    <w:p>
      <w:pPr>
        <w:pStyle w:val="ListParagraph"/>
        <w:numPr>
          <w:ilvl w:val="0"/>
          <w:numId w:val="2"/>
        </w:numPr>
        <w:spacing w:after="100" w:line="280"/>
      </w:pPr>
      <w:r>
        <w:rPr>
          <w:sz w:val="21"/>
          <w:szCs w:val="21"/>
        </w:rPr>
        <w:t xml:space="preserve">Reduce the platform's own liability exposure from a publicized deepfake-impersonation incident.</w:t>
      </w:r>
    </w:p>
    <w:p>
      <w:pPr>
        <w:pStyle w:val="ListParagraph"/>
        <w:numPr>
          <w:ilvl w:val="0"/>
          <w:numId w:val="2"/>
        </w:numPr>
        <w:spacing w:after="100" w:line="280"/>
      </w:pPr>
      <w:r>
        <w:rPr>
          <w:sz w:val="21"/>
          <w:szCs w:val="21"/>
        </w:rPr>
        <w:t xml:space="preserve">Roll out a trust signal that doesn't degrade call quality or add noticeable latency, since call quality is the platform's core product promise.</w:t>
      </w:r>
    </w:p>
    <w:p>
      <w:pPr>
        <w:spacing w:after="80" w:before="120"/>
      </w:pPr>
      <w:r>
        <w:rPr>
          <w:b/>
          <w:bCs/>
          <w:color w:val="B3261E"/>
          <w:sz w:val="21"/>
          <w:szCs w:val="21"/>
        </w:rPr>
        <w:t xml:space="preserve">Pain points today</w:t>
      </w:r>
    </w:p>
    <w:p>
      <w:pPr>
        <w:pStyle w:val="ListParagraph"/>
        <w:numPr>
          <w:ilvl w:val="0"/>
          <w:numId w:val="2"/>
        </w:numPr>
        <w:spacing w:after="100" w:line="280"/>
      </w:pPr>
      <w:r>
        <w:rPr>
          <w:sz w:val="21"/>
          <w:szCs w:val="21"/>
        </w:rPr>
        <w:t xml:space="preserve">No existing vendor offers continuous, in-call verification — every option found so far is a one-time identity check, useless for an ongoing call.</w:t>
      </w:r>
    </w:p>
    <w:p>
      <w:pPr>
        <w:pStyle w:val="ListParagraph"/>
        <w:numPr>
          <w:ilvl w:val="0"/>
          <w:numId w:val="2"/>
        </w:numPr>
        <w:spacing w:after="100" w:line="280"/>
      </w:pPr>
      <w:r>
        <w:rPr>
          <w:sz w:val="21"/>
          <w:szCs w:val="21"/>
        </w:rPr>
        <w:t xml:space="preserve">Building this in-house would require a dedicated ML research team solving a problem outside the platform's core competency.</w:t>
      </w:r>
    </w:p>
    <w:p>
      <w:pPr>
        <w:pStyle w:val="ListParagraph"/>
        <w:numPr>
          <w:ilvl w:val="0"/>
          <w:numId w:val="2"/>
        </w:numPr>
        <w:spacing w:after="100" w:line="280"/>
      </w:pPr>
      <w:r>
        <w:rPr>
          <w:sz w:val="21"/>
          <w:szCs w:val="21"/>
        </w:rPr>
        <w:t xml:space="preserve">Any solution that adds visible lag or drops call quality is a non-starter regardless of its accuracy.</w:t>
      </w:r>
    </w:p>
    <w:p>
      <w:pPr>
        <w:spacing w:after="80" w:before="120"/>
      </w:pPr>
      <w:r>
        <w:rPr>
          <w:b/>
          <w:bCs/>
          <w:color w:val="1E7A46"/>
          <w:sz w:val="21"/>
          <w:szCs w:val="21"/>
        </w:rPr>
        <w:t xml:space="preserve">What success looks like with Certivo</w:t>
      </w:r>
    </w:p>
    <w:p>
      <w:pPr>
        <w:pStyle w:val="ListParagraph"/>
        <w:numPr>
          <w:ilvl w:val="0"/>
          <w:numId w:val="2"/>
        </w:numPr>
        <w:spacing w:after="100" w:line="280"/>
      </w:pPr>
      <w:r>
        <w:rPr>
          <w:sz w:val="21"/>
          <w:szCs w:val="21"/>
        </w:rPr>
        <w:t xml:space="preserve">A single SDK integration adds a continuously updated trust signal to every call, with a latency and bandwidth budget validated against the platform's own real call traffic before launch.</w:t>
      </w:r>
    </w:p>
    <w:p>
      <w:pPr>
        <w:pStyle w:val="ListParagraph"/>
        <w:numPr>
          <w:ilvl w:val="0"/>
          <w:numId w:val="2"/>
        </w:numPr>
        <w:spacing w:after="100" w:line="280"/>
      </w:pPr>
      <w:r>
        <w:rPr>
          <w:sz w:val="21"/>
          <w:szCs w:val="21"/>
        </w:rPr>
        <w:t xml:space="preserve">The platform can point to a specific, explainable trust score when a customer asks how impersonation risk is handled.</w:t>
      </w:r>
    </w:p>
    <w:p>
      <w:pPr>
        <w:pStyle w:val="ListParagraph"/>
        <w:numPr>
          <w:ilvl w:val="0"/>
          <w:numId w:val="2"/>
        </w:numPr>
        <w:spacing w:after="100" w:line="280"/>
      </w:pPr>
      <w:r>
        <w:rPr>
          <w:sz w:val="21"/>
          <w:szCs w:val="21"/>
        </w:rPr>
        <w:t xml:space="preserve">Rollout is staged (Section 9) so the platform can validate call-quality impact with real traffic before full deployment.</w:t>
      </w:r>
    </w:p>
    <w:p>
      <w:pPr>
        <w:spacing w:after="240"/>
      </w:pPr>
    </w:p>
    <w:p>
      <w:pPr>
        <w:pStyle w:val="Heading3"/>
        <w:spacing w:after="140" w:before="280"/>
      </w:pPr>
      <w:r>
        <w:rPr>
          <w:b/>
          <w:bCs/>
          <w:color w:val="1A2B4C"/>
          <w:sz w:val="22"/>
          <w:szCs w:val="22"/>
        </w:rPr>
        <w:t xml:space="preserve">Priya Shah — Staff Engineer, dating platform</w:t>
      </w:r>
    </w:p>
    <w:p>
      <w:pPr>
        <w:spacing w:after="200" w:line="300"/>
        <w:jc w:val="both"/>
      </w:pPr>
      <w:r>
        <w:rPr>
          <w:sz w:val="21"/>
          <w:szCs w:val="21"/>
        </w:rPr>
        <w:t xml:space="preserve">Context: Consumer dating platform integrating video-call verification into its existing 'video selfie' identity-check feature.</w:t>
      </w:r>
    </w:p>
    <w:p>
      <w:pPr>
        <w:spacing w:after="80"/>
      </w:pPr>
      <w:r>
        <w:rPr>
          <w:b/>
          <w:bCs/>
          <w:color w:val="2E5EAA"/>
          <w:sz w:val="21"/>
          <w:szCs w:val="21"/>
        </w:rPr>
        <w:t xml:space="preserve">Goals</w:t>
      </w:r>
    </w:p>
    <w:p>
      <w:pPr>
        <w:pStyle w:val="ListParagraph"/>
        <w:numPr>
          <w:ilvl w:val="0"/>
          <w:numId w:val="2"/>
        </w:numPr>
        <w:spacing w:after="100" w:line="280"/>
      </w:pPr>
      <w:r>
        <w:rPr>
          <w:sz w:val="21"/>
          <w:szCs w:val="21"/>
        </w:rPr>
        <w:t xml:space="preserve">Extend the platform's existing one-time video verification into an ongoing guarantee for video calls conducted through the platform.</w:t>
      </w:r>
    </w:p>
    <w:p>
      <w:pPr>
        <w:pStyle w:val="ListParagraph"/>
        <w:numPr>
          <w:ilvl w:val="0"/>
          <w:numId w:val="2"/>
        </w:numPr>
        <w:spacing w:after="100" w:line="280"/>
      </w:pPr>
      <w:r>
        <w:rPr>
          <w:sz w:val="21"/>
          <w:szCs w:val="21"/>
        </w:rPr>
        <w:t xml:space="preserve">Avoid taking on new biometric-data handling liability beyond what the platform already manages for its existing verification feature.</w:t>
      </w:r>
    </w:p>
    <w:p>
      <w:pPr>
        <w:pStyle w:val="ListParagraph"/>
        <w:numPr>
          <w:ilvl w:val="0"/>
          <w:numId w:val="2"/>
        </w:numPr>
        <w:spacing w:after="100" w:line="280"/>
      </w:pPr>
      <w:r>
        <w:rPr>
          <w:sz w:val="21"/>
          <w:szCs w:val="21"/>
        </w:rPr>
        <w:t xml:space="preserve">Ship an integration that works within the mobile app's existing performance and battery-usage budget.</w:t>
      </w:r>
    </w:p>
    <w:p>
      <w:pPr>
        <w:spacing w:after="80" w:before="120"/>
      </w:pPr>
      <w:r>
        <w:rPr>
          <w:b/>
          <w:bCs/>
          <w:color w:val="B3261E"/>
          <w:sz w:val="21"/>
          <w:szCs w:val="21"/>
        </w:rPr>
        <w:t xml:space="preserve">Pain points today</w:t>
      </w:r>
    </w:p>
    <w:p>
      <w:pPr>
        <w:pStyle w:val="ListParagraph"/>
        <w:numPr>
          <w:ilvl w:val="0"/>
          <w:numId w:val="2"/>
        </w:numPr>
        <w:spacing w:after="100" w:line="280"/>
      </w:pPr>
      <w:r>
        <w:rPr>
          <w:sz w:val="21"/>
          <w:szCs w:val="21"/>
        </w:rPr>
        <w:t xml:space="preserve">Current one-time video-selfie check says nothing about who is actually on a video call three months later.</w:t>
      </w:r>
    </w:p>
    <w:p>
      <w:pPr>
        <w:pStyle w:val="ListParagraph"/>
        <w:numPr>
          <w:ilvl w:val="0"/>
          <w:numId w:val="2"/>
        </w:numPr>
        <w:spacing w:after="100" w:line="280"/>
      </w:pPr>
      <w:r>
        <w:rPr>
          <w:sz w:val="21"/>
          <w:szCs w:val="21"/>
        </w:rPr>
        <w:t xml:space="preserve">Existing biometric vendor requires storing verification video on the platform's own servers, an ongoing compliance burden the team wants to avoid, not expand.</w:t>
      </w:r>
    </w:p>
    <w:p>
      <w:pPr>
        <w:pStyle w:val="ListParagraph"/>
        <w:numPr>
          <w:ilvl w:val="0"/>
          <w:numId w:val="2"/>
        </w:numPr>
        <w:spacing w:after="100" w:line="280"/>
      </w:pPr>
      <w:r>
        <w:rPr>
          <w:sz w:val="21"/>
          <w:szCs w:val="21"/>
        </w:rPr>
        <w:t xml:space="preserve">Mobile battery/bandwidth budget is tight; a heavy continuous-inference SDK would visibly hurt the user experience.</w:t>
      </w:r>
    </w:p>
    <w:p>
      <w:pPr>
        <w:spacing w:after="80" w:before="120"/>
      </w:pPr>
      <w:r>
        <w:rPr>
          <w:b/>
          <w:bCs/>
          <w:color w:val="1E7A46"/>
          <w:sz w:val="21"/>
          <w:szCs w:val="21"/>
        </w:rPr>
        <w:t xml:space="preserve">What success looks like with Certivo</w:t>
      </w:r>
    </w:p>
    <w:p>
      <w:pPr>
        <w:pStyle w:val="ListParagraph"/>
        <w:numPr>
          <w:ilvl w:val="0"/>
          <w:numId w:val="2"/>
        </w:numPr>
        <w:spacing w:after="100" w:line="280"/>
      </w:pPr>
      <w:r>
        <w:rPr>
          <w:sz w:val="21"/>
          <w:szCs w:val="21"/>
        </w:rPr>
        <w:t xml:space="preserve">Continuous verification runs against the same consent and data-handling model as the platform's existing feature, adding no new biometric storage obligation.</w:t>
      </w:r>
    </w:p>
    <w:p>
      <w:pPr>
        <w:pStyle w:val="ListParagraph"/>
        <w:numPr>
          <w:ilvl w:val="0"/>
          <w:numId w:val="2"/>
        </w:numPr>
        <w:spacing w:after="100" w:line="280"/>
      </w:pPr>
      <w:r>
        <w:rPr>
          <w:sz w:val="21"/>
          <w:szCs w:val="21"/>
        </w:rPr>
        <w:t xml:space="preserve">SDK is validated against the mobile performance budget before integration, with real numbers, not a vendor's general claim.</w:t>
      </w:r>
    </w:p>
    <w:p>
      <w:pPr>
        <w:pStyle w:val="ListParagraph"/>
        <w:numPr>
          <w:ilvl w:val="0"/>
          <w:numId w:val="2"/>
        </w:numPr>
        <w:spacing w:after="100" w:line="280"/>
      </w:pPr>
      <w:r>
        <w:rPr>
          <w:sz w:val="21"/>
          <w:szCs w:val="21"/>
        </w:rPr>
        <w:t xml:space="preserve">The platform can now say a video call, not just a signup photo, carries an ongoing authenticity guarantee.</w:t>
      </w:r>
    </w:p>
    <w:p>
      <w:pPr>
        <w:spacing w:after="240"/>
      </w:pPr>
    </w:p>
    <w:p>
      <w:pPr>
        <w:pStyle w:val="Heading2"/>
        <w:spacing w:after="180" w:before="360"/>
      </w:pPr>
      <w:r>
        <w:rPr>
          <w:b/>
          <w:bCs/>
          <w:color w:val="2E5EAA"/>
          <w:sz w:val="26"/>
          <w:szCs w:val="26"/>
        </w:rPr>
        <w:t xml:space="preserve">4.2 End-user personas (new)</w:t>
      </w:r>
    </w:p>
    <w:p>
      <w:pPr>
        <w:pStyle w:val="Heading3"/>
        <w:spacing w:after="140" w:before="280"/>
      </w:pPr>
      <w:r>
        <w:rPr>
          <w:b/>
          <w:bCs/>
          <w:color w:val="1A2B4C"/>
          <w:sz w:val="22"/>
          <w:szCs w:val="22"/>
        </w:rPr>
        <w:t xml:space="preserve">Alex Chen — Participant on a verified business video call</w:t>
      </w:r>
    </w:p>
    <w:p>
      <w:pPr>
        <w:spacing w:after="200" w:line="300"/>
        <w:jc w:val="both"/>
      </w:pPr>
      <w:r>
        <w:rPr>
          <w:sz w:val="21"/>
          <w:szCs w:val="21"/>
        </w:rPr>
        <w:t xml:space="preserve">Context: A remote employee joining client calls through a video-conferencing platform that has embedded Certivo.</w:t>
      </w:r>
    </w:p>
    <w:p>
      <w:pPr>
        <w:spacing w:after="80"/>
      </w:pPr>
      <w:r>
        <w:rPr>
          <w:b/>
          <w:bCs/>
          <w:color w:val="2E5EAA"/>
          <w:sz w:val="21"/>
          <w:szCs w:val="21"/>
        </w:rPr>
        <w:t xml:space="preserve">Goals</w:t>
      </w:r>
    </w:p>
    <w:p>
      <w:pPr>
        <w:pStyle w:val="ListParagraph"/>
        <w:numPr>
          <w:ilvl w:val="0"/>
          <w:numId w:val="2"/>
        </w:numPr>
        <w:spacing w:after="100" w:line="280"/>
      </w:pPr>
      <w:r>
        <w:rPr>
          <w:sz w:val="21"/>
          <w:szCs w:val="21"/>
        </w:rPr>
        <w:t xml:space="preserve">Trust that the person presented as a client or colleague on an important call is actually them.</w:t>
      </w:r>
    </w:p>
    <w:p>
      <w:pPr>
        <w:pStyle w:val="ListParagraph"/>
        <w:numPr>
          <w:ilvl w:val="0"/>
          <w:numId w:val="2"/>
        </w:numPr>
        <w:spacing w:after="100" w:line="280"/>
      </w:pPr>
      <w:r>
        <w:rPr>
          <w:sz w:val="21"/>
          <w:szCs w:val="21"/>
        </w:rPr>
        <w:t xml:space="preserve">Not have the verification process add friction or delay to joining a call.</w:t>
      </w:r>
    </w:p>
    <w:p>
      <w:pPr>
        <w:pStyle w:val="ListParagraph"/>
        <w:numPr>
          <w:ilvl w:val="0"/>
          <w:numId w:val="2"/>
        </w:numPr>
        <w:spacing w:after="100" w:line="280"/>
      </w:pPr>
      <w:r>
        <w:rPr>
          <w:sz w:val="21"/>
          <w:szCs w:val="21"/>
        </w:rPr>
        <w:t xml:space="preserve">Understand, if asked, what is being checked and why.</w:t>
      </w:r>
    </w:p>
    <w:p>
      <w:pPr>
        <w:spacing w:after="80" w:before="120"/>
      </w:pPr>
      <w:r>
        <w:rPr>
          <w:b/>
          <w:bCs/>
          <w:color w:val="B3261E"/>
          <w:sz w:val="21"/>
          <w:szCs w:val="21"/>
        </w:rPr>
        <w:t xml:space="preserve">Pain points today</w:t>
      </w:r>
    </w:p>
    <w:p>
      <w:pPr>
        <w:pStyle w:val="ListParagraph"/>
        <w:numPr>
          <w:ilvl w:val="0"/>
          <w:numId w:val="2"/>
        </w:numPr>
        <w:spacing w:after="100" w:line="280"/>
      </w:pPr>
      <w:r>
        <w:rPr>
          <w:sz w:val="21"/>
          <w:szCs w:val="21"/>
        </w:rPr>
        <w:t xml:space="preserve">Has read about deepfake-enabled business fraud and has no way, today, to independently confirm a call participant's authenticity beyond social trust.</w:t>
      </w:r>
    </w:p>
    <w:p>
      <w:pPr>
        <w:pStyle w:val="ListParagraph"/>
        <w:numPr>
          <w:ilvl w:val="0"/>
          <w:numId w:val="2"/>
        </w:numPr>
        <w:spacing w:after="100" w:line="280"/>
      </w:pPr>
      <w:r>
        <w:rPr>
          <w:sz w:val="21"/>
          <w:szCs w:val="21"/>
        </w:rPr>
        <w:t xml:space="preserve">Wary of any 'verification' step that feels invasive or that requires understanding a new, unfamiliar process before every call.</w:t>
      </w:r>
    </w:p>
    <w:p>
      <w:pPr>
        <w:spacing w:after="80" w:before="120"/>
      </w:pPr>
      <w:r>
        <w:rPr>
          <w:b/>
          <w:bCs/>
          <w:color w:val="1E7A46"/>
          <w:sz w:val="21"/>
          <w:szCs w:val="21"/>
        </w:rPr>
        <w:t xml:space="preserve">What success looks like with Certivo</w:t>
      </w:r>
    </w:p>
    <w:p>
      <w:pPr>
        <w:pStyle w:val="ListParagraph"/>
        <w:numPr>
          <w:ilvl w:val="0"/>
          <w:numId w:val="2"/>
        </w:numPr>
        <w:spacing w:after="100" w:line="280"/>
      </w:pPr>
      <w:r>
        <w:rPr>
          <w:sz w:val="21"/>
          <w:szCs w:val="21"/>
        </w:rPr>
        <w:t xml:space="preserve">A trust indicator appears automatically during the call, continuously updated, with no separate action required to initiate it.</w:t>
      </w:r>
    </w:p>
    <w:p>
      <w:pPr>
        <w:pStyle w:val="ListParagraph"/>
        <w:numPr>
          <w:ilvl w:val="0"/>
          <w:numId w:val="2"/>
        </w:numPr>
        <w:spacing w:after="100" w:line="280"/>
      </w:pPr>
      <w:r>
        <w:rPr>
          <w:sz w:val="21"/>
          <w:szCs w:val="21"/>
        </w:rPr>
        <w:t xml:space="preserve">Clear, simple language available on demand explaining what is being verified, consistent with the consent principles in the Privacy Architecture (Document 10).</w:t>
      </w:r>
    </w:p>
    <w:p>
      <w:pPr>
        <w:spacing w:after="240"/>
      </w:pPr>
    </w:p>
    <w:p>
      <w:pPr>
        <w:pStyle w:val="Heading3"/>
        <w:spacing w:after="140" w:before="280"/>
      </w:pPr>
      <w:r>
        <w:rPr>
          <w:b/>
          <w:bCs/>
          <w:color w:val="1A2B4C"/>
          <w:sz w:val="22"/>
          <w:szCs w:val="22"/>
        </w:rPr>
        <w:t xml:space="preserve">Morgan Ellis — User on a dating platform video call</w:t>
      </w:r>
    </w:p>
    <w:p>
      <w:pPr>
        <w:spacing w:after="200" w:line="300"/>
        <w:jc w:val="both"/>
      </w:pPr>
      <w:r>
        <w:rPr>
          <w:sz w:val="21"/>
          <w:szCs w:val="21"/>
        </w:rPr>
        <w:t xml:space="preserve">Context: A dating-platform user about to go on a first video call with someone met on the platform.</w:t>
      </w:r>
    </w:p>
    <w:p>
      <w:pPr>
        <w:spacing w:after="80"/>
      </w:pPr>
      <w:r>
        <w:rPr>
          <w:b/>
          <w:bCs/>
          <w:color w:val="2E5EAA"/>
          <w:sz w:val="21"/>
          <w:szCs w:val="21"/>
        </w:rPr>
        <w:t xml:space="preserve">Goals</w:t>
      </w:r>
    </w:p>
    <w:p>
      <w:pPr>
        <w:pStyle w:val="ListParagraph"/>
        <w:numPr>
          <w:ilvl w:val="0"/>
          <w:numId w:val="2"/>
        </w:numPr>
        <w:spacing w:after="100" w:line="280"/>
      </w:pPr>
      <w:r>
        <w:rPr>
          <w:sz w:val="21"/>
          <w:szCs w:val="21"/>
        </w:rPr>
        <w:t xml:space="preserve">Have real confidence the person on the video call is the same person from the verified profile, not a synthetic or catfishing setup.</w:t>
      </w:r>
    </w:p>
    <w:p>
      <w:pPr>
        <w:pStyle w:val="ListParagraph"/>
        <w:numPr>
          <w:ilvl w:val="0"/>
          <w:numId w:val="2"/>
        </w:numPr>
        <w:spacing w:after="100" w:line="280"/>
      </w:pPr>
      <w:r>
        <w:rPr>
          <w:sz w:val="21"/>
          <w:szCs w:val="21"/>
        </w:rPr>
        <w:t xml:space="preserve">Feel that the platform is actively protecting users from catfishing, not merely stating a policy against it.</w:t>
      </w:r>
    </w:p>
    <w:p>
      <w:pPr>
        <w:spacing w:after="80" w:before="120"/>
      </w:pPr>
      <w:r>
        <w:rPr>
          <w:b/>
          <w:bCs/>
          <w:color w:val="B3261E"/>
          <w:sz w:val="21"/>
          <w:szCs w:val="21"/>
        </w:rPr>
        <w:t xml:space="preserve">Pain points today</w:t>
      </w:r>
    </w:p>
    <w:p>
      <w:pPr>
        <w:pStyle w:val="ListParagraph"/>
        <w:numPr>
          <w:ilvl w:val="0"/>
          <w:numId w:val="2"/>
        </w:numPr>
        <w:spacing w:after="100" w:line="280"/>
      </w:pPr>
      <w:r>
        <w:rPr>
          <w:sz w:val="21"/>
          <w:szCs w:val="21"/>
        </w:rPr>
        <w:t xml:space="preserve">Has personally encountered or heard of catfishing and synthetic-profile scams on dating platforms and is increasingly skeptical of profile photos alone.</w:t>
      </w:r>
    </w:p>
    <w:p>
      <w:pPr>
        <w:pStyle w:val="ListParagraph"/>
        <w:numPr>
          <w:ilvl w:val="0"/>
          <w:numId w:val="2"/>
        </w:numPr>
        <w:spacing w:after="100" w:line="280"/>
      </w:pPr>
      <w:r>
        <w:rPr>
          <w:sz w:val="21"/>
          <w:szCs w:val="21"/>
        </w:rPr>
        <w:t xml:space="preserve">Uncertain what, if anything, a platform's 'verified' badge actually checks or how current that check is.</w:t>
      </w:r>
    </w:p>
    <w:p>
      <w:pPr>
        <w:spacing w:after="80" w:before="120"/>
      </w:pPr>
      <w:r>
        <w:rPr>
          <w:b/>
          <w:bCs/>
          <w:color w:val="1E7A46"/>
          <w:sz w:val="21"/>
          <w:szCs w:val="21"/>
        </w:rPr>
        <w:t xml:space="preserve">What success looks like with Certivo</w:t>
      </w:r>
    </w:p>
    <w:p>
      <w:pPr>
        <w:pStyle w:val="ListParagraph"/>
        <w:numPr>
          <w:ilvl w:val="0"/>
          <w:numId w:val="2"/>
        </w:numPr>
        <w:spacing w:after="100" w:line="280"/>
      </w:pPr>
      <w:r>
        <w:rPr>
          <w:sz w:val="21"/>
          <w:szCs w:val="21"/>
        </w:rPr>
        <w:t xml:space="preserve">A continuously updated, in-call trust indicator gives concrete, real-time confidence beyond a static profile badge.</w:t>
      </w:r>
    </w:p>
    <w:p>
      <w:pPr>
        <w:pStyle w:val="ListParagraph"/>
        <w:numPr>
          <w:ilvl w:val="0"/>
          <w:numId w:val="2"/>
        </w:numPr>
        <w:spacing w:after="100" w:line="280"/>
      </w:pPr>
      <w:r>
        <w:rPr>
          <w:sz w:val="21"/>
          <w:szCs w:val="21"/>
        </w:rPr>
        <w:t xml:space="preserve">Plain-language explanation of what 'verified' means for this specific call is available, not just a vague trust badge earned once at signup.</w:t>
      </w:r>
    </w:p>
    <w:p>
      <w:pPr>
        <w:spacing w:after="240"/>
      </w:pPr>
    </w:p>
    <w:p>
      <w:pPr>
        <w:pStyle w:val="Heading2"/>
        <w:spacing w:after="180" w:before="360"/>
      </w:pPr>
      <w:r>
        <w:rPr>
          <w:b/>
          <w:bCs/>
          <w:color w:val="2E5EAA"/>
          <w:sz w:val="26"/>
          <w:szCs w:val="26"/>
        </w:rPr>
        <w:t xml:space="preserve">4.3 Buying committee and sales-motion implications</w:t>
      </w:r>
    </w:p>
    <w:p>
      <w:pPr>
        <w:spacing w:after="200" w:line="300"/>
        <w:jc w:val="both"/>
      </w:pPr>
      <w:r>
        <w:rPr>
          <w:sz w:val="21"/>
          <w:szCs w:val="21"/>
        </w:rPr>
        <w:t xml:space="preserve">The SDK-embed model (Path A) means the buying committee is entirely on the integrating platform's side — there is no direct end-user purchase decision. This differs from the original PRD's buying committee in one important way: the technical evaluation stage (Section 2.2 of the Product Strategy, once revised) carries more relative weight than in the original fintech motion, since call-quality and latency impact can only be validated against a partner's real infrastructure and real traffic, not a generic sandbox.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Role</w:t>
            </w:r>
          </w:p>
        </w:tc>
        <w:tc>
          <w:tcPr>
            <w:tcW w:type="dxa" w:w="4200"/>
            <w:shd w:fill="1A2B4C" w:val="clear"/>
            <w:tcMar>
              <w:top w:type="dxa" w:w="100"/>
              <w:left w:type="dxa" w:w="140"/>
              <w:bottom w:type="dxa" w:w="100"/>
              <w:right w:type="dxa" w:w="140"/>
            </w:tcMar>
          </w:tcPr>
          <w:p>
            <w:r>
              <w:rPr>
                <w:b/>
                <w:bCs/>
                <w:color w:val="FFFFFF"/>
                <w:sz w:val="19"/>
                <w:szCs w:val="19"/>
              </w:rPr>
              <w:t xml:space="preserve">What they need to say yes</w:t>
            </w:r>
          </w:p>
        </w:tc>
        <w:tc>
          <w:tcPr>
            <w:tcW w:type="dxa" w:w="2600"/>
            <w:shd w:fill="1A2B4C" w:val="clear"/>
            <w:tcMar>
              <w:top w:type="dxa" w:w="100"/>
              <w:left w:type="dxa" w:w="140"/>
              <w:bottom w:type="dxa" w:w="100"/>
              <w:right w:type="dxa" w:w="140"/>
            </w:tcMar>
          </w:tcPr>
          <w:p>
            <w:r>
              <w:rPr>
                <w:b/>
                <w:bCs/>
                <w:color w:val="FFFFFF"/>
                <w:sz w:val="19"/>
                <w:szCs w:val="19"/>
              </w:rPr>
              <w:t xml:space="preserve">Where in the funnel they engage</w:t>
            </w:r>
          </w:p>
        </w:tc>
      </w:tr>
      <w:tr>
        <w:tc>
          <w:tcPr>
            <w:tcW w:type="dxa" w:w="2600"/>
            <w:shd w:fill="F4F6F9" w:val="clear"/>
            <w:tcMar>
              <w:top w:type="dxa" w:w="100"/>
              <w:left w:type="dxa" w:w="140"/>
              <w:bottom w:type="dxa" w:w="100"/>
              <w:right w:type="dxa" w:w="140"/>
            </w:tcMar>
          </w:tcPr>
          <w:p>
            <w:r>
              <w:rPr>
                <w:sz w:val="19"/>
                <w:szCs w:val="19"/>
              </w:rPr>
              <w:t xml:space="preserve">Champion (e.g. Head of Trust &amp; Safety)</w:t>
            </w:r>
          </w:p>
        </w:tc>
        <w:tc>
          <w:tcPr>
            <w:tcW w:type="dxa" w:w="4200"/>
            <w:shd w:fill="F4F6F9" w:val="clear"/>
            <w:tcMar>
              <w:top w:type="dxa" w:w="100"/>
              <w:left w:type="dxa" w:w="140"/>
              <w:bottom w:type="dxa" w:w="100"/>
              <w:right w:type="dxa" w:w="140"/>
            </w:tcMar>
          </w:tcPr>
          <w:p>
            <w:r>
              <w:rPr>
                <w:sz w:val="19"/>
                <w:szCs w:val="19"/>
              </w:rPr>
              <w:t xml:space="preserve">Evidence the SDK meaningfully reduces impersonation/fraud risk without harming the platform's core call-quality promise</w:t>
            </w:r>
          </w:p>
        </w:tc>
        <w:tc>
          <w:tcPr>
            <w:tcW w:type="dxa" w:w="2600"/>
            <w:shd w:fill="F4F6F9" w:val="clear"/>
            <w:tcMar>
              <w:top w:type="dxa" w:w="100"/>
              <w:left w:type="dxa" w:w="140"/>
              <w:bottom w:type="dxa" w:w="100"/>
              <w:right w:type="dxa" w:w="140"/>
            </w:tcMar>
          </w:tcPr>
          <w:p>
            <w:r>
              <w:rPr>
                <w:sz w:val="19"/>
                <w:szCs w:val="19"/>
              </w:rPr>
              <w:t xml:space="preserve">Early — typically the inbound or outbound entry point</w:t>
            </w:r>
          </w:p>
        </w:tc>
      </w:tr>
      <w:tr>
        <w:tc>
          <w:tcPr>
            <w:tcW w:type="dxa" w:w="2600"/>
            <w:shd w:fill="FFFFFF" w:val="clear"/>
            <w:tcMar>
              <w:top w:type="dxa" w:w="100"/>
              <w:left w:type="dxa" w:w="140"/>
              <w:bottom w:type="dxa" w:w="100"/>
              <w:right w:type="dxa" w:w="140"/>
            </w:tcMar>
          </w:tcPr>
          <w:p>
            <w:r>
              <w:rPr>
                <w:sz w:val="19"/>
                <w:szCs w:val="19"/>
              </w:rPr>
              <w:t xml:space="preserve">Technical evaluator (platform engineering)</w:t>
            </w:r>
          </w:p>
        </w:tc>
        <w:tc>
          <w:tcPr>
            <w:tcW w:type="dxa" w:w="4200"/>
            <w:shd w:fill="FFFFFF" w:val="clear"/>
            <w:tcMar>
              <w:top w:type="dxa" w:w="100"/>
              <w:left w:type="dxa" w:w="140"/>
              <w:bottom w:type="dxa" w:w="100"/>
              <w:right w:type="dxa" w:w="140"/>
            </w:tcMar>
          </w:tcPr>
          <w:p>
            <w:r>
              <w:rPr>
                <w:sz w:val="19"/>
                <w:szCs w:val="19"/>
              </w:rPr>
              <w:t xml:space="preserve">Validated latency/bandwidth/battery impact against the platform's own real infrastructure, not a generic benchmark</w:t>
            </w:r>
          </w:p>
        </w:tc>
        <w:tc>
          <w:tcPr>
            <w:tcW w:type="dxa" w:w="2600"/>
            <w:shd w:fill="FFFFFF" w:val="clear"/>
            <w:tcMar>
              <w:top w:type="dxa" w:w="100"/>
              <w:left w:type="dxa" w:w="140"/>
              <w:bottom w:type="dxa" w:w="100"/>
              <w:right w:type="dxa" w:w="140"/>
            </w:tcMar>
          </w:tcPr>
          <w:p>
            <w:r>
              <w:rPr>
                <w:sz w:val="19"/>
                <w:szCs w:val="19"/>
              </w:rPr>
              <w:t xml:space="preserve">Early-to-mid, and higher-stakes than in the point-in-time flow, given call-quality risk</w:t>
            </w:r>
          </w:p>
        </w:tc>
      </w:tr>
      <w:tr>
        <w:tc>
          <w:tcPr>
            <w:tcW w:type="dxa" w:w="2600"/>
            <w:shd w:fill="F4F6F9" w:val="clear"/>
            <w:tcMar>
              <w:top w:type="dxa" w:w="100"/>
              <w:left w:type="dxa" w:w="140"/>
              <w:bottom w:type="dxa" w:w="100"/>
              <w:right w:type="dxa" w:w="140"/>
            </w:tcMar>
          </w:tcPr>
          <w:p>
            <w:r>
              <w:rPr>
                <w:sz w:val="19"/>
                <w:szCs w:val="19"/>
              </w:rPr>
              <w:t xml:space="preserve">Legal / Compliance</w:t>
            </w:r>
          </w:p>
        </w:tc>
        <w:tc>
          <w:tcPr>
            <w:tcW w:type="dxa" w:w="4200"/>
            <w:shd w:fill="F4F6F9" w:val="clear"/>
            <w:tcMar>
              <w:top w:type="dxa" w:w="100"/>
              <w:left w:type="dxa" w:w="140"/>
              <w:bottom w:type="dxa" w:w="100"/>
              <w:right w:type="dxa" w:w="140"/>
            </w:tcMar>
          </w:tcPr>
          <w:p>
            <w:r>
              <w:rPr>
                <w:sz w:val="19"/>
                <w:szCs w:val="19"/>
              </w:rPr>
              <w:t xml:space="preserve">Clear data-flow and consent documentation for continuous, in-call biometric processing specifically — a novel enough pattern that off-the-shelf point-in-time compliance language may not directly apply</w:t>
            </w:r>
          </w:p>
        </w:tc>
        <w:tc>
          <w:tcPr>
            <w:tcW w:type="dxa" w:w="2600"/>
            <w:shd w:fill="F4F6F9" w:val="clear"/>
            <w:tcMar>
              <w:top w:type="dxa" w:w="100"/>
              <w:left w:type="dxa" w:w="140"/>
              <w:bottom w:type="dxa" w:w="100"/>
              <w:right w:type="dxa" w:w="140"/>
            </w:tcMar>
          </w:tcPr>
          <w:p>
            <w:r>
              <w:rPr>
                <w:sz w:val="19"/>
                <w:szCs w:val="19"/>
              </w:rPr>
              <w:t xml:space="preserve">Mid-to-late</w:t>
            </w:r>
          </w:p>
        </w:tc>
      </w:tr>
      <w:tr>
        <w:tc>
          <w:tcPr>
            <w:tcW w:type="dxa" w:w="2600"/>
            <w:shd w:fill="FFFFFF" w:val="clear"/>
            <w:tcMar>
              <w:top w:type="dxa" w:w="100"/>
              <w:left w:type="dxa" w:w="140"/>
              <w:bottom w:type="dxa" w:w="100"/>
              <w:right w:type="dxa" w:w="140"/>
            </w:tcMar>
          </w:tcPr>
          <w:p>
            <w:r>
              <w:rPr>
                <w:sz w:val="19"/>
                <w:szCs w:val="19"/>
              </w:rPr>
              <w:t xml:space="preserve">Economic buyer</w:t>
            </w:r>
          </w:p>
        </w:tc>
        <w:tc>
          <w:tcPr>
            <w:tcW w:type="dxa" w:w="4200"/>
            <w:shd w:fill="FFFFFF" w:val="clear"/>
            <w:tcMar>
              <w:top w:type="dxa" w:w="100"/>
              <w:left w:type="dxa" w:w="140"/>
              <w:bottom w:type="dxa" w:w="100"/>
              <w:right w:type="dxa" w:w="140"/>
            </w:tcMar>
          </w:tcPr>
          <w:p>
            <w:r>
              <w:rPr>
                <w:sz w:val="19"/>
                <w:szCs w:val="19"/>
              </w:rPr>
              <w:t xml:space="preserve">Clear ROI case (fraud/impersonation risk reduced, differentiated trust signal for the platform's own users) against a usage-based pricing model</w:t>
            </w:r>
          </w:p>
        </w:tc>
        <w:tc>
          <w:tcPr>
            <w:tcW w:type="dxa" w:w="2600"/>
            <w:shd w:fill="FFFFFF" w:val="clear"/>
            <w:tcMar>
              <w:top w:type="dxa" w:w="100"/>
              <w:left w:type="dxa" w:w="140"/>
              <w:bottom w:type="dxa" w:w="100"/>
              <w:right w:type="dxa" w:w="140"/>
            </w:tcMar>
          </w:tcPr>
          <w:p>
            <w:r>
              <w:rPr>
                <w:sz w:val="19"/>
                <w:szCs w:val="19"/>
              </w:rPr>
              <w:t xml:space="preserve">Late</w:t>
            </w:r>
          </w:p>
        </w:tc>
      </w:tr>
    </w:tbl>
    <w:p>
      <w:pPr>
        <w:spacing w:after="260" w:before="80"/>
      </w:pPr>
      <w:r>
        <w:rPr>
          <w:i/>
          <w:iCs/>
          <w:color w:val="6B7280"/>
          <w:sz w:val="18"/>
          <w:szCs w:val="18"/>
        </w:rPr>
        <w:t xml:space="preserve">Table 4.1 — Buying committee for the SDK-embed flagship motion.</w:t>
      </w:r>
    </w:p>
    <w:p>
      <w:pPr>
        <w:pStyle w:val="Heading1"/>
        <w:pageBreakBefore/>
        <w:spacing w:after="240" w:before="480"/>
      </w:pPr>
      <w:r>
        <w:rPr>
          <w:b/>
          <w:bCs/>
          <w:color w:val="1A2B4C"/>
          <w:sz w:val="32"/>
          <w:szCs w:val="32"/>
        </w:rPr>
        <w:t xml:space="preserve">5. Jobs To Be Done</w:t>
      </w:r>
    </w:p>
    <w:p>
      <w:pPr>
        <w:spacing w:after="200" w:line="300"/>
        <w:jc w:val="both"/>
      </w:pPr>
      <w:r>
        <w:rPr>
          <w:sz w:val="21"/>
          <w:szCs w:val="21"/>
        </w:rPr>
        <w:t xml:space="preserve">Revised to lead with the flagship's jobs. The original fintech/marketplace/hiring jobs from Version 1.0 remain valid and are retained there for the Phase 2+ verticals.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400"/>
      </w:tblGrid>
      <w:tr>
        <w:trPr>
          <w:tblHeader/>
        </w:trPr>
        <w:tc>
          <w:tcPr>
            <w:tcW w:type="dxa" w:w="2200"/>
            <w:shd w:fill="1A2B4C" w:val="clear"/>
            <w:tcMar>
              <w:top w:type="dxa" w:w="100"/>
              <w:left w:type="dxa" w:w="140"/>
              <w:bottom w:type="dxa" w:w="100"/>
              <w:right w:type="dxa" w:w="140"/>
            </w:tcMar>
          </w:tcPr>
          <w:p>
            <w:r>
              <w:rPr>
                <w:b/>
                <w:bCs/>
                <w:color w:val="FFFFFF"/>
                <w:sz w:val="19"/>
                <w:szCs w:val="19"/>
              </w:rPr>
              <w:t xml:space="preserve">Job</w:t>
            </w:r>
          </w:p>
        </w:tc>
        <w:tc>
          <w:tcPr>
            <w:tcW w:type="dxa" w:w="2200"/>
            <w:shd w:fill="1A2B4C" w:val="clear"/>
            <w:tcMar>
              <w:top w:type="dxa" w:w="100"/>
              <w:left w:type="dxa" w:w="140"/>
              <w:bottom w:type="dxa" w:w="100"/>
              <w:right w:type="dxa" w:w="140"/>
            </w:tcMar>
          </w:tcPr>
          <w:p>
            <w:r>
              <w:rPr>
                <w:b/>
                <w:bCs/>
                <w:color w:val="FFFFFF"/>
                <w:sz w:val="19"/>
                <w:szCs w:val="19"/>
              </w:rPr>
              <w:t xml:space="preserve">When I...</w:t>
            </w:r>
          </w:p>
        </w:tc>
        <w:tc>
          <w:tcPr>
            <w:tcW w:type="dxa" w:w="2600"/>
            <w:shd w:fill="1A2B4C" w:val="clear"/>
            <w:tcMar>
              <w:top w:type="dxa" w:w="100"/>
              <w:left w:type="dxa" w:w="140"/>
              <w:bottom w:type="dxa" w:w="100"/>
              <w:right w:type="dxa" w:w="140"/>
            </w:tcMar>
          </w:tcPr>
          <w:p>
            <w:r>
              <w:rPr>
                <w:b/>
                <w:bCs/>
                <w:color w:val="FFFFFF"/>
                <w:sz w:val="19"/>
                <w:szCs w:val="19"/>
              </w:rPr>
              <w:t xml:space="preserve">I want to...</w:t>
            </w:r>
          </w:p>
        </w:tc>
        <w:tc>
          <w:tcPr>
            <w:tcW w:type="dxa" w:w="2400"/>
            <w:shd w:fill="1A2B4C" w:val="clear"/>
            <w:tcMar>
              <w:top w:type="dxa" w:w="100"/>
              <w:left w:type="dxa" w:w="140"/>
              <w:bottom w:type="dxa" w:w="100"/>
              <w:right w:type="dxa" w:w="140"/>
            </w:tcMar>
          </w:tcPr>
          <w:p>
            <w:r>
              <w:rPr>
                <w:b/>
                <w:bCs/>
                <w:color w:val="FFFFFF"/>
                <w:sz w:val="19"/>
                <w:szCs w:val="19"/>
              </w:rPr>
              <w:t xml:space="preserve">So I can...</w:t>
            </w:r>
          </w:p>
        </w:tc>
      </w:tr>
      <w:tr>
        <w:tc>
          <w:tcPr>
            <w:tcW w:type="dxa" w:w="2200"/>
            <w:shd w:fill="F4F6F9" w:val="clear"/>
            <w:tcMar>
              <w:top w:type="dxa" w:w="100"/>
              <w:left w:type="dxa" w:w="140"/>
              <w:bottom w:type="dxa" w:w="100"/>
              <w:right w:type="dxa" w:w="140"/>
            </w:tcMar>
          </w:tcPr>
          <w:p>
            <w:r>
              <w:rPr>
                <w:sz w:val="19"/>
                <w:szCs w:val="19"/>
              </w:rPr>
              <w:t xml:space="preserve">Protect against live impersonation fraud</w:t>
            </w:r>
          </w:p>
        </w:tc>
        <w:tc>
          <w:tcPr>
            <w:tcW w:type="dxa" w:w="2200"/>
            <w:shd w:fill="F4F6F9" w:val="clear"/>
            <w:tcMar>
              <w:top w:type="dxa" w:w="100"/>
              <w:left w:type="dxa" w:w="140"/>
              <w:bottom w:type="dxa" w:w="100"/>
              <w:right w:type="dxa" w:w="140"/>
            </w:tcMar>
          </w:tcPr>
          <w:p>
            <w:r>
              <w:rPr>
                <w:sz w:val="19"/>
                <w:szCs w:val="19"/>
              </w:rPr>
              <w:t xml:space="preserve">operate a video-calling or remote-meeting platform used for business communication</w:t>
            </w:r>
          </w:p>
        </w:tc>
        <w:tc>
          <w:tcPr>
            <w:tcW w:type="dxa" w:w="2600"/>
            <w:shd w:fill="F4F6F9" w:val="clear"/>
            <w:tcMar>
              <w:top w:type="dxa" w:w="100"/>
              <w:left w:type="dxa" w:w="140"/>
              <w:bottom w:type="dxa" w:w="100"/>
              <w:right w:type="dxa" w:w="140"/>
            </w:tcMar>
          </w:tcPr>
          <w:p>
            <w:r>
              <w:rPr>
                <w:sz w:val="19"/>
                <w:szCs w:val="19"/>
              </w:rPr>
              <w:t xml:space="preserve">give every call a continuously verified, real-time authenticity signal for each participant</w:t>
            </w:r>
          </w:p>
        </w:tc>
        <w:tc>
          <w:tcPr>
            <w:tcW w:type="dxa" w:w="2400"/>
            <w:shd w:fill="F4F6F9" w:val="clear"/>
            <w:tcMar>
              <w:top w:type="dxa" w:w="100"/>
              <w:left w:type="dxa" w:w="140"/>
              <w:bottom w:type="dxa" w:w="100"/>
              <w:right w:type="dxa" w:w="140"/>
            </w:tcMar>
          </w:tcPr>
          <w:p>
            <w:r>
              <w:rPr>
                <w:sz w:val="19"/>
                <w:szCs w:val="19"/>
              </w:rPr>
              <w:t xml:space="preserve">reduce deepfake-enabled fraud without building ML research capability in-house</w:t>
            </w:r>
          </w:p>
        </w:tc>
      </w:tr>
      <w:tr>
        <w:tc>
          <w:tcPr>
            <w:tcW w:type="dxa" w:w="2200"/>
            <w:shd w:fill="FFFFFF" w:val="clear"/>
            <w:tcMar>
              <w:top w:type="dxa" w:w="100"/>
              <w:left w:type="dxa" w:w="140"/>
              <w:bottom w:type="dxa" w:w="100"/>
              <w:right w:type="dxa" w:w="140"/>
            </w:tcMar>
          </w:tcPr>
          <w:p>
            <w:r>
              <w:rPr>
                <w:sz w:val="19"/>
                <w:szCs w:val="19"/>
              </w:rPr>
              <w:t xml:space="preserve">Extend one-time verification into an ongoing guarantee</w:t>
            </w:r>
          </w:p>
        </w:tc>
        <w:tc>
          <w:tcPr>
            <w:tcW w:type="dxa" w:w="2200"/>
            <w:shd w:fill="FFFFFF" w:val="clear"/>
            <w:tcMar>
              <w:top w:type="dxa" w:w="100"/>
              <w:left w:type="dxa" w:w="140"/>
              <w:bottom w:type="dxa" w:w="100"/>
              <w:right w:type="dxa" w:w="140"/>
            </w:tcMar>
          </w:tcPr>
          <w:p>
            <w:r>
              <w:rPr>
                <w:sz w:val="19"/>
                <w:szCs w:val="19"/>
              </w:rPr>
              <w:t xml:space="preserve">already perform a one-time video identity check at signup</w:t>
            </w:r>
          </w:p>
        </w:tc>
        <w:tc>
          <w:tcPr>
            <w:tcW w:type="dxa" w:w="2600"/>
            <w:shd w:fill="FFFFFF" w:val="clear"/>
            <w:tcMar>
              <w:top w:type="dxa" w:w="100"/>
              <w:left w:type="dxa" w:w="140"/>
              <w:bottom w:type="dxa" w:w="100"/>
              <w:right w:type="dxa" w:w="140"/>
            </w:tcMar>
          </w:tcPr>
          <w:p>
            <w:r>
              <w:rPr>
                <w:sz w:val="19"/>
                <w:szCs w:val="19"/>
              </w:rPr>
              <w:t xml:space="preserve">carry that verification forward into an ongoing, continuously reconfirmed signal for live calls</w:t>
            </w:r>
          </w:p>
        </w:tc>
        <w:tc>
          <w:tcPr>
            <w:tcW w:type="dxa" w:w="2400"/>
            <w:shd w:fill="FFFFFF" w:val="clear"/>
            <w:tcMar>
              <w:top w:type="dxa" w:w="100"/>
              <w:left w:type="dxa" w:w="140"/>
              <w:bottom w:type="dxa" w:w="100"/>
              <w:right w:type="dxa" w:w="140"/>
            </w:tcMar>
          </w:tcPr>
          <w:p>
            <w:r>
              <w:rPr>
                <w:sz w:val="19"/>
                <w:szCs w:val="19"/>
              </w:rPr>
              <w:t xml:space="preserve">give users a meaningfully stronger trust guarantee than a static profile badge</w:t>
            </w:r>
          </w:p>
        </w:tc>
      </w:tr>
      <w:tr>
        <w:tc>
          <w:tcPr>
            <w:tcW w:type="dxa" w:w="2200"/>
            <w:shd w:fill="F4F6F9" w:val="clear"/>
            <w:tcMar>
              <w:top w:type="dxa" w:w="100"/>
              <w:left w:type="dxa" w:w="140"/>
              <w:bottom w:type="dxa" w:w="100"/>
              <w:right w:type="dxa" w:w="140"/>
            </w:tcMar>
          </w:tcPr>
          <w:p>
            <w:r>
              <w:rPr>
                <w:sz w:val="19"/>
                <w:szCs w:val="19"/>
              </w:rPr>
              <w:t xml:space="preserve">Protect users from catfishing in real time</w:t>
            </w:r>
          </w:p>
        </w:tc>
        <w:tc>
          <w:tcPr>
            <w:tcW w:type="dxa" w:w="2200"/>
            <w:shd w:fill="F4F6F9" w:val="clear"/>
            <w:tcMar>
              <w:top w:type="dxa" w:w="100"/>
              <w:left w:type="dxa" w:w="140"/>
              <w:bottom w:type="dxa" w:w="100"/>
              <w:right w:type="dxa" w:w="140"/>
            </w:tcMar>
          </w:tcPr>
          <w:p>
            <w:r>
              <w:rPr>
                <w:sz w:val="19"/>
                <w:szCs w:val="19"/>
              </w:rPr>
              <w:t xml:space="preserve">run a dating platform where users have video calls with people they've never met in person</w:t>
            </w:r>
          </w:p>
        </w:tc>
        <w:tc>
          <w:tcPr>
            <w:tcW w:type="dxa" w:w="2600"/>
            <w:shd w:fill="F4F6F9" w:val="clear"/>
            <w:tcMar>
              <w:top w:type="dxa" w:w="100"/>
              <w:left w:type="dxa" w:w="140"/>
              <w:bottom w:type="dxa" w:w="100"/>
              <w:right w:type="dxa" w:w="140"/>
            </w:tcMar>
          </w:tcPr>
          <w:p>
            <w:r>
              <w:rPr>
                <w:sz w:val="19"/>
                <w:szCs w:val="19"/>
              </w:rPr>
              <w:t xml:space="preserve">give users a real-time, in-call authenticity signal about who they're actually talking to</w:t>
            </w:r>
          </w:p>
        </w:tc>
        <w:tc>
          <w:tcPr>
            <w:tcW w:type="dxa" w:w="2400"/>
            <w:shd w:fill="F4F6F9" w:val="clear"/>
            <w:tcMar>
              <w:top w:type="dxa" w:w="100"/>
              <w:left w:type="dxa" w:w="140"/>
              <w:bottom w:type="dxa" w:w="100"/>
              <w:right w:type="dxa" w:w="140"/>
            </w:tcMar>
          </w:tcPr>
          <w:p>
            <w:r>
              <w:rPr>
                <w:sz w:val="19"/>
                <w:szCs w:val="19"/>
              </w:rPr>
              <w:t xml:space="preserve">reduce catfishing and synthetic-profile fraud, a leading driver of user churn and reputational harm</w:t>
            </w:r>
          </w:p>
        </w:tc>
      </w:tr>
      <w:tr>
        <w:tc>
          <w:tcPr>
            <w:tcW w:type="dxa" w:w="2200"/>
            <w:shd w:fill="FFFFFF" w:val="clear"/>
            <w:tcMar>
              <w:top w:type="dxa" w:w="100"/>
              <w:left w:type="dxa" w:w="140"/>
              <w:bottom w:type="dxa" w:w="100"/>
              <w:right w:type="dxa" w:w="140"/>
            </w:tcMar>
          </w:tcPr>
          <w:p>
            <w:r>
              <w:rPr>
                <w:sz w:val="19"/>
                <w:szCs w:val="19"/>
              </w:rPr>
              <w:t xml:space="preserve">Protect a livestream's credibility</w:t>
            </w:r>
          </w:p>
        </w:tc>
        <w:tc>
          <w:tcPr>
            <w:tcW w:type="dxa" w:w="2200"/>
            <w:shd w:fill="FFFFFF" w:val="clear"/>
            <w:tcMar>
              <w:top w:type="dxa" w:w="100"/>
              <w:left w:type="dxa" w:w="140"/>
              <w:bottom w:type="dxa" w:w="100"/>
              <w:right w:type="dxa" w:w="140"/>
            </w:tcMar>
          </w:tcPr>
          <w:p>
            <w:r>
              <w:rPr>
                <w:sz w:val="19"/>
                <w:szCs w:val="19"/>
              </w:rPr>
              <w:t xml:space="preserve">host livestreamed commerce, fundraising, or claims of official authority</w:t>
            </w:r>
          </w:p>
        </w:tc>
        <w:tc>
          <w:tcPr>
            <w:tcW w:type="dxa" w:w="2600"/>
            <w:shd w:fill="FFFFFF" w:val="clear"/>
            <w:tcMar>
              <w:top w:type="dxa" w:w="100"/>
              <w:left w:type="dxa" w:w="140"/>
              <w:bottom w:type="dxa" w:w="100"/>
              <w:right w:type="dxa" w:w="140"/>
            </w:tcMar>
          </w:tcPr>
          <w:p>
            <w:r>
              <w:rPr>
                <w:sz w:val="19"/>
                <w:szCs w:val="19"/>
              </w:rPr>
              <w:t xml:space="preserve">verify the broadcaster is a real, present, unaltered human throughout the stream, not just at its start</w:t>
            </w:r>
          </w:p>
        </w:tc>
        <w:tc>
          <w:tcPr>
            <w:tcW w:type="dxa" w:w="2400"/>
            <w:shd w:fill="FFFFFF" w:val="clear"/>
            <w:tcMar>
              <w:top w:type="dxa" w:w="100"/>
              <w:left w:type="dxa" w:w="140"/>
              <w:bottom w:type="dxa" w:w="100"/>
              <w:right w:type="dxa" w:w="140"/>
            </w:tcMar>
          </w:tcPr>
          <w:p>
            <w:r>
              <w:rPr>
                <w:sz w:val="19"/>
                <w:szCs w:val="19"/>
              </w:rPr>
              <w:t xml:space="preserve">protect viewers and the platform from a synthetically impersonated broadcaster</w:t>
            </w:r>
          </w:p>
        </w:tc>
      </w:tr>
      <w:tr>
        <w:tc>
          <w:tcPr>
            <w:tcW w:type="dxa" w:w="2200"/>
            <w:shd w:fill="F4F6F9" w:val="clear"/>
            <w:tcMar>
              <w:top w:type="dxa" w:w="100"/>
              <w:left w:type="dxa" w:w="140"/>
              <w:bottom w:type="dxa" w:w="100"/>
              <w:right w:type="dxa" w:w="140"/>
            </w:tcMar>
          </w:tcPr>
          <w:p>
            <w:r>
              <w:rPr>
                <w:sz w:val="19"/>
                <w:szCs w:val="19"/>
              </w:rPr>
              <w:t xml:space="preserve">Trust the person on the other end of a call</w:t>
            </w:r>
          </w:p>
        </w:tc>
        <w:tc>
          <w:tcPr>
            <w:tcW w:type="dxa" w:w="2200"/>
            <w:shd w:fill="F4F6F9" w:val="clear"/>
            <w:tcMar>
              <w:top w:type="dxa" w:w="100"/>
              <w:left w:type="dxa" w:w="140"/>
              <w:bottom w:type="dxa" w:w="100"/>
              <w:right w:type="dxa" w:w="140"/>
            </w:tcMar>
          </w:tcPr>
          <w:p>
            <w:r>
              <w:rPr>
                <w:sz w:val="19"/>
                <w:szCs w:val="19"/>
              </w:rPr>
              <w:t xml:space="preserve">am a participant on a video call mediated by a platform that has embedded Certivo</w:t>
            </w:r>
          </w:p>
        </w:tc>
        <w:tc>
          <w:tcPr>
            <w:tcW w:type="dxa" w:w="2600"/>
            <w:shd w:fill="F4F6F9" w:val="clear"/>
            <w:tcMar>
              <w:top w:type="dxa" w:w="100"/>
              <w:left w:type="dxa" w:w="140"/>
              <w:bottom w:type="dxa" w:w="100"/>
              <w:right w:type="dxa" w:w="140"/>
            </w:tcMar>
          </w:tcPr>
          <w:p>
            <w:r>
              <w:rPr>
                <w:sz w:val="19"/>
                <w:szCs w:val="19"/>
              </w:rPr>
              <w:t xml:space="preserve">see a continuously updated, explainable trust signal about the other participant(s)</w:t>
            </w:r>
          </w:p>
        </w:tc>
        <w:tc>
          <w:tcPr>
            <w:tcW w:type="dxa" w:w="2400"/>
            <w:shd w:fill="F4F6F9" w:val="clear"/>
            <w:tcMar>
              <w:top w:type="dxa" w:w="100"/>
              <w:left w:type="dxa" w:w="140"/>
              <w:bottom w:type="dxa" w:w="100"/>
              <w:right w:type="dxa" w:w="140"/>
            </w:tcMar>
          </w:tcPr>
          <w:p>
            <w:r>
              <w:rPr>
                <w:sz w:val="19"/>
                <w:szCs w:val="19"/>
              </w:rPr>
              <w:t xml:space="preserve">make an informed decision about how much to trust the interaction, in real time</w:t>
            </w:r>
          </w:p>
        </w:tc>
      </w:tr>
    </w:tbl>
    <w:p>
      <w:pPr>
        <w:spacing w:after="260" w:before="80"/>
      </w:pPr>
      <w:r>
        <w:rPr>
          <w:i/>
          <w:iCs/>
          <w:color w:val="6B7280"/>
          <w:sz w:val="18"/>
          <w:szCs w:val="18"/>
        </w:rPr>
        <w:t xml:space="preserve">Table 5.1 — Jobs to be done for the flagship use case.</w:t>
      </w:r>
    </w:p>
    <w:p>
      <w:pPr>
        <w:pStyle w:val="Heading1"/>
        <w:pageBreakBefore/>
        <w:spacing w:after="240" w:before="480"/>
      </w:pPr>
      <w:r>
        <w:rPr>
          <w:b/>
          <w:bCs/>
          <w:color w:val="1A2B4C"/>
          <w:sz w:val="32"/>
          <w:szCs w:val="32"/>
        </w:rPr>
        <w:t xml:space="preserve">6. Functional Requirements</w:t>
      </w:r>
    </w:p>
    <w:p>
      <w:pPr>
        <w:spacing w:after="200" w:line="300"/>
        <w:jc w:val="both"/>
      </w:pPr>
      <w:r>
        <w:rPr>
          <w:sz w:val="21"/>
          <w:szCs w:val="21"/>
        </w:rPr>
        <w:t xml:space="preserve">Requirements are grouped by capability area and tagged P0/P1/P2 as in Version 1.0. Section 6.1 is entirely new — continuous, in-call verification did not have functional requirements in Version 1.0 beyond a single Future-Features bullet. Sections 6.2 (Trusted Device Layer) is also new. Sections 6.3-6.7 carry forward the original point-in-time requirements (liveness, synthetic media, cryptographic attestation, privacy/consent, developer platform), retained because the flagship's continuous model reuses the same underlying detection and attestation capabilities, applied continuously rather than once.</w:t>
      </w:r>
    </w:p>
    <w:p>
      <w:pPr>
        <w:pStyle w:val="Heading2"/>
        <w:spacing w:after="180" w:before="360"/>
      </w:pPr>
      <w:r>
        <w:rPr>
          <w:b/>
          <w:bCs/>
          <w:color w:val="2E5EAA"/>
          <w:sz w:val="26"/>
          <w:szCs w:val="26"/>
        </w:rPr>
        <w:t xml:space="preserve">6.1 Continuous live-call verification (new, P0 — the flagship capability)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FR-C.1</w:t>
            </w:r>
          </w:p>
        </w:tc>
        <w:tc>
          <w:tcPr>
            <w:tcW w:type="dxa" w:w="6800"/>
            <w:shd w:fill="F4F6F9" w:val="clear"/>
            <w:tcMar>
              <w:top w:type="dxa" w:w="100"/>
              <w:left w:type="dxa" w:w="140"/>
              <w:bottom w:type="dxa" w:w="100"/>
              <w:right w:type="dxa" w:w="140"/>
            </w:tcMar>
          </w:tcPr>
          <w:p>
            <w:r>
              <w:rPr>
                <w:sz w:val="19"/>
                <w:szCs w:val="19"/>
              </w:rPr>
              <w:t xml:space="preserve">System shall provide an SDK embeddable within a partner platform's live video-call client, capable of continuously analyzing the local participant's camera/microphone feed for liveness and synthetic-media indicators for the duration of a call.</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FR-C.2</w:t>
            </w:r>
          </w:p>
        </w:tc>
        <w:tc>
          <w:tcPr>
            <w:tcW w:type="dxa" w:w="6800"/>
            <w:shd w:fill="FFFFFF" w:val="clear"/>
            <w:tcMar>
              <w:top w:type="dxa" w:w="100"/>
              <w:left w:type="dxa" w:w="140"/>
              <w:bottom w:type="dxa" w:w="100"/>
              <w:right w:type="dxa" w:w="140"/>
            </w:tcMar>
          </w:tcPr>
          <w:p>
            <w:r>
              <w:rPr>
                <w:sz w:val="19"/>
                <w:szCs w:val="19"/>
              </w:rPr>
              <w:t xml:space="preserve">System shall re-evaluate liveness and synthetic-media confidence on a recurring interval during a call (not once at call start), with the interval itself configurable per integrating platform's risk tolerance and performance budget.</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FR-C.3</w:t>
            </w:r>
          </w:p>
        </w:tc>
        <w:tc>
          <w:tcPr>
            <w:tcW w:type="dxa" w:w="6800"/>
            <w:shd w:fill="F4F6F9" w:val="clear"/>
            <w:tcMar>
              <w:top w:type="dxa" w:w="100"/>
              <w:left w:type="dxa" w:w="140"/>
              <w:bottom w:type="dxa" w:w="100"/>
              <w:right w:type="dxa" w:w="140"/>
            </w:tcMar>
          </w:tcPr>
          <w:p>
            <w:r>
              <w:rPr>
                <w:sz w:val="19"/>
                <w:szCs w:val="19"/>
              </w:rPr>
              <w:t xml:space="preserve">System shall detect a live face-swap or synthetic-media injection introduced mid-call, not only at call start — directly addressing the documented attack pattern of a call beginning with a genuine participant and being taken over synthetically partway through.</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FR-C.4</w:t>
            </w:r>
          </w:p>
        </w:tc>
        <w:tc>
          <w:tcPr>
            <w:tcW w:type="dxa" w:w="6800"/>
            <w:shd w:fill="FFFFFF" w:val="clear"/>
            <w:tcMar>
              <w:top w:type="dxa" w:w="100"/>
              <w:left w:type="dxa" w:w="140"/>
              <w:bottom w:type="dxa" w:w="100"/>
              <w:right w:type="dxa" w:w="140"/>
            </w:tcMar>
          </w:tcPr>
          <w:p>
            <w:r>
              <w:rPr>
                <w:sz w:val="19"/>
                <w:szCs w:val="19"/>
              </w:rPr>
              <w:t xml:space="preserve">System shall broadcast each participant's continuously updated trust score and explanation to other participants and/or the integrating platform's own systems, per the platform's configuration, within the latency budget defined in NFR-C.1.</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FR-C.5</w:t>
            </w:r>
          </w:p>
        </w:tc>
        <w:tc>
          <w:tcPr>
            <w:tcW w:type="dxa" w:w="6800"/>
            <w:shd w:fill="F4F6F9" w:val="clear"/>
            <w:tcMar>
              <w:top w:type="dxa" w:w="100"/>
              <w:left w:type="dxa" w:w="140"/>
              <w:bottom w:type="dxa" w:w="100"/>
              <w:right w:type="dxa" w:w="140"/>
            </w:tcMar>
          </w:tcPr>
          <w:p>
            <w:r>
              <w:rPr>
                <w:sz w:val="19"/>
                <w:szCs w:val="19"/>
              </w:rPr>
              <w:t xml:space="preserve">System shall operate within a bounded, documented share of device CPU, memory, and battery budget, validated against the integrating platform's own reference devices before production rollout (per the Jordan Reyes and Priya Shah personas' stated requirements, Section 4.1).</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FR-C.6</w:t>
            </w:r>
          </w:p>
        </w:tc>
        <w:tc>
          <w:tcPr>
            <w:tcW w:type="dxa" w:w="6800"/>
            <w:shd w:fill="FFFFFF" w:val="clear"/>
            <w:tcMar>
              <w:top w:type="dxa" w:w="100"/>
              <w:left w:type="dxa" w:w="140"/>
              <w:bottom w:type="dxa" w:w="100"/>
              <w:right w:type="dxa" w:w="140"/>
            </w:tcMar>
          </w:tcPr>
          <w:p>
            <w:r>
              <w:rPr>
                <w:sz w:val="19"/>
                <w:szCs w:val="19"/>
              </w:rPr>
              <w:t xml:space="preserve">System shall never introduce perceptible additional call latency or degrade audio/video quality as a side effect of verification processing.</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FR-C.7</w:t>
            </w:r>
          </w:p>
        </w:tc>
        <w:tc>
          <w:tcPr>
            <w:tcW w:type="dxa" w:w="6800"/>
            <w:shd w:fill="F4F6F9" w:val="clear"/>
            <w:tcMar>
              <w:top w:type="dxa" w:w="100"/>
              <w:left w:type="dxa" w:w="140"/>
              <w:bottom w:type="dxa" w:w="100"/>
              <w:right w:type="dxa" w:w="140"/>
            </w:tcMar>
          </w:tcPr>
          <w:p>
            <w:r>
              <w:rPr>
                <w:sz w:val="19"/>
                <w:szCs w:val="19"/>
              </w:rPr>
              <w:t xml:space="preserve">System shall support multi-participant calls, independently verifying and scoring each participant rather than assuming a two-party call structure.</w:t>
            </w:r>
          </w:p>
        </w:tc>
        <w:tc>
          <w:tcPr>
            <w:tcW w:type="dxa" w:w="1400"/>
            <w:shd w:fill="F4F6F9" w:val="clear"/>
            <w:tcMar>
              <w:top w:type="dxa" w:w="100"/>
              <w:left w:type="dxa" w:w="140"/>
              <w:bottom w:type="dxa" w:w="100"/>
              <w:right w:type="dxa" w:w="140"/>
            </w:tcMar>
          </w:tcPr>
          <w:p>
            <w:r>
              <w:rPr>
                <w:sz w:val="19"/>
                <w:szCs w:val="19"/>
              </w:rPr>
              <w:t xml:space="preserve">P1</w:t>
            </w:r>
          </w:p>
        </w:tc>
      </w:tr>
      <w:tr>
        <w:tc>
          <w:tcPr>
            <w:tcW w:type="dxa" w:w="1200"/>
            <w:shd w:fill="FFFFFF" w:val="clear"/>
            <w:tcMar>
              <w:top w:type="dxa" w:w="100"/>
              <w:left w:type="dxa" w:w="140"/>
              <w:bottom w:type="dxa" w:w="100"/>
              <w:right w:type="dxa" w:w="140"/>
            </w:tcMar>
          </w:tcPr>
          <w:p>
            <w:r>
              <w:rPr>
                <w:sz w:val="19"/>
                <w:szCs w:val="19"/>
              </w:rPr>
              <w:t xml:space="preserve">FR-C.8</w:t>
            </w:r>
          </w:p>
        </w:tc>
        <w:tc>
          <w:tcPr>
            <w:tcW w:type="dxa" w:w="6800"/>
            <w:shd w:fill="FFFFFF" w:val="clear"/>
            <w:tcMar>
              <w:top w:type="dxa" w:w="100"/>
              <w:left w:type="dxa" w:w="140"/>
              <w:bottom w:type="dxa" w:w="100"/>
              <w:right w:type="dxa" w:w="140"/>
            </w:tcMar>
          </w:tcPr>
          <w:p>
            <w:r>
              <w:rPr>
                <w:sz w:val="19"/>
                <w:szCs w:val="19"/>
              </w:rPr>
              <w:t xml:space="preserve">System shall flag — never silently ignore — a mid-call drop in confidence below a configured threshold, routing to the platform's configured response (visible in-call indicator, moderation alert, or session flagging) rather than only recording it after the fact.</w:t>
            </w:r>
          </w:p>
        </w:tc>
        <w:tc>
          <w:tcPr>
            <w:tcW w:type="dxa" w:w="1400"/>
            <w:shd w:fill="FFFFFF" w:val="clear"/>
            <w:tcMar>
              <w:top w:type="dxa" w:w="100"/>
              <w:left w:type="dxa" w:w="140"/>
              <w:bottom w:type="dxa" w:w="100"/>
              <w:right w:type="dxa" w:w="140"/>
            </w:tcMar>
          </w:tcPr>
          <w:p>
            <w:r>
              <w:rPr>
                <w:sz w:val="19"/>
                <w:szCs w:val="19"/>
              </w:rPr>
              <w:t xml:space="preserve">P0</w:t>
            </w:r>
          </w:p>
        </w:tc>
      </w:tr>
    </w:tbl>
    <w:p>
      <w:pPr>
        <w:pStyle w:val="Heading3"/>
        <w:spacing w:after="140" w:before="280"/>
      </w:pPr>
      <w:r>
        <w:rPr>
          <w:b/>
          <w:bCs/>
          <w:color w:val="1A2B4C"/>
          <w:sz w:val="22"/>
          <w:szCs w:val="22"/>
        </w:rPr>
        <w:t xml:space="preserve">Acceptance criteria — Continuous live-call verification</w:t>
      </w:r>
    </w:p>
    <w:p>
      <w:pPr>
        <w:pStyle w:val="ListParagraph"/>
        <w:numPr>
          <w:ilvl w:val="0"/>
          <w:numId w:val="2"/>
        </w:numPr>
        <w:spacing w:after="100" w:line="280"/>
      </w:pPr>
      <w:r>
        <w:rPr>
          <w:sz w:val="21"/>
          <w:szCs w:val="21"/>
        </w:rPr>
        <w:t xml:space="preserve">Given a live call with a genuine participant throughout, the system maintains a stable, appropriately high confidence score across the full call duration without unexplained fluctuation.</w:t>
      </w:r>
    </w:p>
    <w:p>
      <w:pPr>
        <w:pStyle w:val="ListParagraph"/>
        <w:numPr>
          <w:ilvl w:val="0"/>
          <w:numId w:val="2"/>
        </w:numPr>
        <w:spacing w:after="100" w:line="280"/>
      </w:pPr>
      <w:r>
        <w:rPr>
          <w:sz w:val="21"/>
          <w:szCs w:val="21"/>
        </w:rPr>
        <w:t xml:space="preserve">Given a call where a synthetic replacement is introduced at a specific point mid-call, the system detects the change within a defined, tested detection window rather than continuing to report the pre-swap confidence level indefinitely.</w:t>
      </w:r>
    </w:p>
    <w:p>
      <w:pPr>
        <w:pStyle w:val="ListParagraph"/>
        <w:numPr>
          <w:ilvl w:val="0"/>
          <w:numId w:val="2"/>
        </w:numPr>
        <w:spacing w:after="100" w:line="280"/>
      </w:pPr>
      <w:r>
        <w:rPr>
          <w:sz w:val="21"/>
          <w:szCs w:val="21"/>
        </w:rPr>
        <w:t xml:space="preserve">Given a reference device matching an integrating partner's minimum supported hardware, the SDK's CPU/battery/bandwidth overhead is measured and stays within the documented budget agreed with that partner before production rollout.</w:t>
      </w:r>
    </w:p>
    <w:p>
      <w:pPr>
        <w:pStyle w:val="Heading2"/>
        <w:spacing w:after="180" w:before="360"/>
      </w:pPr>
      <w:r>
        <w:rPr>
          <w:b/>
          <w:bCs/>
          <w:color w:val="2E5EAA"/>
          <w:sz w:val="26"/>
          <w:szCs w:val="26"/>
        </w:rPr>
        <w:t xml:space="preserve">6.2 Trusted Device Layer (new, P1)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FR-D.1</w:t>
            </w:r>
          </w:p>
        </w:tc>
        <w:tc>
          <w:tcPr>
            <w:tcW w:type="dxa" w:w="6800"/>
            <w:shd w:fill="F4F6F9" w:val="clear"/>
            <w:tcMar>
              <w:top w:type="dxa" w:w="100"/>
              <w:left w:type="dxa" w:w="140"/>
              <w:bottom w:type="dxa" w:w="100"/>
              <w:right w:type="dxa" w:w="140"/>
            </w:tcMar>
          </w:tcPr>
          <w:p>
            <w:r>
              <w:rPr>
                <w:sz w:val="19"/>
                <w:szCs w:val="19"/>
              </w:rPr>
              <w:t xml:space="preserve">System shall issue a persistent, cryptographically-backed Trusted Device Token following a successful verification, tied to device hardware integrity signals (e.g. secure enclave / keystore validation, OS attestation, application integrity) rather than to a stored biometric template.</w:t>
            </w:r>
          </w:p>
        </w:tc>
        <w:tc>
          <w:tcPr>
            <w:tcW w:type="dxa" w:w="1400"/>
            <w:shd w:fill="F4F6F9" w:val="clear"/>
            <w:tcMar>
              <w:top w:type="dxa" w:w="100"/>
              <w:left w:type="dxa" w:w="140"/>
              <w:bottom w:type="dxa" w:w="100"/>
              <w:right w:type="dxa" w:w="140"/>
            </w:tcMar>
          </w:tcPr>
          <w:p>
            <w:r>
              <w:rPr>
                <w:sz w:val="19"/>
                <w:szCs w:val="19"/>
              </w:rPr>
              <w:t xml:space="preserve">P1</w:t>
            </w:r>
          </w:p>
        </w:tc>
      </w:tr>
      <w:tr>
        <w:tc>
          <w:tcPr>
            <w:tcW w:type="dxa" w:w="1200"/>
            <w:shd w:fill="FFFFFF" w:val="clear"/>
            <w:tcMar>
              <w:top w:type="dxa" w:w="100"/>
              <w:left w:type="dxa" w:w="140"/>
              <w:bottom w:type="dxa" w:w="100"/>
              <w:right w:type="dxa" w:w="140"/>
            </w:tcMar>
          </w:tcPr>
          <w:p>
            <w:r>
              <w:rPr>
                <w:sz w:val="19"/>
                <w:szCs w:val="19"/>
              </w:rPr>
              <w:t xml:space="preserve">FR-D.2</w:t>
            </w:r>
          </w:p>
        </w:tc>
        <w:tc>
          <w:tcPr>
            <w:tcW w:type="dxa" w:w="6800"/>
            <w:shd w:fill="FFFFFF" w:val="clear"/>
            <w:tcMar>
              <w:top w:type="dxa" w:w="100"/>
              <w:left w:type="dxa" w:w="140"/>
              <w:bottom w:type="dxa" w:w="100"/>
              <w:right w:type="dxa" w:w="140"/>
            </w:tcMar>
          </w:tcPr>
          <w:p>
            <w:r>
              <w:rPr>
                <w:sz w:val="19"/>
                <w:szCs w:val="19"/>
              </w:rPr>
              <w:t xml:space="preserve">System shall allow an integrating platform to check, at the start of a later session, whether the same previously verified human is still operating from the same trusted device, without requiring a full re-verification.</w:t>
            </w:r>
          </w:p>
        </w:tc>
        <w:tc>
          <w:tcPr>
            <w:tcW w:type="dxa" w:w="1400"/>
            <w:shd w:fill="FFFFFF" w:val="clear"/>
            <w:tcMar>
              <w:top w:type="dxa" w:w="100"/>
              <w:left w:type="dxa" w:w="140"/>
              <w:bottom w:type="dxa" w:w="100"/>
              <w:right w:type="dxa" w:w="140"/>
            </w:tcMar>
          </w:tcPr>
          <w:p>
            <w:r>
              <w:rPr>
                <w:sz w:val="19"/>
                <w:szCs w:val="19"/>
              </w:rPr>
              <w:t xml:space="preserve">P1</w:t>
            </w:r>
          </w:p>
        </w:tc>
      </w:tr>
      <w:tr>
        <w:tc>
          <w:tcPr>
            <w:tcW w:type="dxa" w:w="1200"/>
            <w:shd w:fill="F4F6F9" w:val="clear"/>
            <w:tcMar>
              <w:top w:type="dxa" w:w="100"/>
              <w:left w:type="dxa" w:w="140"/>
              <w:bottom w:type="dxa" w:w="100"/>
              <w:right w:type="dxa" w:w="140"/>
            </w:tcMar>
          </w:tcPr>
          <w:p>
            <w:r>
              <w:rPr>
                <w:sz w:val="19"/>
                <w:szCs w:val="19"/>
              </w:rPr>
              <w:t xml:space="preserve">FR-D.3</w:t>
            </w:r>
          </w:p>
        </w:tc>
        <w:tc>
          <w:tcPr>
            <w:tcW w:type="dxa" w:w="6800"/>
            <w:shd w:fill="F4F6F9" w:val="clear"/>
            <w:tcMar>
              <w:top w:type="dxa" w:w="100"/>
              <w:left w:type="dxa" w:w="140"/>
              <w:bottom w:type="dxa" w:w="100"/>
              <w:right w:type="dxa" w:w="140"/>
            </w:tcMar>
          </w:tcPr>
          <w:p>
            <w:r>
              <w:rPr>
                <w:sz w:val="19"/>
                <w:szCs w:val="19"/>
              </w:rPr>
              <w:t xml:space="preserve">System shall scope every Trusted Device Token to the specific integrating platform that requested it by default — a token issued for one platform shall not be usable, readable, or correlatable by a different integrating platform without the end user's explicit, separate consent to link them (Vision Document, Document 1, Section 6's non-negotiable).</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FR-D.4</w:t>
            </w:r>
          </w:p>
        </w:tc>
        <w:tc>
          <w:tcPr>
            <w:tcW w:type="dxa" w:w="6800"/>
            <w:shd w:fill="FFFFFF" w:val="clear"/>
            <w:tcMar>
              <w:top w:type="dxa" w:w="100"/>
              <w:left w:type="dxa" w:w="140"/>
              <w:bottom w:type="dxa" w:w="100"/>
              <w:right w:type="dxa" w:w="140"/>
            </w:tcMar>
          </w:tcPr>
          <w:p>
            <w:r>
              <w:rPr>
                <w:sz w:val="19"/>
                <w:szCs w:val="19"/>
              </w:rPr>
              <w:t xml:space="preserve">System shall support Trusted Device Token revocation, both user-initiated and platform-initiated, with immediate effect on subsequent session checks.</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FR-D.5</w:t>
            </w:r>
          </w:p>
        </w:tc>
        <w:tc>
          <w:tcPr>
            <w:tcW w:type="dxa" w:w="6800"/>
            <w:shd w:fill="F4F6F9" w:val="clear"/>
            <w:tcMar>
              <w:top w:type="dxa" w:w="100"/>
              <w:left w:type="dxa" w:w="140"/>
              <w:bottom w:type="dxa" w:w="100"/>
              <w:right w:type="dxa" w:w="140"/>
            </w:tcMar>
          </w:tcPr>
          <w:p>
            <w:r>
              <w:rPr>
                <w:sz w:val="19"/>
                <w:szCs w:val="19"/>
              </w:rPr>
              <w:t xml:space="preserve">System shall expire a Trusted Device Token after a configurable maximum lifetime, never treating a token as permanently valid regardless of elapsed time.</w:t>
            </w:r>
          </w:p>
        </w:tc>
        <w:tc>
          <w:tcPr>
            <w:tcW w:type="dxa" w:w="1400"/>
            <w:shd w:fill="F4F6F9" w:val="clear"/>
            <w:tcMar>
              <w:top w:type="dxa" w:w="100"/>
              <w:left w:type="dxa" w:w="140"/>
              <w:bottom w:type="dxa" w:w="100"/>
              <w:right w:type="dxa" w:w="140"/>
            </w:tcMar>
          </w:tcPr>
          <w:p>
            <w:r>
              <w:rPr>
                <w:sz w:val="19"/>
                <w:szCs w:val="19"/>
              </w:rPr>
              <w:t xml:space="preserve">P1</w:t>
            </w:r>
          </w:p>
        </w:tc>
      </w:tr>
      <w:tr>
        <w:tc>
          <w:tcPr>
            <w:tcW w:type="dxa" w:w="1200"/>
            <w:shd w:fill="FFFFFF" w:val="clear"/>
            <w:tcMar>
              <w:top w:type="dxa" w:w="100"/>
              <w:left w:type="dxa" w:w="140"/>
              <w:bottom w:type="dxa" w:w="100"/>
              <w:right w:type="dxa" w:w="140"/>
            </w:tcMar>
          </w:tcPr>
          <w:p>
            <w:r>
              <w:rPr>
                <w:sz w:val="19"/>
                <w:szCs w:val="19"/>
              </w:rPr>
              <w:t xml:space="preserve">FR-D.6</w:t>
            </w:r>
          </w:p>
        </w:tc>
        <w:tc>
          <w:tcPr>
            <w:tcW w:type="dxa" w:w="6800"/>
            <w:shd w:fill="FFFFFF" w:val="clear"/>
            <w:tcMar>
              <w:top w:type="dxa" w:w="100"/>
              <w:left w:type="dxa" w:w="140"/>
              <w:bottom w:type="dxa" w:w="100"/>
              <w:right w:type="dxa" w:w="140"/>
            </w:tcMar>
          </w:tcPr>
          <w:p>
            <w:r>
              <w:rPr>
                <w:sz w:val="19"/>
                <w:szCs w:val="19"/>
              </w:rPr>
              <w:t xml:space="preserve">System shall detect and flag a device-switch event (the same account attempting to use a different, non-trusted device) as a distinct signal from a failed liveness/synthetic-media check, since it indicates a different risk pattern (Vision Document, Document 1, Section 3's device-switch fraud vector).</w:t>
            </w:r>
          </w:p>
        </w:tc>
        <w:tc>
          <w:tcPr>
            <w:tcW w:type="dxa" w:w="1400"/>
            <w:shd w:fill="FFFFFF" w:val="clear"/>
            <w:tcMar>
              <w:top w:type="dxa" w:w="100"/>
              <w:left w:type="dxa" w:w="140"/>
              <w:bottom w:type="dxa" w:w="100"/>
              <w:right w:type="dxa" w:w="140"/>
            </w:tcMar>
          </w:tcPr>
          <w:p>
            <w:r>
              <w:rPr>
                <w:sz w:val="19"/>
                <w:szCs w:val="19"/>
              </w:rPr>
              <w:t xml:space="preserve">P1</w:t>
            </w:r>
          </w:p>
        </w:tc>
      </w:tr>
    </w:tbl>
    <w:p>
      <w:pPr>
        <w:pStyle w:val="Heading3"/>
        <w:spacing w:after="140" w:before="280"/>
      </w:pPr>
      <w:r>
        <w:rPr>
          <w:b/>
          <w:bCs/>
          <w:color w:val="1A2B4C"/>
          <w:sz w:val="22"/>
          <w:szCs w:val="22"/>
        </w:rPr>
        <w:t xml:space="preserve">Acceptance criteria — Trusted Device Layer</w:t>
      </w:r>
    </w:p>
    <w:p>
      <w:pPr>
        <w:pStyle w:val="ListParagraph"/>
        <w:numPr>
          <w:ilvl w:val="0"/>
          <w:numId w:val="2"/>
        </w:numPr>
        <w:spacing w:after="100" w:line="280"/>
      </w:pPr>
      <w:r>
        <w:rPr>
          <w:sz w:val="21"/>
          <w:szCs w:val="21"/>
        </w:rPr>
        <w:t xml:space="preserve">Given a Trusted Device Token issued for Platform A, a request from Platform B for information about the same device never succeeds without a separately and explicitly consented linking step.</w:t>
      </w:r>
    </w:p>
    <w:p>
      <w:pPr>
        <w:pStyle w:val="ListParagraph"/>
        <w:numPr>
          <w:ilvl w:val="0"/>
          <w:numId w:val="2"/>
        </w:numPr>
        <w:spacing w:after="100" w:line="280"/>
      </w:pPr>
      <w:r>
        <w:rPr>
          <w:sz w:val="21"/>
          <w:szCs w:val="21"/>
        </w:rPr>
        <w:t xml:space="preserve">Given a user-initiated revocation request, the token is rejected on the very next session check attempted with it, not after a delay.</w:t>
      </w:r>
    </w:p>
    <w:p>
      <w:pPr>
        <w:pStyle w:val="ListParagraph"/>
        <w:numPr>
          <w:ilvl w:val="0"/>
          <w:numId w:val="2"/>
        </w:numPr>
        <w:spacing w:after="100" w:line="280"/>
      </w:pPr>
      <w:r>
        <w:rPr>
          <w:sz w:val="21"/>
          <w:szCs w:val="21"/>
        </w:rPr>
        <w:t xml:space="preserve">Given a token past its configured maximum lifetime, the system treats it as invalid and requires full re-verification, never silently extending it.</w:t>
      </w:r>
    </w:p>
    <w:p>
      <w:pPr>
        <w:pStyle w:val="Heading2"/>
        <w:spacing w:after="180" w:before="360"/>
      </w:pPr>
      <w:r>
        <w:rPr>
          <w:b/>
          <w:bCs/>
          <w:color w:val="2E5EAA"/>
          <w:sz w:val="26"/>
          <w:szCs w:val="26"/>
        </w:rPr>
        <w:t xml:space="preserve">6.3 Liveness detection (retained from Version 1.0, now applied continuously per Section 6.1)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FR-1.1</w:t>
            </w:r>
          </w:p>
        </w:tc>
        <w:tc>
          <w:tcPr>
            <w:tcW w:type="dxa" w:w="6800"/>
            <w:shd w:fill="F4F6F9" w:val="clear"/>
            <w:tcMar>
              <w:top w:type="dxa" w:w="100"/>
              <w:left w:type="dxa" w:w="140"/>
              <w:bottom w:type="dxa" w:w="100"/>
              <w:right w:type="dxa" w:w="140"/>
            </w:tcMar>
          </w:tcPr>
          <w:p>
            <w:r>
              <w:rPr>
                <w:sz w:val="19"/>
                <w:szCs w:val="19"/>
              </w:rPr>
              <w:t xml:space="preserve">System shall determine, from a capture, whether a real, present human is in front of the camera, as opposed to a photo, video replay, mask, or digital injection — applied both at call start and continuously per FR-C.2.</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FR-1.2</w:t>
            </w:r>
          </w:p>
        </w:tc>
        <w:tc>
          <w:tcPr>
            <w:tcW w:type="dxa" w:w="6800"/>
            <w:shd w:fill="FFFFFF" w:val="clear"/>
            <w:tcMar>
              <w:top w:type="dxa" w:w="100"/>
              <w:left w:type="dxa" w:w="140"/>
              <w:bottom w:type="dxa" w:w="100"/>
              <w:right w:type="dxa" w:w="140"/>
            </w:tcMar>
          </w:tcPr>
          <w:p>
            <w:r>
              <w:rPr>
                <w:sz w:val="19"/>
                <w:szCs w:val="19"/>
              </w:rPr>
              <w:t xml:space="preserve">System shall return a calibrated liveness confidence score between 0 and 1 at every evaluation interval, not a bare pass/fail.</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FR-1.5</w:t>
            </w:r>
          </w:p>
        </w:tc>
        <w:tc>
          <w:tcPr>
            <w:tcW w:type="dxa" w:w="6800"/>
            <w:shd w:fill="F4F6F9" w:val="clear"/>
            <w:tcMar>
              <w:top w:type="dxa" w:w="100"/>
              <w:left w:type="dxa" w:w="140"/>
              <w:bottom w:type="dxa" w:w="100"/>
              <w:right w:type="dxa" w:w="140"/>
            </w:tcMar>
          </w:tcPr>
          <w:p>
            <w:r>
              <w:rPr>
                <w:sz w:val="19"/>
                <w:szCs w:val="19"/>
              </w:rPr>
              <w:t xml:space="preserve">System shall detect and flag common physical presentation attacks: printed photo, screen replay, 3D mask, and video injection via virtual camera drivers, throughout the call, not only at its start.</w:t>
            </w:r>
          </w:p>
        </w:tc>
        <w:tc>
          <w:tcPr>
            <w:tcW w:type="dxa" w:w="1400"/>
            <w:shd w:fill="F4F6F9"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6.4 Synthetic media / deepfake detection (retained, now the primary continuous signal per Section 6.1)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FR-2.1</w:t>
            </w:r>
          </w:p>
        </w:tc>
        <w:tc>
          <w:tcPr>
            <w:tcW w:type="dxa" w:w="6800"/>
            <w:shd w:fill="F4F6F9" w:val="clear"/>
            <w:tcMar>
              <w:top w:type="dxa" w:w="100"/>
              <w:left w:type="dxa" w:w="140"/>
              <w:bottom w:type="dxa" w:w="100"/>
              <w:right w:type="dxa" w:w="140"/>
            </w:tcMar>
          </w:tcPr>
          <w:p>
            <w:r>
              <w:rPr>
                <w:sz w:val="19"/>
                <w:szCs w:val="19"/>
              </w:rPr>
              <w:t xml:space="preserve">System shall analyze submitted video/audio for indicators of AI-generated or manipulated synthetic media, continuously during a live call per FR-C.2-C.3.</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FR-2.3</w:t>
            </w:r>
          </w:p>
        </w:tc>
        <w:tc>
          <w:tcPr>
            <w:tcW w:type="dxa" w:w="6800"/>
            <w:shd w:fill="FFFFFF" w:val="clear"/>
            <w:tcMar>
              <w:top w:type="dxa" w:w="100"/>
              <w:left w:type="dxa" w:w="140"/>
              <w:bottom w:type="dxa" w:w="100"/>
              <w:right w:type="dxa" w:w="140"/>
            </w:tcMar>
          </w:tcPr>
          <w:p>
            <w:r>
              <w:rPr>
                <w:sz w:val="19"/>
                <w:szCs w:val="19"/>
              </w:rPr>
              <w:t xml:space="preserve">System shall return per-modality confidence scores (video, audio) in addition to a combined score, at every evaluation interval.</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FR-2.4</w:t>
            </w:r>
          </w:p>
        </w:tc>
        <w:tc>
          <w:tcPr>
            <w:tcW w:type="dxa" w:w="6800"/>
            <w:shd w:fill="F4F6F9" w:val="clear"/>
            <w:tcMar>
              <w:top w:type="dxa" w:w="100"/>
              <w:left w:type="dxa" w:w="140"/>
              <w:bottom w:type="dxa" w:w="100"/>
              <w:right w:type="dxa" w:w="140"/>
            </w:tcMar>
          </w:tcPr>
          <w:p>
            <w:r>
              <w:rPr>
                <w:sz w:val="19"/>
                <w:szCs w:val="19"/>
              </w:rPr>
              <w:t xml:space="preserve">System shall flag — rather than silently ignore — borderline cases below a configurable confidence threshold, routing to the platform's configured fallback (Section 6.1's FR-C.8) rather than a hard binary decision.</w:t>
            </w:r>
          </w:p>
        </w:tc>
        <w:tc>
          <w:tcPr>
            <w:tcW w:type="dxa" w:w="1400"/>
            <w:shd w:fill="F4F6F9"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6.5 Cryptographic attestation (retained, extended to session-length attestations)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FR-4.1</w:t>
            </w:r>
          </w:p>
        </w:tc>
        <w:tc>
          <w:tcPr>
            <w:tcW w:type="dxa" w:w="6800"/>
            <w:shd w:fill="F4F6F9" w:val="clear"/>
            <w:tcMar>
              <w:top w:type="dxa" w:w="100"/>
              <w:left w:type="dxa" w:w="140"/>
              <w:bottom w:type="dxa" w:w="100"/>
              <w:right w:type="dxa" w:w="140"/>
            </w:tcMar>
          </w:tcPr>
          <w:p>
            <w:r>
              <w:rPr>
                <w:sz w:val="19"/>
                <w:szCs w:val="19"/>
              </w:rPr>
              <w:t xml:space="preserve">System shall generate a cryptographically signed attestation for a completed verification event — for continuous sessions, this covers the full call session's verification history, not only a single instant.</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FR-4.2</w:t>
            </w:r>
          </w:p>
        </w:tc>
        <w:tc>
          <w:tcPr>
            <w:tcW w:type="dxa" w:w="6800"/>
            <w:shd w:fill="FFFFFF" w:val="clear"/>
            <w:tcMar>
              <w:top w:type="dxa" w:w="100"/>
              <w:left w:type="dxa" w:w="140"/>
              <w:bottom w:type="dxa" w:w="100"/>
              <w:right w:type="dxa" w:w="140"/>
            </w:tcMar>
          </w:tcPr>
          <w:p>
            <w:r>
              <w:rPr>
                <w:sz w:val="19"/>
                <w:szCs w:val="19"/>
              </w:rPr>
              <w:t xml:space="preserve">Attestations shall be independently verifiable by a third party using a published public key, without a live call to Certivo's API.</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FR-4.4</w:t>
            </w:r>
          </w:p>
        </w:tc>
        <w:tc>
          <w:tcPr>
            <w:tcW w:type="dxa" w:w="6800"/>
            <w:shd w:fill="F4F6F9" w:val="clear"/>
            <w:tcMar>
              <w:top w:type="dxa" w:w="100"/>
              <w:left w:type="dxa" w:w="140"/>
              <w:bottom w:type="dxa" w:w="100"/>
              <w:right w:type="dxa" w:w="140"/>
            </w:tcMar>
          </w:tcPr>
          <w:p>
            <w:r>
              <w:rPr>
                <w:sz w:val="19"/>
                <w:szCs w:val="19"/>
              </w:rPr>
              <w:t xml:space="preserve">System shall support key rotation without invalidating previously issued, still-valid attestations.</w:t>
            </w:r>
          </w:p>
        </w:tc>
        <w:tc>
          <w:tcPr>
            <w:tcW w:type="dxa" w:w="1400"/>
            <w:shd w:fill="F4F6F9"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6.6 Privacy and consent (retained, with continuous-session-specific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FR-5.1</w:t>
            </w:r>
          </w:p>
        </w:tc>
        <w:tc>
          <w:tcPr>
            <w:tcW w:type="dxa" w:w="6800"/>
            <w:shd w:fill="F4F6F9" w:val="clear"/>
            <w:tcMar>
              <w:top w:type="dxa" w:w="100"/>
              <w:left w:type="dxa" w:w="140"/>
              <w:bottom w:type="dxa" w:w="100"/>
              <w:right w:type="dxa" w:w="140"/>
            </w:tcMar>
          </w:tcPr>
          <w:p>
            <w:r>
              <w:rPr>
                <w:sz w:val="19"/>
                <w:szCs w:val="19"/>
              </w:rPr>
              <w:t xml:space="preserve">System shall present clear, plain-language consent before any biometric capture begins, specifying what is captured, why, and the retention period — for continuous sessions, explicitly covering that verification continues for the call's duration, not only its start.</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FR-5.2</w:t>
            </w:r>
          </w:p>
        </w:tc>
        <w:tc>
          <w:tcPr>
            <w:tcW w:type="dxa" w:w="6800"/>
            <w:shd w:fill="FFFFFF" w:val="clear"/>
            <w:tcMar>
              <w:top w:type="dxa" w:w="100"/>
              <w:left w:type="dxa" w:w="140"/>
              <w:bottom w:type="dxa" w:w="100"/>
              <w:right w:type="dxa" w:w="140"/>
            </w:tcMar>
          </w:tcPr>
          <w:p>
            <w:r>
              <w:rPr>
                <w:sz w:val="19"/>
                <w:szCs w:val="19"/>
              </w:rPr>
              <w:t xml:space="preserve">System shall delete raw biometric capture data within a configurable, minimal default window not to exceed session end for continuous verification, unless a specific, separately consented retention purpose applies.</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FR-5.6</w:t>
            </w:r>
          </w:p>
        </w:tc>
        <w:tc>
          <w:tcPr>
            <w:tcW w:type="dxa" w:w="6800"/>
            <w:shd w:fill="F4F6F9" w:val="clear"/>
            <w:tcMar>
              <w:top w:type="dxa" w:w="100"/>
              <w:left w:type="dxa" w:w="140"/>
              <w:bottom w:type="dxa" w:w="100"/>
              <w:right w:type="dxa" w:w="140"/>
            </w:tcMar>
          </w:tcPr>
          <w:p>
            <w:r>
              <w:rPr>
                <w:sz w:val="19"/>
                <w:szCs w:val="19"/>
              </w:rPr>
              <w:t xml:space="preserve">System shall present consent for the Trusted Device Layer (Section 6.2) as a distinct, separately grantable consent from the base liveness/synthetic-media verification consent, since it implies a different (persistent, cross-session) data relationship.</w:t>
            </w:r>
          </w:p>
        </w:tc>
        <w:tc>
          <w:tcPr>
            <w:tcW w:type="dxa" w:w="1400"/>
            <w:shd w:fill="F4F6F9"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6.7 Developer / partner platform integration (retained, SDK-first framing)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FR-6.2</w:t>
            </w:r>
          </w:p>
        </w:tc>
        <w:tc>
          <w:tcPr>
            <w:tcW w:type="dxa" w:w="6800"/>
            <w:shd w:fill="F4F6F9" w:val="clear"/>
            <w:tcMar>
              <w:top w:type="dxa" w:w="100"/>
              <w:left w:type="dxa" w:w="140"/>
              <w:bottom w:type="dxa" w:w="100"/>
              <w:right w:type="dxa" w:w="140"/>
            </w:tcMar>
          </w:tcPr>
          <w:p>
            <w:r>
              <w:rPr>
                <w:sz w:val="19"/>
                <w:szCs w:val="19"/>
              </w:rPr>
              <w:t xml:space="preserve">System shall provide client SDKs for the platforms and frameworks partner platforms actually build on (initially: Web/WebRTC, iOS, Android), handling capture and continuous inference without exposing raw biometric data to the integrating platform's own backend.</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FR-6.3</w:t>
            </w:r>
          </w:p>
        </w:tc>
        <w:tc>
          <w:tcPr>
            <w:tcW w:type="dxa" w:w="6800"/>
            <w:shd w:fill="FFFFFF" w:val="clear"/>
            <w:tcMar>
              <w:top w:type="dxa" w:w="100"/>
              <w:left w:type="dxa" w:w="140"/>
              <w:bottom w:type="dxa" w:w="100"/>
              <w:right w:type="dxa" w:w="140"/>
            </w:tcMar>
          </w:tcPr>
          <w:p>
            <w:r>
              <w:rPr>
                <w:sz w:val="19"/>
                <w:szCs w:val="19"/>
              </w:rPr>
              <w:t xml:space="preserve">System shall provide a sandbox/test mode with deterministic, realistic continuous-session responses for partner CI/CD integration testing, including simulated mid-call confidence changes for FR-C.3 testing.</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FR-6.4</w:t>
            </w:r>
          </w:p>
        </w:tc>
        <w:tc>
          <w:tcPr>
            <w:tcW w:type="dxa" w:w="6800"/>
            <w:shd w:fill="F4F6F9" w:val="clear"/>
            <w:tcMar>
              <w:top w:type="dxa" w:w="100"/>
              <w:left w:type="dxa" w:w="140"/>
              <w:bottom w:type="dxa" w:w="100"/>
              <w:right w:type="dxa" w:w="140"/>
            </w:tcMar>
          </w:tcPr>
          <w:p>
            <w:r>
              <w:rPr>
                <w:sz w:val="19"/>
                <w:szCs w:val="19"/>
              </w:rPr>
              <w:t xml:space="preserve">System shall provide a partner-facing dashboard showing integration health, call-quality-impact metrics (latency, resource overhead), and verification/decision analytics distinct from a generic point-in-time dashboard.</w:t>
            </w:r>
          </w:p>
        </w:tc>
        <w:tc>
          <w:tcPr>
            <w:tcW w:type="dxa" w:w="1400"/>
            <w:shd w:fill="F4F6F9" w:val="clear"/>
            <w:tcMar>
              <w:top w:type="dxa" w:w="100"/>
              <w:left w:type="dxa" w:w="140"/>
              <w:bottom w:type="dxa" w:w="100"/>
              <w:right w:type="dxa" w:w="140"/>
            </w:tcMar>
          </w:tcPr>
          <w:p>
            <w:r>
              <w:rPr>
                <w:sz w:val="19"/>
                <w:szCs w:val="19"/>
              </w:rPr>
              <w:t xml:space="preserve">P1</w:t>
            </w:r>
          </w:p>
        </w:tc>
      </w:tr>
    </w:tbl>
    <w:p>
      <w:pPr>
        <w:pStyle w:val="Heading1"/>
        <w:pageBreakBefore/>
        <w:spacing w:after="240" w:before="480"/>
      </w:pPr>
      <w:r>
        <w:rPr>
          <w:b/>
          <w:bCs/>
          <w:color w:val="1A2B4C"/>
          <w:sz w:val="32"/>
          <w:szCs w:val="32"/>
        </w:rPr>
        <w:t xml:space="preserve">7. Non-Functional Requirements</w:t>
      </w:r>
    </w:p>
    <w:p>
      <w:pPr>
        <w:pStyle w:val="Heading2"/>
        <w:spacing w:after="180" w:before="360"/>
      </w:pPr>
      <w:r>
        <w:rPr>
          <w:b/>
          <w:bCs/>
          <w:color w:val="2E5EAA"/>
          <w:sz w:val="26"/>
          <w:szCs w:val="26"/>
        </w:rPr>
        <w:t xml:space="preserve">7.1 Performance — continuous verification (new)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NFR-C.1</w:t>
            </w:r>
          </w:p>
        </w:tc>
        <w:tc>
          <w:tcPr>
            <w:tcW w:type="dxa" w:w="6800"/>
            <w:shd w:fill="F4F6F9" w:val="clear"/>
            <w:tcMar>
              <w:top w:type="dxa" w:w="100"/>
              <w:left w:type="dxa" w:w="140"/>
              <w:bottom w:type="dxa" w:w="100"/>
              <w:right w:type="dxa" w:w="140"/>
            </w:tcMar>
          </w:tcPr>
          <w:p>
            <w:r>
              <w:rPr>
                <w:sz w:val="19"/>
                <w:szCs w:val="19"/>
              </w:rPr>
              <w:t xml:space="preserve">Each re-evaluation interval during a call shall complete without introducing perceptible call lag, targeting a compute budget materially smaller per-interval than the original 3-second point-in-time budget, since this runs repeatedly for a call's full duration rather than once.</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NFR-C.2</w:t>
            </w:r>
          </w:p>
        </w:tc>
        <w:tc>
          <w:tcPr>
            <w:tcW w:type="dxa" w:w="6800"/>
            <w:shd w:fill="FFFFFF" w:val="clear"/>
            <w:tcMar>
              <w:top w:type="dxa" w:w="100"/>
              <w:left w:type="dxa" w:w="140"/>
              <w:bottom w:type="dxa" w:w="100"/>
              <w:right w:type="dxa" w:w="140"/>
            </w:tcMar>
          </w:tcPr>
          <w:p>
            <w:r>
              <w:rPr>
                <w:sz w:val="19"/>
                <w:szCs w:val="19"/>
              </w:rPr>
              <w:t xml:space="preserve">SDK resource overhead (CPU, memory, battery, bandwidth) shall be measured and published per supported platform/device tier, and validated against each partner's own reference devices before production rollout (FR-C.5).</w:t>
            </w:r>
          </w:p>
        </w:tc>
        <w:tc>
          <w:tcPr>
            <w:tcW w:type="dxa" w:w="1400"/>
            <w:shd w:fill="FFFFFF" w:val="clear"/>
            <w:tcMar>
              <w:top w:type="dxa" w:w="100"/>
              <w:left w:type="dxa" w:w="140"/>
              <w:bottom w:type="dxa" w:w="100"/>
              <w:right w:type="dxa" w:w="140"/>
            </w:tcMar>
          </w:tcPr>
          <w:p>
            <w:r>
              <w:rPr>
                <w:sz w:val="19"/>
                <w:szCs w:val="19"/>
              </w:rPr>
              <w:t xml:space="preserve">P0</w:t>
            </w:r>
          </w:p>
        </w:tc>
      </w:tr>
      <w:tr>
        <w:tc>
          <w:tcPr>
            <w:tcW w:type="dxa" w:w="1200"/>
            <w:shd w:fill="F4F6F9" w:val="clear"/>
            <w:tcMar>
              <w:top w:type="dxa" w:w="100"/>
              <w:left w:type="dxa" w:w="140"/>
              <w:bottom w:type="dxa" w:w="100"/>
              <w:right w:type="dxa" w:w="140"/>
            </w:tcMar>
          </w:tcPr>
          <w:p>
            <w:r>
              <w:rPr>
                <w:sz w:val="19"/>
                <w:szCs w:val="19"/>
              </w:rPr>
              <w:t xml:space="preserve">NFR-C.3</w:t>
            </w:r>
          </w:p>
        </w:tc>
        <w:tc>
          <w:tcPr>
            <w:tcW w:type="dxa" w:w="6800"/>
            <w:shd w:fill="F4F6F9" w:val="clear"/>
            <w:tcMar>
              <w:top w:type="dxa" w:w="100"/>
              <w:left w:type="dxa" w:w="140"/>
              <w:bottom w:type="dxa" w:w="100"/>
              <w:right w:type="dxa" w:w="140"/>
            </w:tcMar>
          </w:tcPr>
          <w:p>
            <w:r>
              <w:rPr>
                <w:sz w:val="19"/>
                <w:szCs w:val="19"/>
              </w:rPr>
              <w:t xml:space="preserve">Mid-call synthetic-media injection (FR-C.3) shall be detected within a defined, tested detection window — specific target to be validated empirically per the ML Architecture document once revised, but disclosed transparently rather than left undefined.</w:t>
            </w:r>
          </w:p>
        </w:tc>
        <w:tc>
          <w:tcPr>
            <w:tcW w:type="dxa" w:w="1400"/>
            <w:shd w:fill="F4F6F9"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7.2 Performance — point-in-time (retained from Version 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NFR-1.1</w:t>
            </w:r>
          </w:p>
        </w:tc>
        <w:tc>
          <w:tcPr>
            <w:tcW w:type="dxa" w:w="6800"/>
            <w:shd w:fill="F4F6F9" w:val="clear"/>
            <w:tcMar>
              <w:top w:type="dxa" w:w="100"/>
              <w:left w:type="dxa" w:w="140"/>
              <w:bottom w:type="dxa" w:w="100"/>
              <w:right w:type="dxa" w:w="140"/>
            </w:tcMar>
          </w:tcPr>
          <w:p>
            <w:r>
              <w:rPr>
                <w:sz w:val="19"/>
                <w:szCs w:val="19"/>
              </w:rPr>
              <w:t xml:space="preserve">A point-in-time verification (e.g. for the retained fintech/hiring verticals, Section 3.5) shall complete in under 3 seconds at p95.</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NFR-1.2</w:t>
            </w:r>
          </w:p>
        </w:tc>
        <w:tc>
          <w:tcPr>
            <w:tcW w:type="dxa" w:w="6800"/>
            <w:shd w:fill="FFFFFF" w:val="clear"/>
            <w:tcMar>
              <w:top w:type="dxa" w:w="100"/>
              <w:left w:type="dxa" w:w="140"/>
              <w:bottom w:type="dxa" w:w="100"/>
              <w:right w:type="dxa" w:w="140"/>
            </w:tcMar>
          </w:tcPr>
          <w:p>
            <w:r>
              <w:rPr>
                <w:sz w:val="19"/>
                <w:szCs w:val="19"/>
              </w:rPr>
              <w:t xml:space="preserve">Non-ML API endpoints shall respond in under 500ms at p95, excluding model inference time.</w:t>
            </w:r>
          </w:p>
        </w:tc>
        <w:tc>
          <w:tcPr>
            <w:tcW w:type="dxa" w:w="1400"/>
            <w:shd w:fill="FFFFFF"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7.3 Availability and reliability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NFR-2.1</w:t>
            </w:r>
          </w:p>
        </w:tc>
        <w:tc>
          <w:tcPr>
            <w:tcW w:type="dxa" w:w="6800"/>
            <w:shd w:fill="F4F6F9" w:val="clear"/>
            <w:tcMar>
              <w:top w:type="dxa" w:w="100"/>
              <w:left w:type="dxa" w:w="140"/>
              <w:bottom w:type="dxa" w:w="100"/>
              <w:right w:type="dxa" w:w="140"/>
            </w:tcMar>
          </w:tcPr>
          <w:p>
            <w:r>
              <w:rPr>
                <w:sz w:val="19"/>
                <w:szCs w:val="19"/>
              </w:rPr>
              <w:t xml:space="preserve">Core verification API and SDK backend shall target 99.9% monthly availability.</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NFR-2.2</w:t>
            </w:r>
          </w:p>
        </w:tc>
        <w:tc>
          <w:tcPr>
            <w:tcW w:type="dxa" w:w="6800"/>
            <w:shd w:fill="FFFFFF" w:val="clear"/>
            <w:tcMar>
              <w:top w:type="dxa" w:w="100"/>
              <w:left w:type="dxa" w:w="140"/>
              <w:bottom w:type="dxa" w:w="100"/>
              <w:right w:type="dxa" w:w="140"/>
            </w:tcMar>
          </w:tcPr>
          <w:p>
            <w:r>
              <w:rPr>
                <w:sz w:val="19"/>
                <w:szCs w:val="19"/>
              </w:rPr>
              <w:t xml:space="preserve">System shall degrade gracefully under partial outage — for continuous verification specifically, a temporary inability to re-evaluate mid-call shall be surfaced as an explicit 'verification paused' state to the integrating platform, never silently reported as a continued positive result.</w:t>
            </w:r>
          </w:p>
        </w:tc>
        <w:tc>
          <w:tcPr>
            <w:tcW w:type="dxa" w:w="1400"/>
            <w:shd w:fill="FFFFFF"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7.4 Security (retained)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NFR-3.1</w:t>
            </w:r>
          </w:p>
        </w:tc>
        <w:tc>
          <w:tcPr>
            <w:tcW w:type="dxa" w:w="6800"/>
            <w:shd w:fill="F4F6F9" w:val="clear"/>
            <w:tcMar>
              <w:top w:type="dxa" w:w="100"/>
              <w:left w:type="dxa" w:w="140"/>
              <w:bottom w:type="dxa" w:w="100"/>
              <w:right w:type="dxa" w:w="140"/>
            </w:tcMar>
          </w:tcPr>
          <w:p>
            <w:r>
              <w:rPr>
                <w:sz w:val="19"/>
                <w:szCs w:val="19"/>
              </w:rPr>
              <w:t xml:space="preserve">All data in transit shall be encrypted via TLS 1.2+; sensitive data at rest encrypted with managed key rotation.</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NFR-3.4</w:t>
            </w:r>
          </w:p>
        </w:tc>
        <w:tc>
          <w:tcPr>
            <w:tcW w:type="dxa" w:w="6800"/>
            <w:shd w:fill="FFFFFF" w:val="clear"/>
            <w:tcMar>
              <w:top w:type="dxa" w:w="100"/>
              <w:left w:type="dxa" w:w="140"/>
              <w:bottom w:type="dxa" w:w="100"/>
              <w:right w:type="dxa" w:w="140"/>
            </w:tcMar>
          </w:tcPr>
          <w:p>
            <w:r>
              <w:rPr>
                <w:sz w:val="19"/>
                <w:szCs w:val="19"/>
              </w:rPr>
              <w:t xml:space="preserve">System shall undergo third-party penetration testing before first production partner integration, and at minimum annually thereafter.</w:t>
            </w:r>
          </w:p>
        </w:tc>
        <w:tc>
          <w:tcPr>
            <w:tcW w:type="dxa" w:w="1400"/>
            <w:shd w:fill="FFFFFF"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7.5 Privacy and compliance (retained, extended)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NFR-4.1</w:t>
            </w:r>
          </w:p>
        </w:tc>
        <w:tc>
          <w:tcPr>
            <w:tcW w:type="dxa" w:w="6800"/>
            <w:shd w:fill="F4F6F9" w:val="clear"/>
            <w:tcMar>
              <w:top w:type="dxa" w:w="100"/>
              <w:left w:type="dxa" w:w="140"/>
              <w:bottom w:type="dxa" w:w="100"/>
              <w:right w:type="dxa" w:w="140"/>
            </w:tcMar>
          </w:tcPr>
          <w:p>
            <w:r>
              <w:rPr>
                <w:sz w:val="19"/>
                <w:szCs w:val="19"/>
              </w:rPr>
              <w:t xml:space="preserve">System shall be architected to support SOC 2 Type II certification within 12 months of first production partner integration.</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NFR-4.4</w:t>
            </w:r>
          </w:p>
        </w:tc>
        <w:tc>
          <w:tcPr>
            <w:tcW w:type="dxa" w:w="6800"/>
            <w:shd w:fill="FFFFFF" w:val="clear"/>
            <w:tcMar>
              <w:top w:type="dxa" w:w="100"/>
              <w:left w:type="dxa" w:w="140"/>
              <w:bottom w:type="dxa" w:w="100"/>
              <w:right w:type="dxa" w:w="140"/>
            </w:tcMar>
          </w:tcPr>
          <w:p>
            <w:r>
              <w:rPr>
                <w:sz w:val="19"/>
                <w:szCs w:val="19"/>
              </w:rPr>
              <w:t xml:space="preserve">System shall treat Trusted Device Layer data (Section 6.2) as a distinct compliance category from transient biometric verification data, given its persistent, cross-session nature — retention, deletion, and consent controls documented separately in the Privacy Architecture once revised.</w:t>
            </w:r>
          </w:p>
        </w:tc>
        <w:tc>
          <w:tcPr>
            <w:tcW w:type="dxa" w:w="1400"/>
            <w:shd w:fill="FFFFFF" w:val="clear"/>
            <w:tcMar>
              <w:top w:type="dxa" w:w="100"/>
              <w:left w:type="dxa" w:w="140"/>
              <w:bottom w:type="dxa" w:w="100"/>
              <w:right w:type="dxa" w:w="140"/>
            </w:tcMar>
          </w:tcPr>
          <w:p>
            <w:r>
              <w:rPr>
                <w:sz w:val="19"/>
                <w:szCs w:val="19"/>
              </w:rPr>
              <w:t xml:space="preserve">P0</w:t>
            </w:r>
          </w:p>
        </w:tc>
      </w:tr>
    </w:tbl>
    <w:p>
      <w:pPr>
        <w:pStyle w:val="Heading2"/>
        <w:spacing w:after="180" w:before="360"/>
      </w:pPr>
      <w:r>
        <w:rPr>
          <w:b/>
          <w:bCs/>
          <w:color w:val="2E5EAA"/>
          <w:sz w:val="26"/>
          <w:szCs w:val="26"/>
        </w:rPr>
        <w:t xml:space="preserve">7.6 Explainability (retained, extended to continuous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A2B4C" w:val="clear"/>
            <w:tcMar>
              <w:top w:type="dxa" w:w="100"/>
              <w:left w:type="dxa" w:w="140"/>
              <w:bottom w:type="dxa" w:w="100"/>
              <w:right w:type="dxa" w:w="140"/>
            </w:tcMar>
          </w:tcPr>
          <w:p>
            <w:r>
              <w:rPr>
                <w:b/>
                <w:bCs/>
                <w:color w:val="FFFFFF"/>
                <w:sz w:val="19"/>
                <w:szCs w:val="19"/>
              </w:rPr>
              <w:t xml:space="preserve">ID</w:t>
            </w:r>
          </w:p>
        </w:tc>
        <w:tc>
          <w:tcPr>
            <w:tcW w:type="dxa" w:w="6800"/>
            <w:shd w:fill="1A2B4C" w:val="clear"/>
            <w:tcMar>
              <w:top w:type="dxa" w:w="100"/>
              <w:left w:type="dxa" w:w="140"/>
              <w:bottom w:type="dxa" w:w="100"/>
              <w:right w:type="dxa" w:w="140"/>
            </w:tcMar>
          </w:tcPr>
          <w:p>
            <w:r>
              <w:rPr>
                <w:b/>
                <w:bCs/>
                <w:color w:val="FFFFFF"/>
                <w:sz w:val="19"/>
                <w:szCs w:val="19"/>
              </w:rPr>
              <w:t xml:space="preserve">Requirement</w:t>
            </w:r>
          </w:p>
        </w:tc>
        <w:tc>
          <w:tcPr>
            <w:tcW w:type="dxa" w:w="1400"/>
            <w:shd w:fill="1A2B4C" w:val="clear"/>
            <w:tcMar>
              <w:top w:type="dxa" w:w="100"/>
              <w:left w:type="dxa" w:w="140"/>
              <w:bottom w:type="dxa" w:w="100"/>
              <w:right w:type="dxa" w:w="140"/>
            </w:tcMar>
          </w:tcPr>
          <w:p>
            <w:r>
              <w:rPr>
                <w:b/>
                <w:bCs/>
                <w:color w:val="FFFFFF"/>
                <w:sz w:val="19"/>
                <w:szCs w:val="19"/>
              </w:rPr>
              <w:t xml:space="preserve">Priority</w:t>
            </w:r>
          </w:p>
        </w:tc>
      </w:tr>
      <w:tr>
        <w:tc>
          <w:tcPr>
            <w:tcW w:type="dxa" w:w="1200"/>
            <w:shd w:fill="F4F6F9" w:val="clear"/>
            <w:tcMar>
              <w:top w:type="dxa" w:w="100"/>
              <w:left w:type="dxa" w:w="140"/>
              <w:bottom w:type="dxa" w:w="100"/>
              <w:right w:type="dxa" w:w="140"/>
            </w:tcMar>
          </w:tcPr>
          <w:p>
            <w:r>
              <w:rPr>
                <w:sz w:val="19"/>
                <w:szCs w:val="19"/>
              </w:rPr>
              <w:t xml:space="preserve">NFR-6.1</w:t>
            </w:r>
          </w:p>
        </w:tc>
        <w:tc>
          <w:tcPr>
            <w:tcW w:type="dxa" w:w="6800"/>
            <w:shd w:fill="F4F6F9" w:val="clear"/>
            <w:tcMar>
              <w:top w:type="dxa" w:w="100"/>
              <w:left w:type="dxa" w:w="140"/>
              <w:bottom w:type="dxa" w:w="100"/>
              <w:right w:type="dxa" w:w="140"/>
            </w:tcMar>
          </w:tcPr>
          <w:p>
            <w:r>
              <w:rPr>
                <w:sz w:val="19"/>
                <w:szCs w:val="19"/>
              </w:rPr>
              <w:t xml:space="preserve">Every verification decision — including each re-evaluation during a continuous session — shall include a machine-readable explanation of the top contributing factors.</w:t>
            </w:r>
          </w:p>
        </w:tc>
        <w:tc>
          <w:tcPr>
            <w:tcW w:type="dxa" w:w="1400"/>
            <w:shd w:fill="F4F6F9" w:val="clear"/>
            <w:tcMar>
              <w:top w:type="dxa" w:w="100"/>
              <w:left w:type="dxa" w:w="140"/>
              <w:bottom w:type="dxa" w:w="100"/>
              <w:right w:type="dxa" w:w="140"/>
            </w:tcMar>
          </w:tcPr>
          <w:p>
            <w:r>
              <w:rPr>
                <w:sz w:val="19"/>
                <w:szCs w:val="19"/>
              </w:rPr>
              <w:t xml:space="preserve">P0</w:t>
            </w:r>
          </w:p>
        </w:tc>
      </w:tr>
      <w:tr>
        <w:tc>
          <w:tcPr>
            <w:tcW w:type="dxa" w:w="1200"/>
            <w:shd w:fill="FFFFFF" w:val="clear"/>
            <w:tcMar>
              <w:top w:type="dxa" w:w="100"/>
              <w:left w:type="dxa" w:w="140"/>
              <w:bottom w:type="dxa" w:w="100"/>
              <w:right w:type="dxa" w:w="140"/>
            </w:tcMar>
          </w:tcPr>
          <w:p>
            <w:r>
              <w:rPr>
                <w:sz w:val="19"/>
                <w:szCs w:val="19"/>
              </w:rPr>
              <w:t xml:space="preserve">NFR-6.2</w:t>
            </w:r>
          </w:p>
        </w:tc>
        <w:tc>
          <w:tcPr>
            <w:tcW w:type="dxa" w:w="6800"/>
            <w:shd w:fill="FFFFFF" w:val="clear"/>
            <w:tcMar>
              <w:top w:type="dxa" w:w="100"/>
              <w:left w:type="dxa" w:w="140"/>
              <w:bottom w:type="dxa" w:w="100"/>
              <w:right w:type="dxa" w:w="140"/>
            </w:tcMar>
          </w:tcPr>
          <w:p>
            <w:r>
              <w:rPr>
                <w:sz w:val="19"/>
                <w:szCs w:val="19"/>
              </w:rPr>
              <w:t xml:space="preserve">Model outputs shall be calibrated such that a reported confidence of X% corresponds, within a defined tolerance, to empirical accuracy — evaluated for the continuous model class separately from the point-in-time model class, since they are different models with potentially different calibration profiles (Section 2.4).</w:t>
            </w:r>
          </w:p>
        </w:tc>
        <w:tc>
          <w:tcPr>
            <w:tcW w:type="dxa" w:w="1400"/>
            <w:shd w:fill="FFFFFF" w:val="clear"/>
            <w:tcMar>
              <w:top w:type="dxa" w:w="100"/>
              <w:left w:type="dxa" w:w="140"/>
              <w:bottom w:type="dxa" w:w="100"/>
              <w:right w:type="dxa" w:w="140"/>
            </w:tcMar>
          </w:tcPr>
          <w:p>
            <w:r>
              <w:rPr>
                <w:sz w:val="19"/>
                <w:szCs w:val="19"/>
              </w:rPr>
              <w:t xml:space="preserve">P0</w:t>
            </w:r>
          </w:p>
        </w:tc>
      </w:tr>
    </w:tbl>
    <w:p>
      <w:pPr>
        <w:pStyle w:val="Heading1"/>
        <w:pageBreakBefore/>
        <w:spacing w:after="240" w:before="480"/>
      </w:pPr>
      <w:r>
        <w:rPr>
          <w:b/>
          <w:bCs/>
          <w:color w:val="1A2B4C"/>
          <w:sz w:val="32"/>
          <w:szCs w:val="32"/>
        </w:rPr>
        <w:t xml:space="preserve">8. Success Metrics</w:t>
      </w:r>
    </w:p>
    <w:p>
      <w:pPr>
        <w:pStyle w:val="Heading2"/>
        <w:spacing w:after="180" w:before="360"/>
      </w:pPr>
      <w:r>
        <w:rPr>
          <w:b/>
          <w:bCs/>
          <w:color w:val="2E5EAA"/>
          <w:sz w:val="26"/>
          <w:szCs w:val="26"/>
        </w:rPr>
        <w:t xml:space="preserve">8.1 North star metric (revised)</w:t>
      </w:r>
    </w:p>
    <w:p>
      <w:pPr>
        <w:spacing w:after="200" w:line="300"/>
        <w:jc w:val="both"/>
      </w:pPr>
      <w:r>
        <w:rPr>
          <w:sz w:val="21"/>
          <w:szCs w:val="21"/>
        </w:rPr>
        <w:t xml:space="preserve">Verified Call-Minutes: the cumulative duration of live call time continuously covered by an active, non-degraded Certivo verification session across all integrating partners. This replaces the original 'Weekly Verified Interactions' point-in-time metric as the primary north star, since it captures both adoption and the flagship's defining property — sustained, continuous coverage — rather than a count of discrete checks.</w:t>
      </w:r>
    </w:p>
    <w:p>
      <w:pPr>
        <w:pStyle w:val="Heading2"/>
        <w:spacing w:after="180" w:before="360"/>
      </w:pPr>
      <w:r>
        <w:rPr>
          <w:b/>
          <w:bCs/>
          <w:color w:val="2E5EAA"/>
          <w:sz w:val="26"/>
          <w:szCs w:val="26"/>
        </w:rPr>
        <w:t xml:space="preserve">8.2 Supporting metrics by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0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Category</w:t>
            </w:r>
          </w:p>
        </w:tc>
        <w:tc>
          <w:tcPr>
            <w:tcW w:type="dxa" w:w="4400"/>
            <w:shd w:fill="1A2B4C" w:val="clear"/>
            <w:tcMar>
              <w:top w:type="dxa" w:w="100"/>
              <w:left w:type="dxa" w:w="140"/>
              <w:bottom w:type="dxa" w:w="100"/>
              <w:right w:type="dxa" w:w="140"/>
            </w:tcMar>
          </w:tcPr>
          <w:p>
            <w:r>
              <w:rPr>
                <w:b/>
                <w:bCs/>
                <w:color w:val="FFFFFF"/>
                <w:sz w:val="19"/>
                <w:szCs w:val="19"/>
              </w:rPr>
              <w:t xml:space="preserve">Metric</w:t>
            </w:r>
          </w:p>
        </w:tc>
        <w:tc>
          <w:tcPr>
            <w:tcW w:type="dxa" w:w="3000"/>
            <w:shd w:fill="1A2B4C" w:val="clear"/>
            <w:tcMar>
              <w:top w:type="dxa" w:w="100"/>
              <w:left w:type="dxa" w:w="140"/>
              <w:bottom w:type="dxa" w:w="100"/>
              <w:right w:type="dxa" w:w="140"/>
            </w:tcMar>
          </w:tcPr>
          <w:p>
            <w:r>
              <w:rPr>
                <w:b/>
                <w:bCs/>
                <w:color w:val="FFFFFF"/>
                <w:sz w:val="19"/>
                <w:szCs w:val="19"/>
              </w:rPr>
              <w:t xml:space="preserve">Target (20 months)</w:t>
            </w:r>
          </w:p>
        </w:tc>
      </w:tr>
      <w:tr>
        <w:tc>
          <w:tcPr>
            <w:tcW w:type="dxa" w:w="1800"/>
            <w:shd w:fill="F4F6F9" w:val="clear"/>
            <w:tcMar>
              <w:top w:type="dxa" w:w="100"/>
              <w:left w:type="dxa" w:w="140"/>
              <w:bottom w:type="dxa" w:w="100"/>
              <w:right w:type="dxa" w:w="140"/>
            </w:tcMar>
          </w:tcPr>
          <w:p>
            <w:r>
              <w:rPr>
                <w:sz w:val="19"/>
                <w:szCs w:val="19"/>
              </w:rPr>
              <w:t xml:space="preserve">Product quality</w:t>
            </w:r>
          </w:p>
        </w:tc>
        <w:tc>
          <w:tcPr>
            <w:tcW w:type="dxa" w:w="4400"/>
            <w:shd w:fill="F4F6F9" w:val="clear"/>
            <w:tcMar>
              <w:top w:type="dxa" w:w="100"/>
              <w:left w:type="dxa" w:w="140"/>
              <w:bottom w:type="dxa" w:w="100"/>
              <w:right w:type="dxa" w:w="140"/>
            </w:tcMar>
          </w:tcPr>
          <w:p>
            <w:r>
              <w:rPr>
                <w:sz w:val="19"/>
                <w:szCs w:val="19"/>
              </w:rPr>
              <w:t xml:space="preserve">Mid-call synthetic-media injection detection rate (FR-C.3)</w:t>
            </w:r>
          </w:p>
        </w:tc>
        <w:tc>
          <w:tcPr>
            <w:tcW w:type="dxa" w:w="3000"/>
            <w:shd w:fill="F4F6F9" w:val="clear"/>
            <w:tcMar>
              <w:top w:type="dxa" w:w="100"/>
              <w:left w:type="dxa" w:w="140"/>
              <w:bottom w:type="dxa" w:w="100"/>
              <w:right w:type="dxa" w:w="140"/>
            </w:tcMar>
          </w:tcPr>
          <w:p>
            <w:r>
              <w:rPr>
                <w:sz w:val="19"/>
                <w:szCs w:val="19"/>
              </w:rPr>
              <w:t xml:space="preserve">Established empirically via the ML Architecture's evaluation methodology once revised; tracked and trending, no fabricated target set here</w:t>
            </w:r>
          </w:p>
        </w:tc>
      </w:tr>
      <w:tr>
        <w:tc>
          <w:tcPr>
            <w:tcW w:type="dxa" w:w="1800"/>
            <w:shd w:fill="FFFFFF" w:val="clear"/>
            <w:tcMar>
              <w:top w:type="dxa" w:w="100"/>
              <w:left w:type="dxa" w:w="140"/>
              <w:bottom w:type="dxa" w:w="100"/>
              <w:right w:type="dxa" w:w="140"/>
            </w:tcMar>
          </w:tcPr>
          <w:p>
            <w:r>
              <w:rPr>
                <w:sz w:val="19"/>
                <w:szCs w:val="19"/>
              </w:rPr>
              <w:t xml:space="preserve">Performance</w:t>
            </w:r>
          </w:p>
        </w:tc>
        <w:tc>
          <w:tcPr>
            <w:tcW w:type="dxa" w:w="4400"/>
            <w:shd w:fill="FFFFFF" w:val="clear"/>
            <w:tcMar>
              <w:top w:type="dxa" w:w="100"/>
              <w:left w:type="dxa" w:w="140"/>
              <w:bottom w:type="dxa" w:w="100"/>
              <w:right w:type="dxa" w:w="140"/>
            </w:tcMar>
          </w:tcPr>
          <w:p>
            <w:r>
              <w:rPr>
                <w:sz w:val="19"/>
                <w:szCs w:val="19"/>
              </w:rPr>
              <w:t xml:space="preserve">SDK resource overhead (CPU/battery/bandwidth)</w:t>
            </w:r>
          </w:p>
        </w:tc>
        <w:tc>
          <w:tcPr>
            <w:tcW w:type="dxa" w:w="3000"/>
            <w:shd w:fill="FFFFFF" w:val="clear"/>
            <w:tcMar>
              <w:top w:type="dxa" w:w="100"/>
              <w:left w:type="dxa" w:w="140"/>
              <w:bottom w:type="dxa" w:w="100"/>
              <w:right w:type="dxa" w:w="140"/>
            </w:tcMar>
          </w:tcPr>
          <w:p>
            <w:r>
              <w:rPr>
                <w:sz w:val="19"/>
                <w:szCs w:val="19"/>
              </w:rPr>
              <w:t xml:space="preserve">Within the documented budget agreed with each design partner (NFR-C.2), validated before rollout, not after</w:t>
            </w:r>
          </w:p>
        </w:tc>
      </w:tr>
      <w:tr>
        <w:tc>
          <w:tcPr>
            <w:tcW w:type="dxa" w:w="1800"/>
            <w:shd w:fill="F4F6F9" w:val="clear"/>
            <w:tcMar>
              <w:top w:type="dxa" w:w="100"/>
              <w:left w:type="dxa" w:w="140"/>
              <w:bottom w:type="dxa" w:w="100"/>
              <w:right w:type="dxa" w:w="140"/>
            </w:tcMar>
          </w:tcPr>
          <w:p>
            <w:r>
              <w:rPr>
                <w:sz w:val="19"/>
                <w:szCs w:val="19"/>
              </w:rPr>
              <w:t xml:space="preserve">Performance</w:t>
            </w:r>
          </w:p>
        </w:tc>
        <w:tc>
          <w:tcPr>
            <w:tcW w:type="dxa" w:w="4400"/>
            <w:shd w:fill="F4F6F9" w:val="clear"/>
            <w:tcMar>
              <w:top w:type="dxa" w:w="100"/>
              <w:left w:type="dxa" w:w="140"/>
              <w:bottom w:type="dxa" w:w="100"/>
              <w:right w:type="dxa" w:w="140"/>
            </w:tcMar>
          </w:tcPr>
          <w:p>
            <w:r>
              <w:rPr>
                <w:sz w:val="19"/>
                <w:szCs w:val="19"/>
              </w:rPr>
              <w:t xml:space="preserve">Perceptible call-quality impact reports from partners</w:t>
            </w:r>
          </w:p>
        </w:tc>
        <w:tc>
          <w:tcPr>
            <w:tcW w:type="dxa" w:w="3000"/>
            <w:shd w:fill="F4F6F9" w:val="clear"/>
            <w:tcMar>
              <w:top w:type="dxa" w:w="100"/>
              <w:left w:type="dxa" w:w="140"/>
              <w:bottom w:type="dxa" w:w="100"/>
              <w:right w:type="dxa" w:w="140"/>
            </w:tcMar>
          </w:tcPr>
          <w:p>
            <w:r>
              <w:rPr>
                <w:sz w:val="19"/>
                <w:szCs w:val="19"/>
              </w:rPr>
              <w:t xml:space="preserve">Zero tolerated as an ongoing state; any report triggers investigation before further rollout</w:t>
            </w:r>
          </w:p>
        </w:tc>
      </w:tr>
      <w:tr>
        <w:tc>
          <w:tcPr>
            <w:tcW w:type="dxa" w:w="1800"/>
            <w:shd w:fill="FFFFFF" w:val="clear"/>
            <w:tcMar>
              <w:top w:type="dxa" w:w="100"/>
              <w:left w:type="dxa" w:w="140"/>
              <w:bottom w:type="dxa" w:w="100"/>
              <w:right w:type="dxa" w:w="140"/>
            </w:tcMar>
          </w:tcPr>
          <w:p>
            <w:r>
              <w:rPr>
                <w:sz w:val="19"/>
                <w:szCs w:val="19"/>
              </w:rPr>
              <w:t xml:space="preserve">Business</w:t>
            </w:r>
          </w:p>
        </w:tc>
        <w:tc>
          <w:tcPr>
            <w:tcW w:type="dxa" w:w="4400"/>
            <w:shd w:fill="FFFFFF" w:val="clear"/>
            <w:tcMar>
              <w:top w:type="dxa" w:w="100"/>
              <w:left w:type="dxa" w:w="140"/>
              <w:bottom w:type="dxa" w:w="100"/>
              <w:right w:type="dxa" w:w="140"/>
            </w:tcMar>
          </w:tcPr>
          <w:p>
            <w:r>
              <w:rPr>
                <w:sz w:val="19"/>
                <w:szCs w:val="19"/>
              </w:rPr>
              <w:t xml:space="preserve">Design-partner platforms in production (calling/dating/streaming)</w:t>
            </w:r>
          </w:p>
        </w:tc>
        <w:tc>
          <w:tcPr>
            <w:tcW w:type="dxa" w:w="3000"/>
            <w:shd w:fill="FFFFFF" w:val="clear"/>
            <w:tcMar>
              <w:top w:type="dxa" w:w="100"/>
              <w:left w:type="dxa" w:w="140"/>
              <w:bottom w:type="dxa" w:w="100"/>
              <w:right w:type="dxa" w:w="140"/>
            </w:tcMar>
          </w:tcPr>
          <w:p>
            <w:r>
              <w:rPr>
                <w:sz w:val="19"/>
                <w:szCs w:val="19"/>
              </w:rPr>
              <w:t xml:space="preserve">2-4 across at least two of the three flagship verticals (Section 3.5)</w:t>
            </w:r>
          </w:p>
        </w:tc>
      </w:tr>
      <w:tr>
        <w:tc>
          <w:tcPr>
            <w:tcW w:type="dxa" w:w="1800"/>
            <w:shd w:fill="F4F6F9" w:val="clear"/>
            <w:tcMar>
              <w:top w:type="dxa" w:w="100"/>
              <w:left w:type="dxa" w:w="140"/>
              <w:bottom w:type="dxa" w:w="100"/>
              <w:right w:type="dxa" w:w="140"/>
            </w:tcMar>
          </w:tcPr>
          <w:p>
            <w:r>
              <w:rPr>
                <w:sz w:val="19"/>
                <w:szCs w:val="19"/>
              </w:rPr>
              <w:t xml:space="preserve">Business</w:t>
            </w:r>
          </w:p>
        </w:tc>
        <w:tc>
          <w:tcPr>
            <w:tcW w:type="dxa" w:w="4400"/>
            <w:shd w:fill="F4F6F9" w:val="clear"/>
            <w:tcMar>
              <w:top w:type="dxa" w:w="100"/>
              <w:left w:type="dxa" w:w="140"/>
              <w:bottom w:type="dxa" w:w="100"/>
              <w:right w:type="dxa" w:w="140"/>
            </w:tcMar>
          </w:tcPr>
          <w:p>
            <w:r>
              <w:rPr>
                <w:sz w:val="19"/>
                <w:szCs w:val="19"/>
              </w:rPr>
              <w:t xml:space="preserve">Verified call-minutes (north star)</w:t>
            </w:r>
          </w:p>
        </w:tc>
        <w:tc>
          <w:tcPr>
            <w:tcW w:type="dxa" w:w="3000"/>
            <w:shd w:fill="F4F6F9" w:val="clear"/>
            <w:tcMar>
              <w:top w:type="dxa" w:w="100"/>
              <w:left w:type="dxa" w:w="140"/>
              <w:bottom w:type="dxa" w:w="100"/>
              <w:right w:type="dxa" w:w="140"/>
            </w:tcMar>
          </w:tcPr>
          <w:p>
            <w:r>
              <w:rPr>
                <w:sz w:val="19"/>
                <w:szCs w:val="19"/>
              </w:rPr>
              <w:t xml:space="preserve">Tracked from first design-partner integration; specific volume target set once first partner's real traffic patterns are known</w:t>
            </w:r>
          </w:p>
        </w:tc>
      </w:tr>
      <w:tr>
        <w:tc>
          <w:tcPr>
            <w:tcW w:type="dxa" w:w="1800"/>
            <w:shd w:fill="FFFFFF" w:val="clear"/>
            <w:tcMar>
              <w:top w:type="dxa" w:w="100"/>
              <w:left w:type="dxa" w:w="140"/>
              <w:bottom w:type="dxa" w:w="100"/>
              <w:right w:type="dxa" w:w="140"/>
            </w:tcMar>
          </w:tcPr>
          <w:p>
            <w:r>
              <w:rPr>
                <w:sz w:val="19"/>
                <w:szCs w:val="19"/>
              </w:rPr>
              <w:t xml:space="preserve">Compliance</w:t>
            </w:r>
          </w:p>
        </w:tc>
        <w:tc>
          <w:tcPr>
            <w:tcW w:type="dxa" w:w="4400"/>
            <w:shd w:fill="FFFFFF" w:val="clear"/>
            <w:tcMar>
              <w:top w:type="dxa" w:w="100"/>
              <w:left w:type="dxa" w:w="140"/>
              <w:bottom w:type="dxa" w:w="100"/>
              <w:right w:type="dxa" w:w="140"/>
            </w:tcMar>
          </w:tcPr>
          <w:p>
            <w:r>
              <w:rPr>
                <w:sz w:val="19"/>
                <w:szCs w:val="19"/>
              </w:rPr>
              <w:t xml:space="preserve">SOC 2 Type II status</w:t>
            </w:r>
          </w:p>
        </w:tc>
        <w:tc>
          <w:tcPr>
            <w:tcW w:type="dxa" w:w="3000"/>
            <w:shd w:fill="FFFFFF" w:val="clear"/>
            <w:tcMar>
              <w:top w:type="dxa" w:w="100"/>
              <w:left w:type="dxa" w:w="140"/>
              <w:bottom w:type="dxa" w:w="100"/>
              <w:right w:type="dxa" w:w="140"/>
            </w:tcMar>
          </w:tcPr>
          <w:p>
            <w:r>
              <w:rPr>
                <w:sz w:val="19"/>
                <w:szCs w:val="19"/>
              </w:rPr>
              <w:t xml:space="preserve">Achieved or in final audit stage</w:t>
            </w:r>
          </w:p>
        </w:tc>
      </w:tr>
    </w:tbl>
    <w:p>
      <w:pPr>
        <w:spacing w:after="260" w:before="80"/>
      </w:pPr>
      <w:r>
        <w:rPr>
          <w:i/>
          <w:iCs/>
          <w:color w:val="6B7280"/>
          <w:sz w:val="18"/>
          <w:szCs w:val="18"/>
        </w:rPr>
        <w:t xml:space="preserve">Table 8.1 — Success metrics, revised for the flagship. Deliberately avoids fabricating precision-sounding targets (e.g. a specific detection rate percentage) where no evaluation has yet been run, consistent with the Vision Document's Non-Negotiable against unsubstantiated accuracy claims.</w:t>
      </w:r>
    </w:p>
    <w:p>
      <w:pPr>
        <w:pStyle w:val="Heading1"/>
        <w:pageBreakBefore/>
        <w:spacing w:after="240" w:before="480"/>
      </w:pPr>
      <w:r>
        <w:rPr>
          <w:b/>
          <w:bCs/>
          <w:color w:val="1A2B4C"/>
          <w:sz w:val="32"/>
          <w:szCs w:val="32"/>
        </w:rPr>
        <w:t xml:space="preserve">9. Product Roadmap</w:t>
      </w:r>
    </w:p>
    <w:p>
      <w:pPr>
        <w:spacing w:after="200" w:line="300"/>
        <w:jc w:val="both"/>
      </w:pPr>
      <w:r>
        <w:rPr>
          <w:sz w:val="21"/>
          <w:szCs w:val="21"/>
        </w:rPr>
        <w:t xml:space="preserve">Revised to lead with the flagship. This replaces Version 1.0's fintech-first roadmap; the original Phase 0-3 content is retained in Version 1.0 for reference but superseded here as the operative plan.</w:t>
      </w:r>
    </w:p>
    <w:p>
      <w:pPr>
        <w:pStyle w:val="Heading2"/>
        <w:spacing w:after="180" w:before="360"/>
      </w:pPr>
      <w:r>
        <w:rPr>
          <w:b/>
          <w:bCs/>
          <w:color w:val="2E5EAA"/>
          <w:sz w:val="26"/>
          <w:szCs w:val="26"/>
        </w:rPr>
        <w:t xml:space="preserve">9.1 Phase 0 — Flagship proof (Months 1-4)</w:t>
      </w:r>
    </w:p>
    <w:p>
      <w:pPr>
        <w:pStyle w:val="ListParagraph"/>
        <w:numPr>
          <w:ilvl w:val="0"/>
          <w:numId w:val="2"/>
        </w:numPr>
        <w:spacing w:after="100" w:line="280"/>
      </w:pPr>
      <w:r>
        <w:rPr>
          <w:sz w:val="21"/>
          <w:szCs w:val="21"/>
        </w:rPr>
        <w:t xml:space="preserve">Continuous liveness and synthetic-media detection SDK (v1) for live video calls, covering FR-C.1-C.6.</w:t>
      </w:r>
    </w:p>
    <w:p>
      <w:pPr>
        <w:pStyle w:val="ListParagraph"/>
        <w:numPr>
          <w:ilvl w:val="0"/>
          <w:numId w:val="2"/>
        </w:numPr>
        <w:spacing w:after="100" w:line="280"/>
      </w:pPr>
      <w:r>
        <w:rPr>
          <w:sz w:val="21"/>
          <w:szCs w:val="21"/>
        </w:rPr>
        <w:t xml:space="preserve">Latency and resource-overhead validation against 1-2 design-partner platforms' real infrastructure and reference devices.</w:t>
      </w:r>
    </w:p>
    <w:p>
      <w:pPr>
        <w:pStyle w:val="ListParagraph"/>
        <w:numPr>
          <w:ilvl w:val="0"/>
          <w:numId w:val="2"/>
        </w:numPr>
        <w:spacing w:after="100" w:line="280"/>
      </w:pPr>
      <w:r>
        <w:rPr>
          <w:sz w:val="21"/>
          <w:szCs w:val="21"/>
        </w:rPr>
        <w:t xml:space="preserve">Cryptographic attestation extended to cover session-length verification history (FR-4.1, extended).</w:t>
      </w:r>
    </w:p>
    <w:p>
      <w:pPr>
        <w:pStyle w:val="ListParagraph"/>
        <w:numPr>
          <w:ilvl w:val="0"/>
          <w:numId w:val="2"/>
        </w:numPr>
        <w:spacing w:after="100" w:line="280"/>
      </w:pPr>
      <w:r>
        <w:rPr>
          <w:sz w:val="21"/>
          <w:szCs w:val="21"/>
        </w:rPr>
        <w:t xml:space="preserve">Privacy-by-design consent flow specific to continuous, in-call verification (FR-5.1, FR-5.2).</w:t>
      </w:r>
    </w:p>
    <w:p>
      <w:pPr>
        <w:pStyle w:val="Heading2"/>
        <w:spacing w:after="180" w:before="360"/>
      </w:pPr>
      <w:r>
        <w:rPr>
          <w:b/>
          <w:bCs/>
          <w:color w:val="2E5EAA"/>
          <w:sz w:val="26"/>
          <w:szCs w:val="26"/>
        </w:rPr>
        <w:t xml:space="preserve">9.2 Phase 1 — Design partners and Trusted Device Layer (Months 4-8)</w:t>
      </w:r>
    </w:p>
    <w:p>
      <w:pPr>
        <w:pStyle w:val="ListParagraph"/>
        <w:numPr>
          <w:ilvl w:val="0"/>
          <w:numId w:val="2"/>
        </w:numPr>
        <w:spacing w:after="100" w:line="280"/>
      </w:pPr>
      <w:r>
        <w:rPr>
          <w:sz w:val="21"/>
          <w:szCs w:val="21"/>
        </w:rPr>
        <w:t xml:space="preserve">Onboard 2-4 design-partner platforms across video-calling, dating, and livestreaming (Section 3.5).</w:t>
      </w:r>
    </w:p>
    <w:p>
      <w:pPr>
        <w:pStyle w:val="ListParagraph"/>
        <w:numPr>
          <w:ilvl w:val="0"/>
          <w:numId w:val="2"/>
        </w:numPr>
        <w:spacing w:after="100" w:line="280"/>
      </w:pPr>
      <w:r>
        <w:rPr>
          <w:sz w:val="21"/>
          <w:szCs w:val="21"/>
        </w:rPr>
        <w:t xml:space="preserve">Trusted Device Layer (v1): persistent token issuance, platform scoping, revocation (FR-D.1-D.6).</w:t>
      </w:r>
    </w:p>
    <w:p>
      <w:pPr>
        <w:pStyle w:val="ListParagraph"/>
        <w:numPr>
          <w:ilvl w:val="0"/>
          <w:numId w:val="2"/>
        </w:numPr>
        <w:spacing w:after="100" w:line="280"/>
      </w:pPr>
      <w:r>
        <w:rPr>
          <w:sz w:val="21"/>
          <w:szCs w:val="21"/>
        </w:rPr>
        <w:t xml:space="preserve">Multi-participant call support (FR-C.7).</w:t>
      </w:r>
    </w:p>
    <w:p>
      <w:pPr>
        <w:pStyle w:val="ListParagraph"/>
        <w:numPr>
          <w:ilvl w:val="0"/>
          <w:numId w:val="2"/>
        </w:numPr>
        <w:spacing w:after="100" w:line="280"/>
      </w:pPr>
      <w:r>
        <w:rPr>
          <w:sz w:val="21"/>
          <w:szCs w:val="21"/>
        </w:rPr>
        <w:t xml:space="preserve">Partner-facing dashboard (FR-6.4) with call-quality-impact metrics, not only decision analytics.</w:t>
      </w:r>
    </w:p>
    <w:p>
      <w:pPr>
        <w:pStyle w:val="Heading2"/>
        <w:spacing w:after="180" w:before="360"/>
      </w:pPr>
      <w:r>
        <w:rPr>
          <w:b/>
          <w:bCs/>
          <w:color w:val="2E5EAA"/>
          <w:sz w:val="26"/>
          <w:szCs w:val="26"/>
        </w:rPr>
        <w:t xml:space="preserve">9.3 Phase 2 — Partner expansion and adjacent verticals begin (Months 8-14)</w:t>
      </w:r>
    </w:p>
    <w:p>
      <w:pPr>
        <w:pStyle w:val="ListParagraph"/>
        <w:numPr>
          <w:ilvl w:val="0"/>
          <w:numId w:val="2"/>
        </w:numPr>
        <w:spacing w:after="100" w:line="280"/>
      </w:pPr>
      <w:r>
        <w:rPr>
          <w:sz w:val="21"/>
          <w:szCs w:val="21"/>
        </w:rPr>
        <w:t xml:space="preserve">Expand to 4-6 partner platforms; begin self-serve SDK documentation and integration tooling.</w:t>
      </w:r>
    </w:p>
    <w:p>
      <w:pPr>
        <w:pStyle w:val="ListParagraph"/>
        <w:numPr>
          <w:ilvl w:val="0"/>
          <w:numId w:val="2"/>
        </w:numPr>
        <w:spacing w:after="100" w:line="280"/>
      </w:pPr>
      <w:r>
        <w:rPr>
          <w:sz w:val="21"/>
          <w:szCs w:val="21"/>
        </w:rPr>
        <w:t xml:space="preserve">Begin Phase 2+ work on the retained point-in-time verticals (fintech onboarding/account recovery, healthcare telehealth, hiring-interview integrity) as applications of the same underlying platform, per Version 1.0's original requirements for those verticals.</w:t>
      </w:r>
    </w:p>
    <w:p>
      <w:pPr>
        <w:pStyle w:val="ListParagraph"/>
        <w:numPr>
          <w:ilvl w:val="0"/>
          <w:numId w:val="2"/>
        </w:numPr>
        <w:spacing w:after="100" w:line="280"/>
      </w:pPr>
      <w:r>
        <w:rPr>
          <w:sz w:val="21"/>
          <w:szCs w:val="21"/>
        </w:rPr>
        <w:t xml:space="preserve">Begin SOC 2 Type II readiness work.</w:t>
      </w:r>
    </w:p>
    <w:p>
      <w:pPr>
        <w:pStyle w:val="Heading2"/>
        <w:spacing w:after="180" w:before="360"/>
      </w:pPr>
      <w:r>
        <w:rPr>
          <w:b/>
          <w:bCs/>
          <w:color w:val="2E5EAA"/>
          <w:sz w:val="26"/>
          <w:szCs w:val="26"/>
        </w:rPr>
        <w:t xml:space="preserve">9.4 Phase 3 — Platform hardening and standardization groundwork (Months 14-20)</w:t>
      </w:r>
    </w:p>
    <w:p>
      <w:pPr>
        <w:pStyle w:val="ListParagraph"/>
        <w:numPr>
          <w:ilvl w:val="0"/>
          <w:numId w:val="2"/>
        </w:numPr>
        <w:spacing w:after="100" w:line="280"/>
      </w:pPr>
      <w:r>
        <w:rPr>
          <w:sz w:val="21"/>
          <w:szCs w:val="21"/>
        </w:rPr>
        <w:t xml:space="preserve">Complete SOC 2 Type II certification.</w:t>
      </w:r>
    </w:p>
    <w:p>
      <w:pPr>
        <w:pStyle w:val="ListParagraph"/>
        <w:numPr>
          <w:ilvl w:val="0"/>
          <w:numId w:val="2"/>
        </w:numPr>
        <w:spacing w:after="100" w:line="280"/>
      </w:pPr>
      <w:r>
        <w:rPr>
          <w:sz w:val="21"/>
          <w:szCs w:val="21"/>
        </w:rPr>
        <w:t xml:space="preserve">Load-test the continuous-verification pipeline to peak concurrent-call volume projected from design-partner traffic.</w:t>
      </w:r>
    </w:p>
    <w:p>
      <w:pPr>
        <w:pStyle w:val="ListParagraph"/>
        <w:numPr>
          <w:ilvl w:val="0"/>
          <w:numId w:val="2"/>
        </w:numPr>
        <w:spacing w:after="100" w:line="280"/>
      </w:pPr>
      <w:r>
        <w:rPr>
          <w:sz w:val="21"/>
          <w:szCs w:val="21"/>
        </w:rPr>
        <w:t xml:space="preserve">Publish a transparent accuracy/methodology report specifically for the continuous-verification model class (Section 2.4's distinction from point-in-time models).</w:t>
      </w:r>
    </w:p>
    <w:p>
      <w:pPr>
        <w:pStyle w:val="ListParagraph"/>
        <w:numPr>
          <w:ilvl w:val="0"/>
          <w:numId w:val="2"/>
        </w:numPr>
        <w:spacing w:after="100" w:line="280"/>
      </w:pPr>
      <w:r>
        <w:rPr>
          <w:sz w:val="21"/>
          <w:szCs w:val="21"/>
        </w:rPr>
        <w:t xml:space="preserve">Begin early-stage research on cross-platform trust portability (Vision Document, Document 1, Section 4.3).</w:t>
      </w:r>
    </w:p>
    <w:p>
      <w:pPr>
        <w:pStyle w:val="Heading1"/>
        <w:pageBreakBefore/>
        <w:spacing w:after="240" w:before="480"/>
      </w:pPr>
      <w:r>
        <w:rPr>
          <w:b/>
          <w:bCs/>
          <w:color w:val="1A2B4C"/>
          <w:sz w:val="32"/>
          <w:szCs w:val="32"/>
        </w:rPr>
        <w:t xml:space="preserve">10. Risks</w:t>
      </w:r>
    </w:p>
    <w:p>
      <w:pPr>
        <w:spacing w:after="200" w:line="300"/>
        <w:jc w:val="both"/>
      </w:pPr>
      <w:r>
        <w:rPr>
          <w:sz w:val="21"/>
          <w:szCs w:val="21"/>
        </w:rPr>
        <w:t xml:space="preserve">Revised to add flagship-specific risks (marked NEW) alongside retained risks from Version 1.0 that still apply.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700"/>
        <w:gridCol w:w="4300"/>
      </w:tblGrid>
      <w:tr>
        <w:trPr>
          <w:tblHeader/>
        </w:trPr>
        <w:tc>
          <w:tcPr>
            <w:tcW w:type="dxa" w:w="2900"/>
            <w:shd w:fill="1A2B4C" w:val="clear"/>
            <w:tcMar>
              <w:top w:type="dxa" w:w="100"/>
              <w:left w:type="dxa" w:w="140"/>
              <w:bottom w:type="dxa" w:w="100"/>
              <w:right w:type="dxa" w:w="140"/>
            </w:tcMar>
          </w:tcPr>
          <w:p>
            <w:r>
              <w:rPr>
                <w:b/>
                <w:bCs/>
                <w:color w:val="FFFFFF"/>
                <w:sz w:val="19"/>
                <w:szCs w:val="19"/>
              </w:rPr>
              <w:t xml:space="preserve">Risk</w:t>
            </w:r>
          </w:p>
        </w:tc>
        <w:tc>
          <w:tcPr>
            <w:tcW w:type="dxa" w:w="1500"/>
            <w:shd w:fill="1A2B4C" w:val="clear"/>
            <w:tcMar>
              <w:top w:type="dxa" w:w="100"/>
              <w:left w:type="dxa" w:w="140"/>
              <w:bottom w:type="dxa" w:w="100"/>
              <w:right w:type="dxa" w:w="140"/>
            </w:tcMar>
          </w:tcPr>
          <w:p>
            <w:r>
              <w:rPr>
                <w:b/>
                <w:bCs/>
                <w:color w:val="FFFFFF"/>
                <w:sz w:val="19"/>
                <w:szCs w:val="19"/>
              </w:rPr>
              <w:t xml:space="preserve">Category</w:t>
            </w:r>
          </w:p>
        </w:tc>
        <w:tc>
          <w:tcPr>
            <w:tcW w:type="dxa" w:w="700"/>
            <w:shd w:fill="1A2B4C" w:val="clear"/>
            <w:tcMar>
              <w:top w:type="dxa" w:w="100"/>
              <w:left w:type="dxa" w:w="140"/>
              <w:bottom w:type="dxa" w:w="100"/>
              <w:right w:type="dxa" w:w="140"/>
            </w:tcMar>
          </w:tcPr>
          <w:p>
            <w:r>
              <w:rPr>
                <w:b/>
                <w:bCs/>
                <w:color w:val="FFFFFF"/>
                <w:sz w:val="19"/>
                <w:szCs w:val="19"/>
              </w:rPr>
              <w:t xml:space="preserve">L / I</w:t>
            </w:r>
          </w:p>
        </w:tc>
        <w:tc>
          <w:tcPr>
            <w:tcW w:type="dxa" w:w="4300"/>
            <w:shd w:fill="1A2B4C" w:val="clear"/>
            <w:tcMar>
              <w:top w:type="dxa" w:w="100"/>
              <w:left w:type="dxa" w:w="140"/>
              <w:bottom w:type="dxa" w:w="100"/>
              <w:right w:type="dxa" w:w="140"/>
            </w:tcMar>
          </w:tcPr>
          <w:p>
            <w:r>
              <w:rPr>
                <w:b/>
                <w:bCs/>
                <w:color w:val="FFFFFF"/>
                <w:sz w:val="19"/>
                <w:szCs w:val="19"/>
              </w:rPr>
              <w:t xml:space="preserve">Mitigation</w:t>
            </w:r>
          </w:p>
        </w:tc>
      </w:tr>
      <w:tr>
        <w:tc>
          <w:tcPr>
            <w:tcW w:type="dxa" w:w="2900"/>
            <w:shd w:fill="F4F6F9" w:val="clear"/>
            <w:tcMar>
              <w:top w:type="dxa" w:w="100"/>
              <w:left w:type="dxa" w:w="140"/>
              <w:bottom w:type="dxa" w:w="100"/>
              <w:right w:type="dxa" w:w="140"/>
            </w:tcMar>
          </w:tcPr>
          <w:p>
            <w:r>
              <w:rPr>
                <w:sz w:val="19"/>
                <w:szCs w:val="19"/>
              </w:rPr>
              <w:t xml:space="preserve">NEW — Partner-dependency / chicken-and-egg adoption risk: the SDK-embed model (Path A) means Certivo has no direct path to users without a partner platform choosing to integrate first.</w:t>
            </w:r>
          </w:p>
        </w:tc>
        <w:tc>
          <w:tcPr>
            <w:tcW w:type="dxa" w:w="1500"/>
            <w:shd w:fill="F4F6F9" w:val="clear"/>
            <w:tcMar>
              <w:top w:type="dxa" w:w="100"/>
              <w:left w:type="dxa" w:w="140"/>
              <w:bottom w:type="dxa" w:w="100"/>
              <w:right w:type="dxa" w:w="140"/>
            </w:tcMar>
          </w:tcPr>
          <w:p>
            <w:r>
              <w:rPr>
                <w:sz w:val="19"/>
                <w:szCs w:val="19"/>
              </w:rPr>
              <w:t xml:space="preserve">Business</w:t>
            </w:r>
          </w:p>
        </w:tc>
        <w:tc>
          <w:tcPr>
            <w:tcW w:type="dxa" w:w="700"/>
            <w:shd w:fill="F4F6F9" w:val="clear"/>
            <w:tcMar>
              <w:top w:type="dxa" w:w="100"/>
              <w:left w:type="dxa" w:w="140"/>
              <w:bottom w:type="dxa" w:w="100"/>
              <w:right w:type="dxa" w:w="140"/>
            </w:tcMar>
          </w:tcPr>
          <w:p>
            <w:r>
              <w:rPr>
                <w:sz w:val="19"/>
                <w:szCs w:val="19"/>
              </w:rPr>
              <w:t xml:space="preserve">H / H</w:t>
            </w:r>
          </w:p>
        </w:tc>
        <w:tc>
          <w:tcPr>
            <w:tcW w:type="dxa" w:w="4300"/>
            <w:shd w:fill="F4F6F9" w:val="clear"/>
            <w:tcMar>
              <w:top w:type="dxa" w:w="100"/>
              <w:left w:type="dxa" w:w="140"/>
              <w:bottom w:type="dxa" w:w="100"/>
              <w:right w:type="dxa" w:w="140"/>
            </w:tcMar>
          </w:tcPr>
          <w:p>
            <w:r>
              <w:rPr>
                <w:sz w:val="19"/>
                <w:szCs w:val="19"/>
              </w:rPr>
              <w:t xml:space="preserve">Design-partner motion targets platforms with acute, already-felt pain (Section 3.5) rather than broad outbound; pricing and integration effort minimized for the first 1-2 partners specifically to lower the adoption barrier.</w:t>
            </w:r>
          </w:p>
        </w:tc>
      </w:tr>
      <w:tr>
        <w:tc>
          <w:tcPr>
            <w:tcW w:type="dxa" w:w="2900"/>
            <w:shd w:fill="FFFFFF" w:val="clear"/>
            <w:tcMar>
              <w:top w:type="dxa" w:w="100"/>
              <w:left w:type="dxa" w:w="140"/>
              <w:bottom w:type="dxa" w:w="100"/>
              <w:right w:type="dxa" w:w="140"/>
            </w:tcMar>
          </w:tcPr>
          <w:p>
            <w:r>
              <w:rPr>
                <w:sz w:val="19"/>
                <w:szCs w:val="19"/>
              </w:rPr>
              <w:t xml:space="preserve">NEW — Continuous verification's latency/resource budget proves incompatible with a partner's existing call infrastructure.</w:t>
            </w:r>
          </w:p>
        </w:tc>
        <w:tc>
          <w:tcPr>
            <w:tcW w:type="dxa" w:w="1500"/>
            <w:shd w:fill="FFFFFF" w:val="clear"/>
            <w:tcMar>
              <w:top w:type="dxa" w:w="100"/>
              <w:left w:type="dxa" w:w="140"/>
              <w:bottom w:type="dxa" w:w="100"/>
              <w:right w:type="dxa" w:w="140"/>
            </w:tcMar>
          </w:tcPr>
          <w:p>
            <w:r>
              <w:rPr>
                <w:sz w:val="19"/>
                <w:szCs w:val="19"/>
              </w:rPr>
              <w:t xml:space="preserve">Technical</w:t>
            </w:r>
          </w:p>
        </w:tc>
        <w:tc>
          <w:tcPr>
            <w:tcW w:type="dxa" w:w="700"/>
            <w:shd w:fill="FFFFFF" w:val="clear"/>
            <w:tcMar>
              <w:top w:type="dxa" w:w="100"/>
              <w:left w:type="dxa" w:w="140"/>
              <w:bottom w:type="dxa" w:w="100"/>
              <w:right w:type="dxa" w:w="140"/>
            </w:tcMar>
          </w:tcPr>
          <w:p>
            <w:r>
              <w:rPr>
                <w:sz w:val="19"/>
                <w:szCs w:val="19"/>
              </w:rPr>
              <w:t xml:space="preserve">M / H</w:t>
            </w:r>
          </w:p>
        </w:tc>
        <w:tc>
          <w:tcPr>
            <w:tcW w:type="dxa" w:w="4300"/>
            <w:shd w:fill="FFFFFF" w:val="clear"/>
            <w:tcMar>
              <w:top w:type="dxa" w:w="100"/>
              <w:left w:type="dxa" w:w="140"/>
              <w:bottom w:type="dxa" w:w="100"/>
              <w:right w:type="dxa" w:w="140"/>
            </w:tcMar>
          </w:tcPr>
          <w:p>
            <w:r>
              <w:rPr>
                <w:sz w:val="19"/>
                <w:szCs w:val="19"/>
              </w:rPr>
              <w:t xml:space="preserve">NFR-C.2's validation-before-rollout requirement exists specifically to surface this during a pilot, not after full integration; architecture keeps the SDK's compute footprint modular and tunable per partner (Technical Requirements Document, once revised).</w:t>
            </w:r>
          </w:p>
        </w:tc>
      </w:tr>
      <w:tr>
        <w:tc>
          <w:tcPr>
            <w:tcW w:type="dxa" w:w="2900"/>
            <w:shd w:fill="F4F6F9" w:val="clear"/>
            <w:tcMar>
              <w:top w:type="dxa" w:w="100"/>
              <w:left w:type="dxa" w:w="140"/>
              <w:bottom w:type="dxa" w:w="100"/>
              <w:right w:type="dxa" w:w="140"/>
            </w:tcMar>
          </w:tcPr>
          <w:p>
            <w:r>
              <w:rPr>
                <w:sz w:val="19"/>
                <w:szCs w:val="19"/>
              </w:rPr>
              <w:t xml:space="preserve">NEW — A partner platform's users perceive continuous, in-call verification as invasive surveillance rather than a protective feature.</w:t>
            </w:r>
          </w:p>
        </w:tc>
        <w:tc>
          <w:tcPr>
            <w:tcW w:type="dxa" w:w="1500"/>
            <w:shd w:fill="F4F6F9" w:val="clear"/>
            <w:tcMar>
              <w:top w:type="dxa" w:w="100"/>
              <w:left w:type="dxa" w:w="140"/>
              <w:bottom w:type="dxa" w:w="100"/>
              <w:right w:type="dxa" w:w="140"/>
            </w:tcMar>
          </w:tcPr>
          <w:p>
            <w:r>
              <w:rPr>
                <w:sz w:val="19"/>
                <w:szCs w:val="19"/>
              </w:rPr>
              <w:t xml:space="preserve">Product / Reputational</w:t>
            </w:r>
          </w:p>
        </w:tc>
        <w:tc>
          <w:tcPr>
            <w:tcW w:type="dxa" w:w="700"/>
            <w:shd w:fill="F4F6F9" w:val="clear"/>
            <w:tcMar>
              <w:top w:type="dxa" w:w="100"/>
              <w:left w:type="dxa" w:w="140"/>
              <w:bottom w:type="dxa" w:w="100"/>
              <w:right w:type="dxa" w:w="140"/>
            </w:tcMar>
          </w:tcPr>
          <w:p>
            <w:r>
              <w:rPr>
                <w:sz w:val="19"/>
                <w:szCs w:val="19"/>
              </w:rPr>
              <w:t xml:space="preserve">M / H</w:t>
            </w:r>
          </w:p>
        </w:tc>
        <w:tc>
          <w:tcPr>
            <w:tcW w:type="dxa" w:w="4300"/>
            <w:shd w:fill="F4F6F9" w:val="clear"/>
            <w:tcMar>
              <w:top w:type="dxa" w:w="100"/>
              <w:left w:type="dxa" w:w="140"/>
              <w:bottom w:type="dxa" w:w="100"/>
              <w:right w:type="dxa" w:w="140"/>
            </w:tcMar>
          </w:tcPr>
          <w:p>
            <w:r>
              <w:rPr>
                <w:sz w:val="19"/>
                <w:szCs w:val="19"/>
              </w:rPr>
              <w:t xml:space="preserve">Consent design (FR-5.1, FR-5.6) treats continuous and Trusted Device Layer consent as distinct, explicit, and clearly explained; Vision Document Section 3's 'continuous does not mean invasive' principle is a binding design constraint, not aspirational language.</w:t>
            </w:r>
          </w:p>
        </w:tc>
      </w:tr>
      <w:tr>
        <w:tc>
          <w:tcPr>
            <w:tcW w:type="dxa" w:w="2900"/>
            <w:shd w:fill="FFFFFF" w:val="clear"/>
            <w:tcMar>
              <w:top w:type="dxa" w:w="100"/>
              <w:left w:type="dxa" w:w="140"/>
              <w:bottom w:type="dxa" w:w="100"/>
              <w:right w:type="dxa" w:w="140"/>
            </w:tcMar>
          </w:tcPr>
          <w:p>
            <w:r>
              <w:rPr>
                <w:sz w:val="19"/>
                <w:szCs w:val="19"/>
              </w:rPr>
              <w:t xml:space="preserve">NEW — The Trusted Device Layer is misused by an integrating platform (or perceived to be) for cross-platform tracking.</w:t>
            </w:r>
          </w:p>
        </w:tc>
        <w:tc>
          <w:tcPr>
            <w:tcW w:type="dxa" w:w="1500"/>
            <w:shd w:fill="FFFFFF" w:val="clear"/>
            <w:tcMar>
              <w:top w:type="dxa" w:w="100"/>
              <w:left w:type="dxa" w:w="140"/>
              <w:bottom w:type="dxa" w:w="100"/>
              <w:right w:type="dxa" w:w="140"/>
            </w:tcMar>
          </w:tcPr>
          <w:p>
            <w:r>
              <w:rPr>
                <w:sz w:val="19"/>
                <w:szCs w:val="19"/>
              </w:rPr>
              <w:t xml:space="preserve">Privacy / Reputational</w:t>
            </w:r>
          </w:p>
        </w:tc>
        <w:tc>
          <w:tcPr>
            <w:tcW w:type="dxa" w:w="700"/>
            <w:shd w:fill="FFFFFF" w:val="clear"/>
            <w:tcMar>
              <w:top w:type="dxa" w:w="100"/>
              <w:left w:type="dxa" w:w="140"/>
              <w:bottom w:type="dxa" w:w="100"/>
              <w:right w:type="dxa" w:w="140"/>
            </w:tcMar>
          </w:tcPr>
          <w:p>
            <w:r>
              <w:rPr>
                <w:sz w:val="19"/>
                <w:szCs w:val="19"/>
              </w:rPr>
              <w:t xml:space="preserve">L / H</w:t>
            </w:r>
          </w:p>
        </w:tc>
        <w:tc>
          <w:tcPr>
            <w:tcW w:type="dxa" w:w="4300"/>
            <w:shd w:fill="FFFFFF" w:val="clear"/>
            <w:tcMar>
              <w:top w:type="dxa" w:w="100"/>
              <w:left w:type="dxa" w:w="140"/>
              <w:bottom w:type="dxa" w:w="100"/>
              <w:right w:type="dxa" w:w="140"/>
            </w:tcMar>
          </w:tcPr>
          <w:p>
            <w:r>
              <w:rPr>
                <w:sz w:val="19"/>
                <w:szCs w:val="19"/>
              </w:rPr>
              <w:t xml:space="preserve">FR-D.3's platform-scoping is a hard architectural constraint, not a policy promise; Vision Document Section 6's non-negotiable makes this a walk-away-from-the-deal issue, per that document's own standard for non-negotiables.</w:t>
            </w:r>
          </w:p>
        </w:tc>
      </w:tr>
      <w:tr>
        <w:tc>
          <w:tcPr>
            <w:tcW w:type="dxa" w:w="2900"/>
            <w:shd w:fill="F4F6F9" w:val="clear"/>
            <w:tcMar>
              <w:top w:type="dxa" w:w="100"/>
              <w:left w:type="dxa" w:w="140"/>
              <w:bottom w:type="dxa" w:w="100"/>
              <w:right w:type="dxa" w:w="140"/>
            </w:tcMar>
          </w:tcPr>
          <w:p>
            <w:r>
              <w:rPr>
                <w:sz w:val="19"/>
                <w:szCs w:val="19"/>
              </w:rPr>
              <w:t xml:space="preserve">NEW — A well-resourced video-calling or social platform builds this capability natively rather than integrating Certivo.</w:t>
            </w:r>
          </w:p>
        </w:tc>
        <w:tc>
          <w:tcPr>
            <w:tcW w:type="dxa" w:w="1500"/>
            <w:shd w:fill="F4F6F9" w:val="clear"/>
            <w:tcMar>
              <w:top w:type="dxa" w:w="100"/>
              <w:left w:type="dxa" w:w="140"/>
              <w:bottom w:type="dxa" w:w="100"/>
              <w:right w:type="dxa" w:w="140"/>
            </w:tcMar>
          </w:tcPr>
          <w:p>
            <w:r>
              <w:rPr>
                <w:sz w:val="19"/>
                <w:szCs w:val="19"/>
              </w:rPr>
              <w:t xml:space="preserve">Competitive</w:t>
            </w:r>
          </w:p>
        </w:tc>
        <w:tc>
          <w:tcPr>
            <w:tcW w:type="dxa" w:w="700"/>
            <w:shd w:fill="F4F6F9" w:val="clear"/>
            <w:tcMar>
              <w:top w:type="dxa" w:w="100"/>
              <w:left w:type="dxa" w:w="140"/>
              <w:bottom w:type="dxa" w:w="100"/>
              <w:right w:type="dxa" w:w="140"/>
            </w:tcMar>
          </w:tcPr>
          <w:p>
            <w:r>
              <w:rPr>
                <w:sz w:val="19"/>
                <w:szCs w:val="19"/>
              </w:rPr>
              <w:t xml:space="preserve">M / M</w:t>
            </w:r>
          </w:p>
        </w:tc>
        <w:tc>
          <w:tcPr>
            <w:tcW w:type="dxa" w:w="4300"/>
            <w:shd w:fill="F4F6F9" w:val="clear"/>
            <w:tcMar>
              <w:top w:type="dxa" w:w="100"/>
              <w:left w:type="dxa" w:w="140"/>
              <w:bottom w:type="dxa" w:w="100"/>
              <w:right w:type="dxa" w:w="140"/>
            </w:tcMar>
          </w:tcPr>
          <w:p>
            <w:r>
              <w:rPr>
                <w:sz w:val="19"/>
                <w:szCs w:val="19"/>
              </w:rPr>
              <w:t xml:space="preserve">Certivo's differentiation is the same specialized, continuously-updated ML/cryptographic research investment argued in the original competitive analysis (Section 3.4) — a platform's core competency is rarely continuous deepfake detection research, the same logic that supports third-party payments/authentication infrastructure over in-house alternatives.</w:t>
            </w:r>
          </w:p>
        </w:tc>
      </w:tr>
      <w:tr>
        <w:tc>
          <w:tcPr>
            <w:tcW w:type="dxa" w:w="2900"/>
            <w:shd w:fill="FFFFFF" w:val="clear"/>
            <w:tcMar>
              <w:top w:type="dxa" w:w="100"/>
              <w:left w:type="dxa" w:w="140"/>
              <w:bottom w:type="dxa" w:w="100"/>
              <w:right w:type="dxa" w:w="140"/>
            </w:tcMar>
          </w:tcPr>
          <w:p>
            <w:r>
              <w:rPr>
                <w:sz w:val="19"/>
                <w:szCs w:val="19"/>
              </w:rPr>
              <w:t xml:space="preserve">Generative attack sophistication outpaces detection models between training cycles. (Retained from Version 1.0)</w:t>
            </w:r>
          </w:p>
        </w:tc>
        <w:tc>
          <w:tcPr>
            <w:tcW w:type="dxa" w:w="1500"/>
            <w:shd w:fill="FFFFFF" w:val="clear"/>
            <w:tcMar>
              <w:top w:type="dxa" w:w="100"/>
              <w:left w:type="dxa" w:w="140"/>
              <w:bottom w:type="dxa" w:w="100"/>
              <w:right w:type="dxa" w:w="140"/>
            </w:tcMar>
          </w:tcPr>
          <w:p>
            <w:r>
              <w:rPr>
                <w:sz w:val="19"/>
                <w:szCs w:val="19"/>
              </w:rPr>
              <w:t xml:space="preserve">Technical / ML</w:t>
            </w:r>
          </w:p>
        </w:tc>
        <w:tc>
          <w:tcPr>
            <w:tcW w:type="dxa" w:w="700"/>
            <w:shd w:fill="FFFFFF" w:val="clear"/>
            <w:tcMar>
              <w:top w:type="dxa" w:w="100"/>
              <w:left w:type="dxa" w:w="140"/>
              <w:bottom w:type="dxa" w:w="100"/>
              <w:right w:type="dxa" w:w="140"/>
            </w:tcMar>
          </w:tcPr>
          <w:p>
            <w:r>
              <w:rPr>
                <w:sz w:val="19"/>
                <w:szCs w:val="19"/>
              </w:rPr>
              <w:t xml:space="preserve">H / H</w:t>
            </w:r>
          </w:p>
        </w:tc>
        <w:tc>
          <w:tcPr>
            <w:tcW w:type="dxa" w:w="4300"/>
            <w:shd w:fill="FFFFFF" w:val="clear"/>
            <w:tcMar>
              <w:top w:type="dxa" w:w="100"/>
              <w:left w:type="dxa" w:w="140"/>
              <w:bottom w:type="dxa" w:w="100"/>
              <w:right w:type="dxa" w:w="140"/>
            </w:tcMar>
          </w:tcPr>
          <w:p>
            <w:r>
              <w:rPr>
                <w:sz w:val="19"/>
                <w:szCs w:val="19"/>
              </w:rPr>
              <w:t xml:space="preserve">Continuous evaluation pipeline and adversarial red-teaming, as in Version 1.0 — now applied to the continuous-model class specifically, which has its own, separately tracked evaluation cadence (Section 2.4).</w:t>
            </w:r>
          </w:p>
        </w:tc>
      </w:tr>
      <w:tr>
        <w:tc>
          <w:tcPr>
            <w:tcW w:type="dxa" w:w="2900"/>
            <w:shd w:fill="F4F6F9" w:val="clear"/>
            <w:tcMar>
              <w:top w:type="dxa" w:w="100"/>
              <w:left w:type="dxa" w:w="140"/>
              <w:bottom w:type="dxa" w:w="100"/>
              <w:right w:type="dxa" w:w="140"/>
            </w:tcMar>
          </w:tcPr>
          <w:p>
            <w:r>
              <w:rPr>
                <w:sz w:val="19"/>
                <w:szCs w:val="19"/>
              </w:rPr>
              <w:t xml:space="preserve">Biometric data handling creates outsized regulatory exposure. (Retained, heightened by continuous processing)</w:t>
            </w:r>
          </w:p>
        </w:tc>
        <w:tc>
          <w:tcPr>
            <w:tcW w:type="dxa" w:w="1500"/>
            <w:shd w:fill="F4F6F9" w:val="clear"/>
            <w:tcMar>
              <w:top w:type="dxa" w:w="100"/>
              <w:left w:type="dxa" w:w="140"/>
              <w:bottom w:type="dxa" w:w="100"/>
              <w:right w:type="dxa" w:w="140"/>
            </w:tcMar>
          </w:tcPr>
          <w:p>
            <w:r>
              <w:rPr>
                <w:sz w:val="19"/>
                <w:szCs w:val="19"/>
              </w:rPr>
              <w:t xml:space="preserve">Legal / Compliance</w:t>
            </w:r>
          </w:p>
        </w:tc>
        <w:tc>
          <w:tcPr>
            <w:tcW w:type="dxa" w:w="700"/>
            <w:shd w:fill="F4F6F9" w:val="clear"/>
            <w:tcMar>
              <w:top w:type="dxa" w:w="100"/>
              <w:left w:type="dxa" w:w="140"/>
              <w:bottom w:type="dxa" w:w="100"/>
              <w:right w:type="dxa" w:w="140"/>
            </w:tcMar>
          </w:tcPr>
          <w:p>
            <w:r>
              <w:rPr>
                <w:sz w:val="19"/>
                <w:szCs w:val="19"/>
              </w:rPr>
              <w:t xml:space="preserve">M / H</w:t>
            </w:r>
          </w:p>
        </w:tc>
        <w:tc>
          <w:tcPr>
            <w:tcW w:type="dxa" w:w="4300"/>
            <w:shd w:fill="F4F6F9" w:val="clear"/>
            <w:tcMar>
              <w:top w:type="dxa" w:w="100"/>
              <w:left w:type="dxa" w:w="140"/>
              <w:bottom w:type="dxa" w:w="100"/>
              <w:right w:type="dxa" w:w="140"/>
            </w:tcMar>
          </w:tcPr>
          <w:p>
            <w:r>
              <w:rPr>
                <w:sz w:val="19"/>
                <w:szCs w:val="19"/>
              </w:rPr>
              <w:t xml:space="preserve">Privacy-by-design architecture applied with equal rigor to continuous sessions (Vision Document Section 3); Trusted Device Layer treated as a distinct, more heavily scrutinized compliance category (NFR-4.4).</w:t>
            </w:r>
          </w:p>
        </w:tc>
      </w:tr>
      <w:tr>
        <w:tc>
          <w:tcPr>
            <w:tcW w:type="dxa" w:w="2900"/>
            <w:shd w:fill="FFFFFF" w:val="clear"/>
            <w:tcMar>
              <w:top w:type="dxa" w:w="100"/>
              <w:left w:type="dxa" w:w="140"/>
              <w:bottom w:type="dxa" w:w="100"/>
              <w:right w:type="dxa" w:w="140"/>
            </w:tcMar>
          </w:tcPr>
          <w:p>
            <w:r>
              <w:rPr>
                <w:sz w:val="19"/>
                <w:szCs w:val="19"/>
              </w:rPr>
              <w:t xml:space="preserve">Design partners churn if call-quality impact is worse than validated in the pilot.</w:t>
            </w:r>
          </w:p>
        </w:tc>
        <w:tc>
          <w:tcPr>
            <w:tcW w:type="dxa" w:w="1500"/>
            <w:shd w:fill="FFFFFF" w:val="clear"/>
            <w:tcMar>
              <w:top w:type="dxa" w:w="100"/>
              <w:left w:type="dxa" w:w="140"/>
              <w:bottom w:type="dxa" w:w="100"/>
              <w:right w:type="dxa" w:w="140"/>
            </w:tcMar>
          </w:tcPr>
          <w:p>
            <w:r>
              <w:rPr>
                <w:sz w:val="19"/>
                <w:szCs w:val="19"/>
              </w:rPr>
              <w:t xml:space="preserve">Business</w:t>
            </w:r>
          </w:p>
        </w:tc>
        <w:tc>
          <w:tcPr>
            <w:tcW w:type="dxa" w:w="700"/>
            <w:shd w:fill="FFFFFF" w:val="clear"/>
            <w:tcMar>
              <w:top w:type="dxa" w:w="100"/>
              <w:left w:type="dxa" w:w="140"/>
              <w:bottom w:type="dxa" w:w="100"/>
              <w:right w:type="dxa" w:w="140"/>
            </w:tcMar>
          </w:tcPr>
          <w:p>
            <w:r>
              <w:rPr>
                <w:sz w:val="19"/>
                <w:szCs w:val="19"/>
              </w:rPr>
              <w:t xml:space="preserve">M / H</w:t>
            </w:r>
          </w:p>
        </w:tc>
        <w:tc>
          <w:tcPr>
            <w:tcW w:type="dxa" w:w="4300"/>
            <w:shd w:fill="FFFFFF" w:val="clear"/>
            <w:tcMar>
              <w:top w:type="dxa" w:w="100"/>
              <w:left w:type="dxa" w:w="140"/>
              <w:bottom w:type="dxa" w:w="100"/>
              <w:right w:type="dxa" w:w="140"/>
            </w:tcMar>
          </w:tcPr>
          <w:p>
            <w:r>
              <w:rPr>
                <w:sz w:val="19"/>
                <w:szCs w:val="19"/>
              </w:rPr>
              <w:t xml:space="preserve">Staged rollout (roadmap Section 9.1-9.2) validates against real traffic before full deployment, not only sandbox conditions.</w:t>
            </w:r>
          </w:p>
        </w:tc>
      </w:tr>
    </w:tbl>
    <w:p>
      <w:pPr>
        <w:spacing w:after="260" w:before="80"/>
      </w:pPr>
      <w:r>
        <w:rPr>
          <w:i/>
          <w:iCs/>
          <w:color w:val="6B7280"/>
          <w:sz w:val="18"/>
          <w:szCs w:val="18"/>
        </w:rPr>
        <w:t xml:space="preserve">Table 10.1 — Risks, revised for the flagship pivot.</w:t>
      </w:r>
    </w:p>
    <w:p>
      <w:pPr>
        <w:pStyle w:val="Heading1"/>
        <w:pageBreakBefore/>
        <w:spacing w:after="240" w:before="480"/>
      </w:pPr>
      <w:r>
        <w:rPr>
          <w:b/>
          <w:bCs/>
          <w:color w:val="1A2B4C"/>
          <w:sz w:val="32"/>
          <w:szCs w:val="32"/>
        </w:rPr>
        <w:t xml:space="preserve">11. Future Features (Beyond 20 Months)</w:t>
      </w:r>
    </w:p>
    <w:p>
      <w:pPr>
        <w:spacing w:after="200" w:line="300"/>
        <w:jc w:val="both"/>
      </w:pPr>
      <w:r>
        <w:rPr>
          <w:sz w:val="21"/>
          <w:szCs w:val="21"/>
        </w:rPr>
        <w:t xml:space="preserve">Revised: cross-platform trust portability (new) joins the retained future features from Version 1.0 that remain relevant.</w:t>
      </w:r>
    </w:p>
    <w:p>
      <w:pPr>
        <w:pStyle w:val="ListParagraph"/>
        <w:numPr>
          <w:ilvl w:val="0"/>
          <w:numId w:val="2"/>
        </w:numPr>
        <w:spacing w:after="100" w:line="280"/>
      </w:pPr>
      <w:r>
        <w:rPr>
          <w:sz w:val="21"/>
          <w:szCs w:val="21"/>
        </w:rPr>
        <w:t xml:space="preserve">NEW — Cross-platform trust portability: a person verified on one integrating platform carrying a portable, privacy-preserving trust credential to another, without re-verification and without either platform learning about the person's activity on the other (Vision Document, Document 1, Section 4.3) — deliberately deferred given the privacy and cryptographic design difficulty.</w:t>
      </w:r>
    </w:p>
    <w:p>
      <w:pPr>
        <w:pStyle w:val="ListParagraph"/>
        <w:numPr>
          <w:ilvl w:val="0"/>
          <w:numId w:val="2"/>
        </w:numPr>
        <w:spacing w:after="100" w:line="280"/>
      </w:pPr>
      <w:r>
        <w:rPr>
          <w:sz w:val="21"/>
          <w:szCs w:val="21"/>
        </w:rPr>
        <w:t xml:space="preserve">Extension of continuous verification beyond video calls to voice-only calls and AR/VR presence (Vision Document, Document 1, Section 4.1).</w:t>
      </w:r>
    </w:p>
    <w:p>
      <w:pPr>
        <w:pStyle w:val="ListParagraph"/>
        <w:numPr>
          <w:ilvl w:val="0"/>
          <w:numId w:val="2"/>
        </w:numPr>
        <w:spacing w:after="100" w:line="280"/>
      </w:pPr>
      <w:r>
        <w:rPr>
          <w:sz w:val="21"/>
          <w:szCs w:val="21"/>
        </w:rPr>
        <w:t xml:space="preserve">On-device / federated inference, reducing raw biometric signal transmission even further, particularly relevant given the bandwidth-consciousness already required for continuous verification (Section 2.4).</w:t>
      </w:r>
    </w:p>
    <w:p>
      <w:pPr>
        <w:pStyle w:val="ListParagraph"/>
        <w:numPr>
          <w:ilvl w:val="0"/>
          <w:numId w:val="2"/>
        </w:numPr>
        <w:spacing w:after="100" w:line="280"/>
      </w:pPr>
      <w:r>
        <w:rPr>
          <w:sz w:val="21"/>
          <w:szCs w:val="21"/>
        </w:rPr>
        <w:t xml:space="preserve">Agent-authorization attestation, retained from Version 1.0's long-term ambition, now understood as a separate research track from the live-call flagship.</w:t>
      </w:r>
    </w:p>
    <w:p>
      <w:pPr>
        <w:pStyle w:val="ListParagraph"/>
        <w:numPr>
          <w:ilvl w:val="0"/>
          <w:numId w:val="2"/>
        </w:numPr>
        <w:spacing w:after="100" w:line="280"/>
      </w:pPr>
      <w:r>
        <w:rPr>
          <w:sz w:val="21"/>
          <w:szCs w:val="21"/>
        </w:rPr>
        <w:t xml:space="preserve">Consumer-facing trust badge/mark, extended to indicate a livestream or call is under continuous Certivo verification, not only a static account badge.</w:t>
      </w:r>
    </w:p>
    <w:p>
      <w:pPr>
        <w:pStyle w:val="Heading1"/>
        <w:pageBreakBefore/>
        <w:spacing w:after="240" w:before="480"/>
      </w:pPr>
      <w:r>
        <w:rPr>
          <w:b/>
          <w:bCs/>
          <w:color w:val="1A2B4C"/>
          <w:sz w:val="32"/>
          <w:szCs w:val="32"/>
        </w:rPr>
        <w:t xml:space="preserve">12. Key User Flows</w:t>
      </w:r>
    </w:p>
    <w:p>
      <w:pPr>
        <w:spacing w:after="200" w:line="300"/>
        <w:jc w:val="both"/>
      </w:pPr>
      <w:r>
        <w:rPr>
          <w:sz w:val="21"/>
          <w:szCs w:val="21"/>
        </w:rPr>
        <w:t xml:space="preserve">New flows for the flagship, replacing Version 1.0's fintech-centric flows as the primary examples. Version 1.0's flows remain valid for the retained Phase 2+ verticals.</w:t>
      </w:r>
    </w:p>
    <w:p>
      <w:pPr>
        <w:pStyle w:val="Heading2"/>
        <w:spacing w:after="180" w:before="360"/>
      </w:pPr>
      <w:r>
        <w:rPr>
          <w:b/>
          <w:bCs/>
          <w:color w:val="2E5EAA"/>
          <w:sz w:val="26"/>
          <w:szCs w:val="26"/>
        </w:rPr>
        <w:t xml:space="preserve">12.1 Continuous in-call verification flow</w:t>
      </w:r>
    </w:p>
    <w:p>
      <w:pPr>
        <w:pStyle w:val="ListParagraph"/>
        <w:numPr>
          <w:ilvl w:val="0"/>
          <w:numId w:val="3"/>
        </w:numPr>
        <w:spacing w:after="100" w:line="280"/>
      </w:pPr>
      <w:r>
        <w:rPr>
          <w:sz w:val="21"/>
          <w:szCs w:val="21"/>
        </w:rPr>
        <w:t xml:space="preserve">Two or more participants join a video call on a platform that has integrated the Certivo SDK.</w:t>
      </w:r>
    </w:p>
    <w:p>
      <w:pPr>
        <w:pStyle w:val="ListParagraph"/>
        <w:numPr>
          <w:ilvl w:val="0"/>
          <w:numId w:val="3"/>
        </w:numPr>
        <w:spacing w:after="100" w:line="280"/>
      </w:pPr>
      <w:r>
        <w:rPr>
          <w:sz w:val="21"/>
          <w:szCs w:val="21"/>
        </w:rPr>
        <w:t xml:space="preserve">Each participant's device independently begins continuous liveness and synthetic-media analysis on their own local camera/microphone feed, per FR-C.1 — no participant's raw video is sent to another participant or to Certivo's backend for this analysis.</w:t>
      </w:r>
    </w:p>
    <w:p>
      <w:pPr>
        <w:pStyle w:val="ListParagraph"/>
        <w:numPr>
          <w:ilvl w:val="0"/>
          <w:numId w:val="3"/>
        </w:numPr>
        <w:spacing w:after="100" w:line="280"/>
      </w:pPr>
      <w:r>
        <w:rPr>
          <w:sz w:val="21"/>
          <w:szCs w:val="21"/>
        </w:rPr>
        <w:t xml:space="preserve">Each device periodically computes an updated confidence score and explanation (FR-C.2), signed and transmitted as a lightweight trust signal to the other participant(s) and/or the platform's own systems, per the platform's configuration (FR-C.4).</w:t>
      </w:r>
    </w:p>
    <w:p>
      <w:pPr>
        <w:pStyle w:val="ListParagraph"/>
        <w:numPr>
          <w:ilvl w:val="0"/>
          <w:numId w:val="3"/>
        </w:numPr>
        <w:spacing w:after="100" w:line="280"/>
      </w:pPr>
      <w:r>
        <w:rPr>
          <w:sz w:val="21"/>
          <w:szCs w:val="21"/>
        </w:rPr>
        <w:t xml:space="preserve">Each participant sees a continuously updated, unobtrusive trust indicator for the other participant(s), never a single one-time badge.</w:t>
      </w:r>
    </w:p>
    <w:p>
      <w:pPr>
        <w:pStyle w:val="ListParagraph"/>
        <w:numPr>
          <w:ilvl w:val="0"/>
          <w:numId w:val="3"/>
        </w:numPr>
        <w:spacing w:after="100" w:line="280"/>
      </w:pPr>
      <w:r>
        <w:rPr>
          <w:sz w:val="21"/>
          <w:szCs w:val="21"/>
        </w:rPr>
        <w:t xml:space="preserve">If a participant's confidence drops below the platform's configured threshold mid-call — for example, due to a live face-swap injection — the system flags this distinctly (FR-C.8), and the platform's configured response (a visible warning, a moderation alert, or session flagging) takes effect within the detection window validated during Phase 0 (roadmap Section 9.1).</w:t>
      </w:r>
    </w:p>
    <w:p>
      <w:pPr>
        <w:pStyle w:val="ListParagraph"/>
        <w:numPr>
          <w:ilvl w:val="0"/>
          <w:numId w:val="3"/>
        </w:numPr>
        <w:spacing w:after="100" w:line="280"/>
      </w:pPr>
      <w:r>
        <w:rPr>
          <w:sz w:val="21"/>
          <w:szCs w:val="21"/>
        </w:rPr>
        <w:t xml:space="preserve">At call end, a session-length cryptographic attestation is generated covering the verification history for the call (FR-4.1, extended), available to the platform for its own audit or dispute-resolution needs.</w:t>
      </w:r>
    </w:p>
    <w:p>
      <w:pPr>
        <w:pStyle w:val="Heading2"/>
        <w:spacing w:after="180" w:before="360"/>
      </w:pPr>
      <w:r>
        <w:rPr>
          <w:b/>
          <w:bCs/>
          <w:color w:val="2E5EAA"/>
          <w:sz w:val="26"/>
          <w:szCs w:val="26"/>
        </w:rPr>
        <w:t xml:space="preserve">12.2 Trusted Device Layer issuance and reuse flow</w:t>
      </w:r>
    </w:p>
    <w:p>
      <w:pPr>
        <w:pStyle w:val="ListParagraph"/>
        <w:numPr>
          <w:ilvl w:val="0"/>
          <w:numId w:val="3"/>
        </w:numPr>
        <w:spacing w:after="100" w:line="280"/>
      </w:pPr>
      <w:r>
        <w:rPr>
          <w:sz w:val="21"/>
          <w:szCs w:val="21"/>
        </w:rPr>
        <w:t xml:space="preserve">A user completes an initial, full verification (liveness + synthetic-media check) on a specific device, on a specific integrating platform.</w:t>
      </w:r>
    </w:p>
    <w:p>
      <w:pPr>
        <w:pStyle w:val="ListParagraph"/>
        <w:numPr>
          <w:ilvl w:val="0"/>
          <w:numId w:val="3"/>
        </w:numPr>
        <w:spacing w:after="100" w:line="280"/>
      </w:pPr>
      <w:r>
        <w:rPr>
          <w:sz w:val="21"/>
          <w:szCs w:val="21"/>
        </w:rPr>
        <w:t xml:space="preserve">The user is presented with a distinct, explicit consent request for the Trusted Device Layer specifically (FR-5.6) — separate from the base verification consent — explaining that a persistent, revocable credential will be created for this device on this platform.</w:t>
      </w:r>
    </w:p>
    <w:p>
      <w:pPr>
        <w:pStyle w:val="ListParagraph"/>
        <w:numPr>
          <w:ilvl w:val="0"/>
          <w:numId w:val="3"/>
        </w:numPr>
        <w:spacing w:after="100" w:line="280"/>
      </w:pPr>
      <w:r>
        <w:rPr>
          <w:sz w:val="21"/>
          <w:szCs w:val="21"/>
        </w:rPr>
        <w:t xml:space="preserve">Upon consent, Certivo issues a Trusted Device Token bound to that device's hardware integrity signals and scoped to that specific platform (FR-D.1, FR-D.3).</w:t>
      </w:r>
    </w:p>
    <w:p>
      <w:pPr>
        <w:pStyle w:val="ListParagraph"/>
        <w:numPr>
          <w:ilvl w:val="0"/>
          <w:numId w:val="3"/>
        </w:numPr>
        <w:spacing w:after="100" w:line="280"/>
      </w:pPr>
      <w:r>
        <w:rPr>
          <w:sz w:val="21"/>
          <w:szCs w:val="21"/>
        </w:rPr>
        <w:t xml:space="preserve">On a later session, the platform checks the Trusted Device Token instead of requiring a full re-verification, confirming the same previously verified human is likely still present on the same trusted device (FR-D.2).</w:t>
      </w:r>
    </w:p>
    <w:p>
      <w:pPr>
        <w:pStyle w:val="ListParagraph"/>
        <w:numPr>
          <w:ilvl w:val="0"/>
          <w:numId w:val="3"/>
        </w:numPr>
        <w:spacing w:after="100" w:line="280"/>
      </w:pPr>
      <w:r>
        <w:rPr>
          <w:sz w:val="21"/>
          <w:szCs w:val="21"/>
        </w:rPr>
        <w:t xml:space="preserve">If the user attempts to use a different, non-trusted device, the platform receives a distinct device-switch signal (FR-D.6) rather than a generic verification failure, allowing it to respond proportionately (e.g. requiring full re-verification rather than assuming fraud outright).</w:t>
      </w:r>
    </w:p>
    <w:p>
      <w:pPr>
        <w:pStyle w:val="ListParagraph"/>
        <w:numPr>
          <w:ilvl w:val="0"/>
          <w:numId w:val="3"/>
        </w:numPr>
        <w:spacing w:after="100" w:line="280"/>
      </w:pPr>
      <w:r>
        <w:rPr>
          <w:sz w:val="21"/>
          <w:szCs w:val="21"/>
        </w:rPr>
        <w:t xml:space="preserve">The user can revoke the Trusted Device Token at any time (FR-D.4); the platform can also revoke it (e.g. on suspected compromise), with immediate effect on the next session check.</w:t>
      </w:r>
    </w:p>
    <w:p>
      <w:pPr>
        <w:pStyle w:val="Heading1"/>
        <w:pageBreakBefore/>
        <w:spacing w:after="240" w:before="480"/>
      </w:pPr>
      <w:r>
        <w:rPr>
          <w:b/>
          <w:bCs/>
          <w:color w:val="1A2B4C"/>
          <w:sz w:val="32"/>
          <w:szCs w:val="32"/>
        </w:rPr>
        <w:t xml:space="preserve">13. Requirements Traceability Matrix</w:t>
      </w:r>
    </w:p>
    <w:p>
      <w:pPr>
        <w:spacing w:after="200" w:line="300"/>
        <w:jc w:val="both"/>
      </w:pPr>
      <w:r>
        <w:rPr>
          <w:sz w:val="21"/>
          <w:szCs w:val="21"/>
        </w:rPr>
        <w:t xml:space="preserve">Revised to map the new flagship requirement groups to the new personas and jobs to be done.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200"/>
      </w:tblGrid>
      <w:tr>
        <w:trPr>
          <w:tblHeader/>
        </w:trPr>
        <w:tc>
          <w:tcPr>
            <w:tcW w:type="dxa" w:w="3200"/>
            <w:shd w:fill="1A2B4C" w:val="clear"/>
            <w:tcMar>
              <w:top w:type="dxa" w:w="100"/>
              <w:left w:type="dxa" w:w="140"/>
              <w:bottom w:type="dxa" w:w="100"/>
              <w:right w:type="dxa" w:w="140"/>
            </w:tcMar>
          </w:tcPr>
          <w:p>
            <w:r>
              <w:rPr>
                <w:b/>
                <w:bCs/>
                <w:color w:val="FFFFFF"/>
                <w:sz w:val="19"/>
                <w:szCs w:val="19"/>
              </w:rPr>
              <w:t xml:space="preserve">Requirement group</w:t>
            </w:r>
          </w:p>
        </w:tc>
        <w:tc>
          <w:tcPr>
            <w:tcW w:type="dxa" w:w="3000"/>
            <w:shd w:fill="1A2B4C" w:val="clear"/>
            <w:tcMar>
              <w:top w:type="dxa" w:w="100"/>
              <w:left w:type="dxa" w:w="140"/>
              <w:bottom w:type="dxa" w:w="100"/>
              <w:right w:type="dxa" w:w="140"/>
            </w:tcMar>
          </w:tcPr>
          <w:p>
            <w:r>
              <w:rPr>
                <w:b/>
                <w:bCs/>
                <w:color w:val="FFFFFF"/>
                <w:sz w:val="19"/>
                <w:szCs w:val="19"/>
              </w:rPr>
              <w:t xml:space="preserve">Primary persona(s)</w:t>
            </w:r>
          </w:p>
        </w:tc>
        <w:tc>
          <w:tcPr>
            <w:tcW w:type="dxa" w:w="3200"/>
            <w:shd w:fill="1A2B4C" w:val="clear"/>
            <w:tcMar>
              <w:top w:type="dxa" w:w="100"/>
              <w:left w:type="dxa" w:w="140"/>
              <w:bottom w:type="dxa" w:w="100"/>
              <w:right w:type="dxa" w:w="140"/>
            </w:tcMar>
          </w:tcPr>
          <w:p>
            <w:r>
              <w:rPr>
                <w:b/>
                <w:bCs/>
                <w:color w:val="FFFFFF"/>
                <w:sz w:val="19"/>
                <w:szCs w:val="19"/>
              </w:rPr>
              <w:t xml:space="preserve">Primary job to be done</w:t>
            </w:r>
          </w:p>
        </w:tc>
      </w:tr>
      <w:tr>
        <w:tc>
          <w:tcPr>
            <w:tcW w:type="dxa" w:w="3200"/>
            <w:shd w:fill="F4F6F9" w:val="clear"/>
            <w:tcMar>
              <w:top w:type="dxa" w:w="100"/>
              <w:left w:type="dxa" w:w="140"/>
              <w:bottom w:type="dxa" w:w="100"/>
              <w:right w:type="dxa" w:w="140"/>
            </w:tcMar>
          </w:tcPr>
          <w:p>
            <w:r>
              <w:rPr>
                <w:sz w:val="19"/>
                <w:szCs w:val="19"/>
              </w:rPr>
              <w:t xml:space="preserve">Continuous live-call verification (6.1)</w:t>
            </w:r>
          </w:p>
        </w:tc>
        <w:tc>
          <w:tcPr>
            <w:tcW w:type="dxa" w:w="3000"/>
            <w:shd w:fill="F4F6F9" w:val="clear"/>
            <w:tcMar>
              <w:top w:type="dxa" w:w="100"/>
              <w:left w:type="dxa" w:w="140"/>
              <w:bottom w:type="dxa" w:w="100"/>
              <w:right w:type="dxa" w:w="140"/>
            </w:tcMar>
          </w:tcPr>
          <w:p>
            <w:r>
              <w:rPr>
                <w:sz w:val="19"/>
                <w:szCs w:val="19"/>
              </w:rPr>
              <w:t xml:space="preserve">Jordan Reyes, Alex Chen</w:t>
            </w:r>
          </w:p>
        </w:tc>
        <w:tc>
          <w:tcPr>
            <w:tcW w:type="dxa" w:w="3200"/>
            <w:shd w:fill="F4F6F9" w:val="clear"/>
            <w:tcMar>
              <w:top w:type="dxa" w:w="100"/>
              <w:left w:type="dxa" w:w="140"/>
              <w:bottom w:type="dxa" w:w="100"/>
              <w:right w:type="dxa" w:w="140"/>
            </w:tcMar>
          </w:tcPr>
          <w:p>
            <w:r>
              <w:rPr>
                <w:sz w:val="19"/>
                <w:szCs w:val="19"/>
              </w:rPr>
              <w:t xml:space="preserve">Protect against live impersonation fraud; trust the person on the other end of a call</w:t>
            </w:r>
          </w:p>
        </w:tc>
      </w:tr>
      <w:tr>
        <w:tc>
          <w:tcPr>
            <w:tcW w:type="dxa" w:w="3200"/>
            <w:shd w:fill="FFFFFF" w:val="clear"/>
            <w:tcMar>
              <w:top w:type="dxa" w:w="100"/>
              <w:left w:type="dxa" w:w="140"/>
              <w:bottom w:type="dxa" w:w="100"/>
              <w:right w:type="dxa" w:w="140"/>
            </w:tcMar>
          </w:tcPr>
          <w:p>
            <w:r>
              <w:rPr>
                <w:sz w:val="19"/>
                <w:szCs w:val="19"/>
              </w:rPr>
              <w:t xml:space="preserve">Trusted Device Layer (6.2)</w:t>
            </w:r>
          </w:p>
        </w:tc>
        <w:tc>
          <w:tcPr>
            <w:tcW w:type="dxa" w:w="3000"/>
            <w:shd w:fill="FFFFFF" w:val="clear"/>
            <w:tcMar>
              <w:top w:type="dxa" w:w="100"/>
              <w:left w:type="dxa" w:w="140"/>
              <w:bottom w:type="dxa" w:w="100"/>
              <w:right w:type="dxa" w:w="140"/>
            </w:tcMar>
          </w:tcPr>
          <w:p>
            <w:r>
              <w:rPr>
                <w:sz w:val="19"/>
                <w:szCs w:val="19"/>
              </w:rPr>
              <w:t xml:space="preserve">Priya Shah, Morgan Ellis</w:t>
            </w:r>
          </w:p>
        </w:tc>
        <w:tc>
          <w:tcPr>
            <w:tcW w:type="dxa" w:w="3200"/>
            <w:shd w:fill="FFFFFF" w:val="clear"/>
            <w:tcMar>
              <w:top w:type="dxa" w:w="100"/>
              <w:left w:type="dxa" w:w="140"/>
              <w:bottom w:type="dxa" w:w="100"/>
              <w:right w:type="dxa" w:w="140"/>
            </w:tcMar>
          </w:tcPr>
          <w:p>
            <w:r>
              <w:rPr>
                <w:sz w:val="19"/>
                <w:szCs w:val="19"/>
              </w:rPr>
              <w:t xml:space="preserve">Extend one-time verification into an ongoing guarantee; protect users from catfishing in real time</w:t>
            </w:r>
          </w:p>
        </w:tc>
      </w:tr>
      <w:tr>
        <w:tc>
          <w:tcPr>
            <w:tcW w:type="dxa" w:w="3200"/>
            <w:shd w:fill="F4F6F9" w:val="clear"/>
            <w:tcMar>
              <w:top w:type="dxa" w:w="100"/>
              <w:left w:type="dxa" w:w="140"/>
              <w:bottom w:type="dxa" w:w="100"/>
              <w:right w:type="dxa" w:w="140"/>
            </w:tcMar>
          </w:tcPr>
          <w:p>
            <w:r>
              <w:rPr>
                <w:sz w:val="19"/>
                <w:szCs w:val="19"/>
              </w:rPr>
              <w:t xml:space="preserve">Liveness detection, continuous (6.3)</w:t>
            </w:r>
          </w:p>
        </w:tc>
        <w:tc>
          <w:tcPr>
            <w:tcW w:type="dxa" w:w="3000"/>
            <w:shd w:fill="F4F6F9" w:val="clear"/>
            <w:tcMar>
              <w:top w:type="dxa" w:w="100"/>
              <w:left w:type="dxa" w:w="140"/>
              <w:bottom w:type="dxa" w:w="100"/>
              <w:right w:type="dxa" w:w="140"/>
            </w:tcMar>
          </w:tcPr>
          <w:p>
            <w:r>
              <w:rPr>
                <w:sz w:val="19"/>
                <w:szCs w:val="19"/>
              </w:rPr>
              <w:t xml:space="preserve">Jordan Reyes, Alex Chen</w:t>
            </w:r>
          </w:p>
        </w:tc>
        <w:tc>
          <w:tcPr>
            <w:tcW w:type="dxa" w:w="3200"/>
            <w:shd w:fill="F4F6F9" w:val="clear"/>
            <w:tcMar>
              <w:top w:type="dxa" w:w="100"/>
              <w:left w:type="dxa" w:w="140"/>
              <w:bottom w:type="dxa" w:w="100"/>
              <w:right w:type="dxa" w:w="140"/>
            </w:tcMar>
          </w:tcPr>
          <w:p>
            <w:r>
              <w:rPr>
                <w:sz w:val="19"/>
                <w:szCs w:val="19"/>
              </w:rPr>
              <w:t xml:space="preserve">Protect against live impersonation fraud</w:t>
            </w:r>
          </w:p>
        </w:tc>
      </w:tr>
      <w:tr>
        <w:tc>
          <w:tcPr>
            <w:tcW w:type="dxa" w:w="3200"/>
            <w:shd w:fill="FFFFFF" w:val="clear"/>
            <w:tcMar>
              <w:top w:type="dxa" w:w="100"/>
              <w:left w:type="dxa" w:w="140"/>
              <w:bottom w:type="dxa" w:w="100"/>
              <w:right w:type="dxa" w:w="140"/>
            </w:tcMar>
          </w:tcPr>
          <w:p>
            <w:r>
              <w:rPr>
                <w:sz w:val="19"/>
                <w:szCs w:val="19"/>
              </w:rPr>
              <w:t xml:space="preserve">Synthetic media detection, continuous (6.4)</w:t>
            </w:r>
          </w:p>
        </w:tc>
        <w:tc>
          <w:tcPr>
            <w:tcW w:type="dxa" w:w="3000"/>
            <w:shd w:fill="FFFFFF" w:val="clear"/>
            <w:tcMar>
              <w:top w:type="dxa" w:w="100"/>
              <w:left w:type="dxa" w:w="140"/>
              <w:bottom w:type="dxa" w:w="100"/>
              <w:right w:type="dxa" w:w="140"/>
            </w:tcMar>
          </w:tcPr>
          <w:p>
            <w:r>
              <w:rPr>
                <w:sz w:val="19"/>
                <w:szCs w:val="19"/>
              </w:rPr>
              <w:t xml:space="preserve">Jordan Reyes, Morgan Ellis</w:t>
            </w:r>
          </w:p>
        </w:tc>
        <w:tc>
          <w:tcPr>
            <w:tcW w:type="dxa" w:w="3200"/>
            <w:shd w:fill="FFFFFF" w:val="clear"/>
            <w:tcMar>
              <w:top w:type="dxa" w:w="100"/>
              <w:left w:type="dxa" w:w="140"/>
              <w:bottom w:type="dxa" w:w="100"/>
              <w:right w:type="dxa" w:w="140"/>
            </w:tcMar>
          </w:tcPr>
          <w:p>
            <w:r>
              <w:rPr>
                <w:sz w:val="19"/>
                <w:szCs w:val="19"/>
              </w:rPr>
              <w:t xml:space="preserve">Protect a livestream's credibility; protect users from catfishing in real time</w:t>
            </w:r>
          </w:p>
        </w:tc>
      </w:tr>
      <w:tr>
        <w:tc>
          <w:tcPr>
            <w:tcW w:type="dxa" w:w="3200"/>
            <w:shd w:fill="F4F6F9" w:val="clear"/>
            <w:tcMar>
              <w:top w:type="dxa" w:w="100"/>
              <w:left w:type="dxa" w:w="140"/>
              <w:bottom w:type="dxa" w:w="100"/>
              <w:right w:type="dxa" w:w="140"/>
            </w:tcMar>
          </w:tcPr>
          <w:p>
            <w:r>
              <w:rPr>
                <w:sz w:val="19"/>
                <w:szCs w:val="19"/>
              </w:rPr>
              <w:t xml:space="preserve">Cryptographic attestation, session-length (6.5)</w:t>
            </w:r>
          </w:p>
        </w:tc>
        <w:tc>
          <w:tcPr>
            <w:tcW w:type="dxa" w:w="3000"/>
            <w:shd w:fill="F4F6F9" w:val="clear"/>
            <w:tcMar>
              <w:top w:type="dxa" w:w="100"/>
              <w:left w:type="dxa" w:w="140"/>
              <w:bottom w:type="dxa" w:w="100"/>
              <w:right w:type="dxa" w:w="140"/>
            </w:tcMar>
          </w:tcPr>
          <w:p>
            <w:r>
              <w:rPr>
                <w:sz w:val="19"/>
                <w:szCs w:val="19"/>
              </w:rPr>
              <w:t xml:space="preserve">Jordan Reyes</w:t>
            </w:r>
          </w:p>
        </w:tc>
        <w:tc>
          <w:tcPr>
            <w:tcW w:type="dxa" w:w="3200"/>
            <w:shd w:fill="F4F6F9" w:val="clear"/>
            <w:tcMar>
              <w:top w:type="dxa" w:w="100"/>
              <w:left w:type="dxa" w:w="140"/>
              <w:bottom w:type="dxa" w:w="100"/>
              <w:right w:type="dxa" w:w="140"/>
            </w:tcMar>
          </w:tcPr>
          <w:p>
            <w:r>
              <w:rPr>
                <w:sz w:val="19"/>
                <w:szCs w:val="19"/>
              </w:rPr>
              <w:t xml:space="preserve">Protect against live impersonation fraud (auditable evidence)</w:t>
            </w:r>
          </w:p>
        </w:tc>
      </w:tr>
      <w:tr>
        <w:tc>
          <w:tcPr>
            <w:tcW w:type="dxa" w:w="3200"/>
            <w:shd w:fill="FFFFFF" w:val="clear"/>
            <w:tcMar>
              <w:top w:type="dxa" w:w="100"/>
              <w:left w:type="dxa" w:w="140"/>
              <w:bottom w:type="dxa" w:w="100"/>
              <w:right w:type="dxa" w:w="140"/>
            </w:tcMar>
          </w:tcPr>
          <w:p>
            <w:r>
              <w:rPr>
                <w:sz w:val="19"/>
                <w:szCs w:val="19"/>
              </w:rPr>
              <w:t xml:space="preserve">Privacy and consent, continuous-specific (6.6)</w:t>
            </w:r>
          </w:p>
        </w:tc>
        <w:tc>
          <w:tcPr>
            <w:tcW w:type="dxa" w:w="3000"/>
            <w:shd w:fill="FFFFFF" w:val="clear"/>
            <w:tcMar>
              <w:top w:type="dxa" w:w="100"/>
              <w:left w:type="dxa" w:w="140"/>
              <w:bottom w:type="dxa" w:w="100"/>
              <w:right w:type="dxa" w:w="140"/>
            </w:tcMar>
          </w:tcPr>
          <w:p>
            <w:r>
              <w:rPr>
                <w:sz w:val="19"/>
                <w:szCs w:val="19"/>
              </w:rPr>
              <w:t xml:space="preserve">Priya Shah, Alex Chen, Morgan Ellis</w:t>
            </w:r>
          </w:p>
        </w:tc>
        <w:tc>
          <w:tcPr>
            <w:tcW w:type="dxa" w:w="3200"/>
            <w:shd w:fill="FFFFFF" w:val="clear"/>
            <w:tcMar>
              <w:top w:type="dxa" w:w="100"/>
              <w:left w:type="dxa" w:w="140"/>
              <w:bottom w:type="dxa" w:w="100"/>
              <w:right w:type="dxa" w:w="140"/>
            </w:tcMar>
          </w:tcPr>
          <w:p>
            <w:r>
              <w:rPr>
                <w:sz w:val="19"/>
                <w:szCs w:val="19"/>
              </w:rPr>
              <w:t xml:space="preserve">All flagship jobs — consent is a cross-cutting requirement</w:t>
            </w:r>
          </w:p>
        </w:tc>
      </w:tr>
      <w:tr>
        <w:tc>
          <w:tcPr>
            <w:tcW w:type="dxa" w:w="3200"/>
            <w:shd w:fill="F4F6F9" w:val="clear"/>
            <w:tcMar>
              <w:top w:type="dxa" w:w="100"/>
              <w:left w:type="dxa" w:w="140"/>
              <w:bottom w:type="dxa" w:w="100"/>
              <w:right w:type="dxa" w:w="140"/>
            </w:tcMar>
          </w:tcPr>
          <w:p>
            <w:r>
              <w:rPr>
                <w:sz w:val="19"/>
                <w:szCs w:val="19"/>
              </w:rPr>
              <w:t xml:space="preserve">Developer / partner platform integration (6.7)</w:t>
            </w:r>
          </w:p>
        </w:tc>
        <w:tc>
          <w:tcPr>
            <w:tcW w:type="dxa" w:w="3000"/>
            <w:shd w:fill="F4F6F9" w:val="clear"/>
            <w:tcMar>
              <w:top w:type="dxa" w:w="100"/>
              <w:left w:type="dxa" w:w="140"/>
              <w:bottom w:type="dxa" w:w="100"/>
              <w:right w:type="dxa" w:w="140"/>
            </w:tcMar>
          </w:tcPr>
          <w:p>
            <w:r>
              <w:rPr>
                <w:sz w:val="19"/>
                <w:szCs w:val="19"/>
              </w:rPr>
              <w:t xml:space="preserve">Priya Shah</w:t>
            </w:r>
          </w:p>
        </w:tc>
        <w:tc>
          <w:tcPr>
            <w:tcW w:type="dxa" w:w="3200"/>
            <w:shd w:fill="F4F6F9" w:val="clear"/>
            <w:tcMar>
              <w:top w:type="dxa" w:w="100"/>
              <w:left w:type="dxa" w:w="140"/>
              <w:bottom w:type="dxa" w:w="100"/>
              <w:right w:type="dxa" w:w="140"/>
            </w:tcMar>
          </w:tcPr>
          <w:p>
            <w:r>
              <w:rPr>
                <w:sz w:val="19"/>
                <w:szCs w:val="19"/>
              </w:rPr>
              <w:t xml:space="preserve">Extend one-time verification into an ongoing guarantee</w:t>
            </w:r>
          </w:p>
        </w:tc>
      </w:tr>
    </w:tbl>
    <w:p>
      <w:pPr>
        <w:spacing w:after="260" w:before="80"/>
      </w:pPr>
      <w:r>
        <w:rPr>
          <w:i/>
          <w:iCs/>
          <w:color w:val="6B7280"/>
          <w:sz w:val="18"/>
          <w:szCs w:val="18"/>
        </w:rPr>
        <w:t xml:space="preserve">Table 13.1 — Requirements-to-persona-to-job traceability, revised for the flagship.</w:t>
      </w:r>
    </w:p>
    <w:p>
      <w:pPr>
        <w:pStyle w:val="Heading1"/>
        <w:pageBreakBefore/>
        <w:spacing w:after="240" w:before="480"/>
      </w:pPr>
      <w:r>
        <w:rPr>
          <w:b/>
          <w:bCs/>
          <w:color w:val="1A2B4C"/>
          <w:sz w:val="32"/>
          <w:szCs w:val="32"/>
        </w:rPr>
        <w:t xml:space="preserve">14. Assumptions and Dependencies</w:t>
      </w:r>
    </w:p>
    <w:p>
      <w:pPr>
        <w:pStyle w:val="Heading2"/>
        <w:spacing w:after="180" w:before="360"/>
      </w:pPr>
      <w:r>
        <w:rPr>
          <w:b/>
          <w:bCs/>
          <w:color w:val="2E5EAA"/>
          <w:sz w:val="26"/>
          <w:szCs w:val="26"/>
        </w:rPr>
        <w:t xml:space="preserve">14.1 Assumptions this revision makes</w:t>
      </w:r>
    </w:p>
    <w:p>
      <w:pPr>
        <w:pStyle w:val="ListParagraph"/>
        <w:numPr>
          <w:ilvl w:val="0"/>
          <w:numId w:val="2"/>
        </w:numPr>
        <w:spacing w:after="100" w:line="280"/>
      </w:pPr>
      <w:r>
        <w:rPr>
          <w:sz w:val="21"/>
          <w:szCs w:val="21"/>
        </w:rPr>
        <w:t xml:space="preserve">At least 1-2 design-partner platforms are willing to integrate an early-stage SDK into live production call traffic during Phase 0 — this is a materially higher-stakes ask than the original fintech design-partner motion's sandbox-first approach, since call-quality risk is directly at stake.</w:t>
      </w:r>
    </w:p>
    <w:p>
      <w:pPr>
        <w:pStyle w:val="ListParagraph"/>
        <w:numPr>
          <w:ilvl w:val="0"/>
          <w:numId w:val="2"/>
        </w:numPr>
        <w:spacing w:after="100" w:line="280"/>
      </w:pPr>
      <w:r>
        <w:rPr>
          <w:sz w:val="21"/>
          <w:szCs w:val="21"/>
        </w:rPr>
        <w:t xml:space="preserve">Continuous, low-overhead liveness and synthetic-media detection is technically achievable within a mobile/web call client's realistic performance budget — this is assumed tractable but not yet empirically validated, and Phase 0's exit criteria (Section 9.1) exist specifically to test this assumption early.</w:t>
      </w:r>
    </w:p>
    <w:p>
      <w:pPr>
        <w:pStyle w:val="ListParagraph"/>
        <w:numPr>
          <w:ilvl w:val="0"/>
          <w:numId w:val="2"/>
        </w:numPr>
        <w:spacing w:after="100" w:line="280"/>
      </w:pPr>
      <w:r>
        <w:rPr>
          <w:sz w:val="21"/>
          <w:szCs w:val="21"/>
        </w:rPr>
        <w:t xml:space="preserve">The mid-call synthetic-media injection attack pattern (FR-C.3) is a real, current threat worth building against now, not a speculative future risk — supported by the publicized deepfake-video-call fraud incidents referenced in Section 2.3, though a formal, sourced threat-frequency analysis has not been conducted and should precede any external claim about attack prevalence.</w:t>
      </w:r>
    </w:p>
    <w:p>
      <w:pPr>
        <w:pStyle w:val="ListParagraph"/>
        <w:numPr>
          <w:ilvl w:val="0"/>
          <w:numId w:val="2"/>
        </w:numPr>
        <w:spacing w:after="100" w:line="280"/>
      </w:pPr>
      <w:r>
        <w:rPr>
          <w:sz w:val="21"/>
          <w:szCs w:val="21"/>
        </w:rPr>
        <w:t xml:space="preserve">Partner platforms will accept a usage-based pricing model tied to verified call-minutes (the north star metric, Section 8.1), consistent with the original Product Strategy's pricing philosophy — not yet validated with real partner conversations.</w:t>
      </w:r>
    </w:p>
    <w:p>
      <w:pPr>
        <w:pStyle w:val="Heading2"/>
        <w:spacing w:after="180" w:before="360"/>
      </w:pPr>
      <w:r>
        <w:rPr>
          <w:b/>
          <w:bCs/>
          <w:color w:val="2E5EAA"/>
          <w:sz w:val="26"/>
          <w:szCs w:val="26"/>
        </w:rPr>
        <w:t xml:space="preserve">14.2 Dependencies on other documentation-suite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A2B4C" w:val="clear"/>
            <w:tcMar>
              <w:top w:type="dxa" w:w="100"/>
              <w:left w:type="dxa" w:w="140"/>
              <w:bottom w:type="dxa" w:w="100"/>
              <w:right w:type="dxa" w:w="140"/>
            </w:tcMar>
          </w:tcPr>
          <w:p>
            <w:r>
              <w:rPr>
                <w:b/>
                <w:bCs/>
                <w:color w:val="FFFFFF"/>
                <w:sz w:val="19"/>
                <w:szCs w:val="19"/>
              </w:rPr>
              <w:t xml:space="preserve">This PRD depends on / feeds into</w:t>
            </w:r>
          </w:p>
        </w:tc>
        <w:tc>
          <w:tcPr>
            <w:tcW w:type="dxa" w:w="5200"/>
            <w:shd w:fill="1A2B4C" w:val="clear"/>
            <w:tcMar>
              <w:top w:type="dxa" w:w="100"/>
              <w:left w:type="dxa" w:w="140"/>
              <w:bottom w:type="dxa" w:w="100"/>
              <w:right w:type="dxa" w:w="140"/>
            </w:tcMar>
          </w:tcPr>
          <w:p>
            <w:r>
              <w:rPr>
                <w:b/>
                <w:bCs/>
                <w:color w:val="FFFFFF"/>
                <w:sz w:val="19"/>
                <w:szCs w:val="19"/>
              </w:rPr>
              <w:t xml:space="preserve">Status of that document's own revision</w:t>
            </w:r>
          </w:p>
        </w:tc>
      </w:tr>
      <w:tr>
        <w:tc>
          <w:tcPr>
            <w:tcW w:type="dxa" w:w="4200"/>
            <w:shd w:fill="F4F6F9" w:val="clear"/>
            <w:tcMar>
              <w:top w:type="dxa" w:w="100"/>
              <w:left w:type="dxa" w:w="140"/>
              <w:bottom w:type="dxa" w:w="100"/>
              <w:right w:type="dxa" w:w="140"/>
            </w:tcMar>
          </w:tcPr>
          <w:p>
            <w:r>
              <w:rPr>
                <w:sz w:val="19"/>
                <w:szCs w:val="19"/>
              </w:rPr>
              <w:t xml:space="preserve">Vision Document (Document 1)</w:t>
            </w:r>
          </w:p>
        </w:tc>
        <w:tc>
          <w:tcPr>
            <w:tcW w:type="dxa" w:w="5200"/>
            <w:shd w:fill="F4F6F9" w:val="clear"/>
            <w:tcMar>
              <w:top w:type="dxa" w:w="100"/>
              <w:left w:type="dxa" w:w="140"/>
              <w:bottom w:type="dxa" w:w="100"/>
              <w:right w:type="dxa" w:w="140"/>
            </w:tcMar>
          </w:tcPr>
          <w:p>
            <w:r>
              <w:rPr>
                <w:sz w:val="19"/>
                <w:szCs w:val="19"/>
              </w:rPr>
              <w:t xml:space="preserve">Revised to Version 2.0 alongside this PRD — consistent</w:t>
            </w:r>
          </w:p>
        </w:tc>
      </w:tr>
      <w:tr>
        <w:tc>
          <w:tcPr>
            <w:tcW w:type="dxa" w:w="4200"/>
            <w:shd w:fill="FFFFFF" w:val="clear"/>
            <w:tcMar>
              <w:top w:type="dxa" w:w="100"/>
              <w:left w:type="dxa" w:w="140"/>
              <w:bottom w:type="dxa" w:w="100"/>
              <w:right w:type="dxa" w:w="140"/>
            </w:tcMar>
          </w:tcPr>
          <w:p>
            <w:r>
              <w:rPr>
                <w:sz w:val="19"/>
                <w:szCs w:val="19"/>
              </w:rPr>
              <w:t xml:space="preserve">Product Strategy (Document 3)</w:t>
            </w:r>
          </w:p>
        </w:tc>
        <w:tc>
          <w:tcPr>
            <w:tcW w:type="dxa" w:w="5200"/>
            <w:shd w:fill="FFFFFF" w:val="clear"/>
            <w:tcMar>
              <w:top w:type="dxa" w:w="100"/>
              <w:left w:type="dxa" w:w="140"/>
              <w:bottom w:type="dxa" w:w="100"/>
              <w:right w:type="dxa" w:w="140"/>
            </w:tcMar>
          </w:tcPr>
          <w:p>
            <w:r>
              <w:rPr>
                <w:sz w:val="19"/>
                <w:szCs w:val="19"/>
              </w:rPr>
              <w:t xml:space="preserve">Not yet revised — positioning, pricing, and GTM detail still reflect the original fintech-first motion and require their own revision pass</w:t>
            </w:r>
          </w:p>
        </w:tc>
      </w:tr>
      <w:tr>
        <w:tc>
          <w:tcPr>
            <w:tcW w:type="dxa" w:w="4200"/>
            <w:shd w:fill="F4F6F9" w:val="clear"/>
            <w:tcMar>
              <w:top w:type="dxa" w:w="100"/>
              <w:left w:type="dxa" w:w="140"/>
              <w:bottom w:type="dxa" w:w="100"/>
              <w:right w:type="dxa" w:w="140"/>
            </w:tcMar>
          </w:tcPr>
          <w:p>
            <w:r>
              <w:rPr>
                <w:sz w:val="19"/>
                <w:szCs w:val="19"/>
              </w:rPr>
              <w:t xml:space="preserve">Technical Requirements Document (Document 4)</w:t>
            </w:r>
          </w:p>
        </w:tc>
        <w:tc>
          <w:tcPr>
            <w:tcW w:type="dxa" w:w="5200"/>
            <w:shd w:fill="F4F6F9" w:val="clear"/>
            <w:tcMar>
              <w:top w:type="dxa" w:w="100"/>
              <w:left w:type="dxa" w:w="140"/>
              <w:bottom w:type="dxa" w:w="100"/>
              <w:right w:type="dxa" w:w="140"/>
            </w:tcMar>
          </w:tcPr>
          <w:p>
            <w:r>
              <w:rPr>
                <w:sz w:val="19"/>
                <w:szCs w:val="19"/>
              </w:rPr>
              <w:t xml:space="preserve">Not yet revised — does not yet reflect the continuous-verification architecture's distinct latency/bandwidth requirements or the Trusted Device Layer's data model</w:t>
            </w:r>
          </w:p>
        </w:tc>
      </w:tr>
      <w:tr>
        <w:tc>
          <w:tcPr>
            <w:tcW w:type="dxa" w:w="4200"/>
            <w:shd w:fill="FFFFFF" w:val="clear"/>
            <w:tcMar>
              <w:top w:type="dxa" w:w="100"/>
              <w:left w:type="dxa" w:w="140"/>
              <w:bottom w:type="dxa" w:w="100"/>
              <w:right w:type="dxa" w:w="140"/>
            </w:tcMar>
          </w:tcPr>
          <w:p>
            <w:r>
              <w:rPr>
                <w:sz w:val="19"/>
                <w:szCs w:val="19"/>
              </w:rPr>
              <w:t xml:space="preserve">ML Architecture (Document 7) / AI Research Specification (Document 8)</w:t>
            </w:r>
          </w:p>
        </w:tc>
        <w:tc>
          <w:tcPr>
            <w:tcW w:type="dxa" w:w="5200"/>
            <w:shd w:fill="FFFFFF" w:val="clear"/>
            <w:tcMar>
              <w:top w:type="dxa" w:w="100"/>
              <w:left w:type="dxa" w:w="140"/>
              <w:bottom w:type="dxa" w:w="100"/>
              <w:right w:type="dxa" w:w="140"/>
            </w:tcMar>
          </w:tcPr>
          <w:p>
            <w:r>
              <w:rPr>
                <w:sz w:val="19"/>
                <w:szCs w:val="19"/>
              </w:rPr>
              <w:t xml:space="preserve">Not yet revised — continuous-model-class evaluation methodology (Section 2.4's distinction) is not yet specified</w:t>
            </w:r>
          </w:p>
        </w:tc>
      </w:tr>
      <w:tr>
        <w:tc>
          <w:tcPr>
            <w:tcW w:type="dxa" w:w="4200"/>
            <w:shd w:fill="F4F6F9" w:val="clear"/>
            <w:tcMar>
              <w:top w:type="dxa" w:w="100"/>
              <w:left w:type="dxa" w:w="140"/>
              <w:bottom w:type="dxa" w:w="100"/>
              <w:right w:type="dxa" w:w="140"/>
            </w:tcMar>
          </w:tcPr>
          <w:p>
            <w:r>
              <w:rPr>
                <w:sz w:val="19"/>
                <w:szCs w:val="19"/>
              </w:rPr>
              <w:t xml:space="preserve">Security Architecture (Document 9) / Privacy Architecture (Document 10)</w:t>
            </w:r>
          </w:p>
        </w:tc>
        <w:tc>
          <w:tcPr>
            <w:tcW w:type="dxa" w:w="5200"/>
            <w:shd w:fill="F4F6F9" w:val="clear"/>
            <w:tcMar>
              <w:top w:type="dxa" w:w="100"/>
              <w:left w:type="dxa" w:w="140"/>
              <w:bottom w:type="dxa" w:w="100"/>
              <w:right w:type="dxa" w:w="140"/>
            </w:tcMar>
          </w:tcPr>
          <w:p>
            <w:r>
              <w:rPr>
                <w:sz w:val="19"/>
                <w:szCs w:val="19"/>
              </w:rPr>
              <w:t xml:space="preserve">Not yet revised — Trusted Device Layer's distinct compliance treatment (NFR-4.4) is not yet reflected</w:t>
            </w:r>
          </w:p>
        </w:tc>
      </w:tr>
    </w:tbl>
    <w:p>
      <w:pPr>
        <w:spacing w:after="260" w:before="80"/>
      </w:pPr>
      <w:r>
        <w:rPr>
          <w:i/>
          <w:iCs/>
          <w:color w:val="6B7280"/>
          <w:sz w:val="18"/>
          <w:szCs w:val="18"/>
        </w:rPr>
        <w:t xml:space="preserve">Table 14.1 — Cross-document dependencies and revision status. This table should be treated as a to-do list for the rest of the documentation suite, not just a reference.</w:t>
      </w:r>
    </w:p>
    <w:p>
      <w:pPr>
        <w:pStyle w:val="Heading1"/>
        <w:pageBreakBefore/>
        <w:spacing w:after="240" w:before="480"/>
      </w:pPr>
      <w:r>
        <w:rPr>
          <w:b/>
          <w:bCs/>
          <w:color w:val="1A2B4C"/>
          <w:sz w:val="32"/>
          <w:szCs w:val="32"/>
        </w:rPr>
        <w:t xml:space="preserve">15. Appendix A: Glossary of Terms (New and Revised Entries)</w:t>
      </w:r>
    </w:p>
    <w:p>
      <w:pPr>
        <w:spacing w:after="200" w:line="300"/>
        <w:jc w:val="both"/>
      </w:pPr>
      <w:r>
        <w:rPr>
          <w:sz w:val="21"/>
          <w:szCs w:val="21"/>
        </w:rPr>
        <w:t xml:space="preserve">Only new or materially revised terms are listed here; the full glossary from Version 1.0 (Document 2, Section 13 in that version) remains valid for unchanged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Term</w:t>
            </w:r>
          </w:p>
        </w:tc>
        <w:tc>
          <w:tcPr>
            <w:tcW w:type="dxa" w:w="6800"/>
            <w:shd w:fill="1A2B4C" w:val="clear"/>
            <w:tcMar>
              <w:top w:type="dxa" w:w="100"/>
              <w:left w:type="dxa" w:w="140"/>
              <w:bottom w:type="dxa" w:w="100"/>
              <w:right w:type="dxa" w:w="140"/>
            </w:tcMar>
          </w:tcPr>
          <w:p>
            <w:r>
              <w:rPr>
                <w:b/>
                <w:bCs/>
                <w:color w:val="FFFFFF"/>
                <w:sz w:val="19"/>
                <w:szCs w:val="19"/>
              </w:rPr>
              <w:t xml:space="preserve">Definition</w:t>
            </w:r>
          </w:p>
        </w:tc>
      </w:tr>
      <w:tr>
        <w:tc>
          <w:tcPr>
            <w:tcW w:type="dxa" w:w="2600"/>
            <w:shd w:fill="F4F6F9" w:val="clear"/>
            <w:tcMar>
              <w:top w:type="dxa" w:w="100"/>
              <w:left w:type="dxa" w:w="140"/>
              <w:bottom w:type="dxa" w:w="100"/>
              <w:right w:type="dxa" w:w="140"/>
            </w:tcMar>
          </w:tcPr>
          <w:p>
            <w:r>
              <w:rPr>
                <w:sz w:val="19"/>
                <w:szCs w:val="19"/>
              </w:rPr>
              <w:t xml:space="preserve">Continuous verification</w:t>
            </w:r>
          </w:p>
        </w:tc>
        <w:tc>
          <w:tcPr>
            <w:tcW w:type="dxa" w:w="6800"/>
            <w:shd w:fill="F4F6F9" w:val="clear"/>
            <w:tcMar>
              <w:top w:type="dxa" w:w="100"/>
              <w:left w:type="dxa" w:w="140"/>
              <w:bottom w:type="dxa" w:w="100"/>
              <w:right w:type="dxa" w:w="140"/>
            </w:tcMar>
          </w:tcPr>
          <w:p>
            <w:r>
              <w:rPr>
                <w:sz w:val="19"/>
                <w:szCs w:val="19"/>
              </w:rPr>
              <w:t xml:space="preserve">Liveness and synthetic-media detection re-evaluated repeatedly throughout a live call's duration, as opposed to a single point-in-time check — the flagship's defining technical property (Section 2.4).</w:t>
            </w:r>
          </w:p>
        </w:tc>
      </w:tr>
      <w:tr>
        <w:tc>
          <w:tcPr>
            <w:tcW w:type="dxa" w:w="2600"/>
            <w:shd w:fill="FFFFFF" w:val="clear"/>
            <w:tcMar>
              <w:top w:type="dxa" w:w="100"/>
              <w:left w:type="dxa" w:w="140"/>
              <w:bottom w:type="dxa" w:w="100"/>
              <w:right w:type="dxa" w:w="140"/>
            </w:tcMar>
          </w:tcPr>
          <w:p>
            <w:r>
              <w:rPr>
                <w:sz w:val="19"/>
                <w:szCs w:val="19"/>
              </w:rPr>
              <w:t xml:space="preserve">Trusted Device Layer</w:t>
            </w:r>
          </w:p>
        </w:tc>
        <w:tc>
          <w:tcPr>
            <w:tcW w:type="dxa" w:w="6800"/>
            <w:shd w:fill="FFFFFF" w:val="clear"/>
            <w:tcMar>
              <w:top w:type="dxa" w:w="100"/>
              <w:left w:type="dxa" w:w="140"/>
              <w:bottom w:type="dxa" w:w="100"/>
              <w:right w:type="dxa" w:w="140"/>
            </w:tcMar>
          </w:tcPr>
          <w:p>
            <w:r>
              <w:rPr>
                <w:sz w:val="19"/>
                <w:szCs w:val="19"/>
              </w:rPr>
              <w:t xml:space="preserve">A persistent, revocable, platform-scoped credential (the Trusted Device Token) confirming that a previously verified human is still operating from the same trusted device across sessions, distinct from the per-session Device Trust score.</w:t>
            </w:r>
          </w:p>
        </w:tc>
      </w:tr>
      <w:tr>
        <w:tc>
          <w:tcPr>
            <w:tcW w:type="dxa" w:w="2600"/>
            <w:shd w:fill="F4F6F9" w:val="clear"/>
            <w:tcMar>
              <w:top w:type="dxa" w:w="100"/>
              <w:left w:type="dxa" w:w="140"/>
              <w:bottom w:type="dxa" w:w="100"/>
              <w:right w:type="dxa" w:w="140"/>
            </w:tcMar>
          </w:tcPr>
          <w:p>
            <w:r>
              <w:rPr>
                <w:sz w:val="19"/>
                <w:szCs w:val="19"/>
              </w:rPr>
              <w:t xml:space="preserve">Trusted Device Token</w:t>
            </w:r>
          </w:p>
        </w:tc>
        <w:tc>
          <w:tcPr>
            <w:tcW w:type="dxa" w:w="6800"/>
            <w:shd w:fill="F4F6F9" w:val="clear"/>
            <w:tcMar>
              <w:top w:type="dxa" w:w="100"/>
              <w:left w:type="dxa" w:w="140"/>
              <w:bottom w:type="dxa" w:w="100"/>
              <w:right w:type="dxa" w:w="140"/>
            </w:tcMar>
          </w:tcPr>
          <w:p>
            <w:r>
              <w:rPr>
                <w:sz w:val="19"/>
                <w:szCs w:val="19"/>
              </w:rPr>
              <w:t xml:space="preserve">The specific cryptographic credential issued by the Trusted Device Layer, tied to device hardware integrity signals rather than a stored biometric template.</w:t>
            </w:r>
          </w:p>
        </w:tc>
      </w:tr>
      <w:tr>
        <w:tc>
          <w:tcPr>
            <w:tcW w:type="dxa" w:w="2600"/>
            <w:shd w:fill="FFFFFF" w:val="clear"/>
            <w:tcMar>
              <w:top w:type="dxa" w:w="100"/>
              <w:left w:type="dxa" w:w="140"/>
              <w:bottom w:type="dxa" w:w="100"/>
              <w:right w:type="dxa" w:w="140"/>
            </w:tcMar>
          </w:tcPr>
          <w:p>
            <w:r>
              <w:rPr>
                <w:sz w:val="19"/>
                <w:szCs w:val="19"/>
              </w:rPr>
              <w:t xml:space="preserve">Mid-call injection</w:t>
            </w:r>
          </w:p>
        </w:tc>
        <w:tc>
          <w:tcPr>
            <w:tcW w:type="dxa" w:w="6800"/>
            <w:shd w:fill="FFFFFF" w:val="clear"/>
            <w:tcMar>
              <w:top w:type="dxa" w:w="100"/>
              <w:left w:type="dxa" w:w="140"/>
              <w:bottom w:type="dxa" w:w="100"/>
              <w:right w:type="dxa" w:w="140"/>
            </w:tcMar>
          </w:tcPr>
          <w:p>
            <w:r>
              <w:rPr>
                <w:sz w:val="19"/>
                <w:szCs w:val="19"/>
              </w:rPr>
              <w:t xml:space="preserve">An attack pattern in which a call begins with a genuine participant and is synthetically replaced (face-swap, voice clone) partway through — the specific threat FR-C.3 addresses.</w:t>
            </w:r>
          </w:p>
        </w:tc>
      </w:tr>
      <w:tr>
        <w:tc>
          <w:tcPr>
            <w:tcW w:type="dxa" w:w="2600"/>
            <w:shd w:fill="F4F6F9" w:val="clear"/>
            <w:tcMar>
              <w:top w:type="dxa" w:w="100"/>
              <w:left w:type="dxa" w:w="140"/>
              <w:bottom w:type="dxa" w:w="100"/>
              <w:right w:type="dxa" w:w="140"/>
            </w:tcMar>
          </w:tcPr>
          <w:p>
            <w:r>
              <w:rPr>
                <w:sz w:val="19"/>
                <w:szCs w:val="19"/>
              </w:rPr>
              <w:t xml:space="preserve">Platform scoping</w:t>
            </w:r>
          </w:p>
        </w:tc>
        <w:tc>
          <w:tcPr>
            <w:tcW w:type="dxa" w:w="6800"/>
            <w:shd w:fill="F4F6F9" w:val="clear"/>
            <w:tcMar>
              <w:top w:type="dxa" w:w="100"/>
              <w:left w:type="dxa" w:w="140"/>
              <w:bottom w:type="dxa" w:w="100"/>
              <w:right w:type="dxa" w:w="140"/>
            </w:tcMar>
          </w:tcPr>
          <w:p>
            <w:r>
              <w:rPr>
                <w:sz w:val="19"/>
                <w:szCs w:val="19"/>
              </w:rPr>
              <w:t xml:space="preserve">The architectural and policy constraint that a Trusted Device Token issued for one integrating platform cannot be used or correlated by a different platform without the user's separate, explicit consent (FR-D.3).</w:t>
            </w:r>
          </w:p>
        </w:tc>
      </w:tr>
      <w:tr>
        <w:tc>
          <w:tcPr>
            <w:tcW w:type="dxa" w:w="2600"/>
            <w:shd w:fill="FFFFFF" w:val="clear"/>
            <w:tcMar>
              <w:top w:type="dxa" w:w="100"/>
              <w:left w:type="dxa" w:w="140"/>
              <w:bottom w:type="dxa" w:w="100"/>
              <w:right w:type="dxa" w:w="140"/>
            </w:tcMar>
          </w:tcPr>
          <w:p>
            <w:r>
              <w:rPr>
                <w:sz w:val="19"/>
                <w:szCs w:val="19"/>
              </w:rPr>
              <w:t xml:space="preserve">Verified call-minutes</w:t>
            </w:r>
          </w:p>
        </w:tc>
        <w:tc>
          <w:tcPr>
            <w:tcW w:type="dxa" w:w="6800"/>
            <w:shd w:fill="FFFFFF" w:val="clear"/>
            <w:tcMar>
              <w:top w:type="dxa" w:w="100"/>
              <w:left w:type="dxa" w:w="140"/>
              <w:bottom w:type="dxa" w:w="100"/>
              <w:right w:type="dxa" w:w="140"/>
            </w:tcMar>
          </w:tcPr>
          <w:p>
            <w:r>
              <w:rPr>
                <w:sz w:val="19"/>
                <w:szCs w:val="19"/>
              </w:rPr>
              <w:t xml:space="preserve">The north star metric (Section 8.1): cumulative live call duration continuously covered by an active, non-degraded Certivo verification session.</w:t>
            </w:r>
          </w:p>
        </w:tc>
      </w:tr>
      <w:tr>
        <w:tc>
          <w:tcPr>
            <w:tcW w:type="dxa" w:w="2600"/>
            <w:shd w:fill="F4F6F9" w:val="clear"/>
            <w:tcMar>
              <w:top w:type="dxa" w:w="100"/>
              <w:left w:type="dxa" w:w="140"/>
              <w:bottom w:type="dxa" w:w="100"/>
              <w:right w:type="dxa" w:w="140"/>
            </w:tcMar>
          </w:tcPr>
          <w:p>
            <w:r>
              <w:rPr>
                <w:sz w:val="19"/>
                <w:szCs w:val="19"/>
              </w:rPr>
              <w:t xml:space="preserve">Design-partner platform</w:t>
            </w:r>
          </w:p>
        </w:tc>
        <w:tc>
          <w:tcPr>
            <w:tcW w:type="dxa" w:w="6800"/>
            <w:shd w:fill="F4F6F9" w:val="clear"/>
            <w:tcMar>
              <w:top w:type="dxa" w:w="100"/>
              <w:left w:type="dxa" w:w="140"/>
              <w:bottom w:type="dxa" w:w="100"/>
              <w:right w:type="dxa" w:w="140"/>
            </w:tcMar>
          </w:tcPr>
          <w:p>
            <w:r>
              <w:rPr>
                <w:sz w:val="19"/>
                <w:szCs w:val="19"/>
              </w:rPr>
              <w:t xml:space="preserve">In this revision's context, specifically a video-calling, dating, or livestreaming platform integrating the SDK during Phase 0-1, as distinct from Version 1.0's fintech design-partner usage of the same term.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2026-07-05T10:58:41.952Z</dcterms:created>
  <dcterms:modified xsi:type="dcterms:W3CDTF">2026-07-05T10:58:41.965Z</dcterms:modified>
</cp:coreProperties>
</file>

<file path=docProps/custom.xml><?xml version="1.0" encoding="utf-8"?>
<Properties xmlns="http://schemas.openxmlformats.org/officeDocument/2006/custom-properties" xmlns:vt="http://schemas.openxmlformats.org/officeDocument/2006/docPropsVTypes"/>
</file>