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A2B4C"/>
          <w:sz w:val="72"/>
          <w:szCs w:val="72"/>
        </w:rPr>
        <w:t xml:space="preserve">CERTIVO</w:t>
      </w:r>
    </w:p>
    <w:p>
      <w:pPr>
        <w:spacing w:after="200" w:before="200"/>
        <w:jc w:val="center"/>
      </w:pPr>
      <w:r>
        <w:rPr>
          <w:i/>
          <w:iCs/>
          <w:color w:val="2E5EAA"/>
          <w:sz w:val="26"/>
          <w:szCs w:val="26"/>
        </w:rPr>
        <w:t xml:space="preserve">Trust Infrastructure for the Age of Artificial Intelligence</w:t>
      </w:r>
    </w:p>
    <w:p>
      <w:pPr>
        <w:spacing w:before="800"/>
        <w:jc w:val="center"/>
      </w:pPr>
      <w:r>
        <w:rPr>
          <w:b/>
          <w:bCs/>
          <w:color w:val="6B7280"/>
          <w:sz w:val="32"/>
          <w:szCs w:val="32"/>
        </w:rPr>
        <w:t xml:space="preserve">TECHNICAL REQUIREMENTS DOCUMENT</w:t>
      </w:r>
    </w:p>
    <w:p>
      <w:pPr>
        <w:spacing w:before="200"/>
        <w:jc w:val="center"/>
      </w:pPr>
      <w:r>
        <w:rPr>
          <w:color w:val="6B7280"/>
          <w:sz w:val="20"/>
          <w:szCs w:val="20"/>
        </w:rPr>
        <w:t xml:space="preserve">Document 4 of 18 — Phase 2: Engineering — Version 2.0</w:t>
      </w:r>
    </w:p>
    <w:p>
      <w:pPr>
        <w:spacing w:before="100"/>
        <w:jc w:val="center"/>
      </w:pPr>
      <w:r>
        <w:rPr>
          <w:color w:val="6B7280"/>
          <w:sz w:val="18"/>
          <w:szCs w:val="18"/>
        </w:rPr>
        <w:t xml:space="preserve">Version 1.0  |  Confidential  |  Internal Use</w:t>
      </w:r>
    </w:p>
    <w:p>
      <w:r>
        <w:br w:type="page"/>
      </w:r>
    </w:p>
    <w:p>
      <w:pPr>
        <w:pStyle w:val="Heading1"/>
        <w:spacing w:after="240" w:before="480"/>
      </w:pPr>
      <w:r>
        <w:rPr>
          <w:b/>
          <w:bCs/>
          <w:color w:val="1A2B4C"/>
          <w:sz w:val="32"/>
          <w:szCs w:val="32"/>
        </w:rPr>
        <w:t xml:space="preserve">Revision Note (Version 2.0)</w:t>
      </w:r>
    </w:p>
    <w:p>
      <w:pPr>
        <w:spacing w:after="200" w:line="300"/>
        <w:jc w:val="both"/>
      </w:pPr>
      <w:r>
        <w:rPr>
          <w:sz w:val="21"/>
          <w:szCs w:val="21"/>
        </w:rPr>
        <w:t xml:space="preserve">This document supersedes Version 1.0. It revises the architecture around the flagship agreed in the Vision Document, PRD, and Product Strategy (all Version 2.0): continuous, in-call verification embedded as an SDK into partner platforms, plus the Trusted Device Layer. The single most consequential architectural change is described in Section 2: continuous inference runs on-device, inside the SDK, not by streaming video to Certivo's servers repeatedly.</w:t>
      </w:r>
    </w:p>
    <w:p>
      <w:pPr>
        <w:spacing w:after="200" w:line="300"/>
        <w:jc w:val="both"/>
      </w:pPr>
      <w:r>
        <w:rPr>
          <w:sz w:val="21"/>
          <w:szCs w:val="21"/>
        </w:rPr>
        <w:t xml:space="preserve">Sections 1-2, 3 (new), 4, 8 (Trusted Device Layer, new), 9 (Security, revised), and 16 (Data Models, revised) contain the substantive changes in this revision. Sections not listed as revised — Backend Architecture's internal layering, the base Privacy architecture principles, Infrastructure/cloud abstraction, Observability, CI/CD, Deployment process, Coding Standards, API Standards' general conventions, and Error Handling patterns — carry forward from Version 1.0 unchanged, and are summarized briefly in Section 17 with a pointer back to Version 1.0 rather than repeated in full, since nothing about the flagship pivot requires changing them.</w:t>
      </w:r>
    </w:p>
    <w:p>
      <w:pPr>
        <w:pStyle w:val="Heading1"/>
        <w:pageBreakBefore/>
        <w:spacing w:after="240" w:before="480"/>
      </w:pPr>
      <w:r>
        <w:rPr>
          <w:b/>
          <w:bCs/>
          <w:color w:val="1A2B4C"/>
          <w:sz w:val="32"/>
          <w:szCs w:val="32"/>
        </w:rPr>
        <w:t xml:space="preserve">1. System Architecture</w:t>
      </w:r>
    </w:p>
    <w:p>
      <w:pPr>
        <w:pStyle w:val="Heading2"/>
        <w:spacing w:after="180" w:before="360"/>
      </w:pPr>
      <w:r>
        <w:rPr>
          <w:b/>
          <w:bCs/>
          <w:color w:val="2E5EAA"/>
          <w:sz w:val="26"/>
          <w:szCs w:val="26"/>
        </w:rPr>
        <w:t xml:space="preserve">1.1 Architectural principles (unchanged, restated)</w:t>
      </w:r>
    </w:p>
    <w:p>
      <w:pPr>
        <w:spacing w:after="200" w:line="300"/>
        <w:jc w:val="both"/>
      </w:pPr>
      <w:r>
        <w:rPr>
          <w:sz w:val="21"/>
          <w:szCs w:val="21"/>
        </w:rPr>
        <w:t xml:space="preserve">The Modularity principle from the Vision Document still governs: every subsystem independently deployable, independently scalable, independently replaceable. What changes in this revision is where a critical subsystem's boundary actually sits — specifically, the ML Inference Service's role splits into an on-device component (running inside the SDK) and a much smaller backend component (aggregation, attestation, and fallback), described fully in Section 2.</w:t>
      </w:r>
    </w:p>
    <w:p>
      <w:pPr>
        <w:pStyle w:val="Heading2"/>
        <w:spacing w:after="180" w:before="360"/>
      </w:pPr>
      <w:r>
        <w:rPr>
          <w:b/>
          <w:bCs/>
          <w:color w:val="2E5EAA"/>
          <w:sz w:val="26"/>
          <w:szCs w:val="26"/>
        </w:rPr>
        <w:t xml:space="preserve">1.2 Revised service catalog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000"/>
      </w:tblGrid>
      <w:tr>
        <w:trPr>
          <w:tblHeader/>
        </w:trPr>
        <w:tc>
          <w:tcPr>
            <w:tcW w:type="dxa" w:w="2600"/>
            <w:shd w:fill="1A2B4C" w:val="clear"/>
            <w:tcMar>
              <w:top w:type="dxa" w:w="100"/>
              <w:left w:type="dxa" w:w="140"/>
              <w:bottom w:type="dxa" w:w="100"/>
              <w:right w:type="dxa" w:w="140"/>
            </w:tcMar>
          </w:tcPr>
          <w:p>
            <w:r>
              <w:rPr>
                <w:b/>
                <w:bCs/>
                <w:color w:val="FFFFFF"/>
                <w:sz w:val="19"/>
                <w:szCs w:val="19"/>
              </w:rPr>
              <w:t xml:space="preserve">Service</w:t>
            </w:r>
          </w:p>
        </w:tc>
        <w:tc>
          <w:tcPr>
            <w:tcW w:type="dxa" w:w="3800"/>
            <w:shd w:fill="1A2B4C" w:val="clear"/>
            <w:tcMar>
              <w:top w:type="dxa" w:w="100"/>
              <w:left w:type="dxa" w:w="140"/>
              <w:bottom w:type="dxa" w:w="100"/>
              <w:right w:type="dxa" w:w="140"/>
            </w:tcMar>
          </w:tcPr>
          <w:p>
            <w:r>
              <w:rPr>
                <w:b/>
                <w:bCs/>
                <w:color w:val="FFFFFF"/>
                <w:sz w:val="19"/>
                <w:szCs w:val="19"/>
              </w:rPr>
              <w:t xml:space="preserve">Responsibility</w:t>
            </w:r>
          </w:p>
        </w:tc>
        <w:tc>
          <w:tcPr>
            <w:tcW w:type="dxa" w:w="3000"/>
            <w:shd w:fill="1A2B4C" w:val="clear"/>
            <w:tcMar>
              <w:top w:type="dxa" w:w="100"/>
              <w:left w:type="dxa" w:w="140"/>
              <w:bottom w:type="dxa" w:w="100"/>
              <w:right w:type="dxa" w:w="140"/>
            </w:tcMar>
          </w:tcPr>
          <w:p>
            <w:r>
              <w:rPr>
                <w:b/>
                <w:bCs/>
                <w:color w:val="FFFFFF"/>
                <w:sz w:val="19"/>
                <w:szCs w:val="19"/>
              </w:rPr>
              <w:t xml:space="preserve">Change from v1</w:t>
            </w:r>
          </w:p>
        </w:tc>
      </w:tr>
      <w:tr>
        <w:tc>
          <w:tcPr>
            <w:tcW w:type="dxa" w:w="2600"/>
            <w:shd w:fill="F4F6F9" w:val="clear"/>
            <w:tcMar>
              <w:top w:type="dxa" w:w="100"/>
              <w:left w:type="dxa" w:w="140"/>
              <w:bottom w:type="dxa" w:w="100"/>
              <w:right w:type="dxa" w:w="140"/>
            </w:tcMar>
          </w:tcPr>
          <w:p>
            <w:r>
              <w:rPr>
                <w:sz w:val="19"/>
                <w:szCs w:val="19"/>
              </w:rPr>
              <w:t xml:space="preserve">Backend API Service</w:t>
            </w:r>
          </w:p>
        </w:tc>
        <w:tc>
          <w:tcPr>
            <w:tcW w:type="dxa" w:w="3800"/>
            <w:shd w:fill="F4F6F9" w:val="clear"/>
            <w:tcMar>
              <w:top w:type="dxa" w:w="100"/>
              <w:left w:type="dxa" w:w="140"/>
              <w:bottom w:type="dxa" w:w="100"/>
              <w:right w:type="dxa" w:w="140"/>
            </w:tcMar>
          </w:tcPr>
          <w:p>
            <w:r>
              <w:rPr>
                <w:sz w:val="19"/>
                <w:szCs w:val="19"/>
              </w:rPr>
              <w:t xml:space="preserve">Public API, request orchestration, policy evaluation, rate limiting</w:t>
            </w:r>
          </w:p>
        </w:tc>
        <w:tc>
          <w:tcPr>
            <w:tcW w:type="dxa" w:w="3000"/>
            <w:shd w:fill="F4F6F9" w:val="clear"/>
            <w:tcMar>
              <w:top w:type="dxa" w:w="100"/>
              <w:left w:type="dxa" w:w="140"/>
              <w:bottom w:type="dxa" w:w="100"/>
              <w:right w:type="dxa" w:w="140"/>
            </w:tcMar>
          </w:tcPr>
          <w:p>
            <w:r>
              <w:rPr>
                <w:sz w:val="19"/>
                <w:szCs w:val="19"/>
              </w:rPr>
              <w:t xml:space="preserve">Now also ingests periodic lightweight score packets from the SDK during a live call, rather than only single point-in-time verification requests</w:t>
            </w:r>
          </w:p>
        </w:tc>
      </w:tr>
      <w:tr>
        <w:tc>
          <w:tcPr>
            <w:tcW w:type="dxa" w:w="2600"/>
            <w:shd w:fill="FFFFFF" w:val="clear"/>
            <w:tcMar>
              <w:top w:type="dxa" w:w="100"/>
              <w:left w:type="dxa" w:w="140"/>
              <w:bottom w:type="dxa" w:w="100"/>
              <w:right w:type="dxa" w:w="140"/>
            </w:tcMar>
          </w:tcPr>
          <w:p>
            <w:r>
              <w:rPr>
                <w:sz w:val="19"/>
                <w:szCs w:val="19"/>
              </w:rPr>
              <w:t xml:space="preserve">Edge Inference SDK (new, client-side)</w:t>
            </w:r>
          </w:p>
        </w:tc>
        <w:tc>
          <w:tcPr>
            <w:tcW w:type="dxa" w:w="3800"/>
            <w:shd w:fill="FFFFFF" w:val="clear"/>
            <w:tcMar>
              <w:top w:type="dxa" w:w="100"/>
              <w:left w:type="dxa" w:w="140"/>
              <w:bottom w:type="dxa" w:w="100"/>
              <w:right w:type="dxa" w:w="140"/>
            </w:tcMar>
          </w:tcPr>
          <w:p>
            <w:r>
              <w:rPr>
                <w:sz w:val="19"/>
                <w:szCs w:val="19"/>
              </w:rPr>
              <w:t xml:space="preserve">On-device liveness and synthetic-media inference, running inside the partner platform's call client</w:t>
            </w:r>
          </w:p>
        </w:tc>
        <w:tc>
          <w:tcPr>
            <w:tcW w:type="dxa" w:w="3000"/>
            <w:shd w:fill="FFFFFF" w:val="clear"/>
            <w:tcMar>
              <w:top w:type="dxa" w:w="100"/>
              <w:left w:type="dxa" w:w="140"/>
              <w:bottom w:type="dxa" w:w="100"/>
              <w:right w:type="dxa" w:w="140"/>
            </w:tcMar>
          </w:tcPr>
          <w:p>
            <w:r>
              <w:rPr>
                <w:sz w:val="19"/>
                <w:szCs w:val="19"/>
              </w:rPr>
              <w:t xml:space="preserve">New — this is the architectural core of this revision (Section 2)</w:t>
            </w:r>
          </w:p>
        </w:tc>
      </w:tr>
      <w:tr>
        <w:tc>
          <w:tcPr>
            <w:tcW w:type="dxa" w:w="2600"/>
            <w:shd w:fill="F4F6F9" w:val="clear"/>
            <w:tcMar>
              <w:top w:type="dxa" w:w="100"/>
              <w:left w:type="dxa" w:w="140"/>
              <w:bottom w:type="dxa" w:w="100"/>
              <w:right w:type="dxa" w:w="140"/>
            </w:tcMar>
          </w:tcPr>
          <w:p>
            <w:r>
              <w:rPr>
                <w:sz w:val="19"/>
                <w:szCs w:val="19"/>
              </w:rPr>
              <w:t xml:space="preserve">ML Inference Service (backend, revised role)</w:t>
            </w:r>
          </w:p>
        </w:tc>
        <w:tc>
          <w:tcPr>
            <w:tcW w:type="dxa" w:w="3800"/>
            <w:shd w:fill="F4F6F9" w:val="clear"/>
            <w:tcMar>
              <w:top w:type="dxa" w:w="100"/>
              <w:left w:type="dxa" w:w="140"/>
              <w:bottom w:type="dxa" w:w="100"/>
              <w:right w:type="dxa" w:w="140"/>
            </w:tcMar>
          </w:tcPr>
          <w:p>
            <w:r>
              <w:rPr>
                <w:sz w:val="19"/>
                <w:szCs w:val="19"/>
              </w:rPr>
              <w:t xml:space="preserve">Trains and exports the edge-deployable models the SDK runs; retains the original point-in-time inference role for the Section 3.5 (PRD) retained verticals</w:t>
            </w:r>
          </w:p>
        </w:tc>
        <w:tc>
          <w:tcPr>
            <w:tcW w:type="dxa" w:w="3000"/>
            <w:shd w:fill="F4F6F9" w:val="clear"/>
            <w:tcMar>
              <w:top w:type="dxa" w:w="100"/>
              <w:left w:type="dxa" w:w="140"/>
              <w:bottom w:type="dxa" w:w="100"/>
              <w:right w:type="dxa" w:w="140"/>
            </w:tcMar>
          </w:tcPr>
          <w:p>
            <w:r>
              <w:rPr>
                <w:sz w:val="19"/>
                <w:szCs w:val="19"/>
              </w:rPr>
              <w:t xml:space="preserve">Narrower backend runtime role; primary inference now happens on-device</w:t>
            </w:r>
          </w:p>
        </w:tc>
      </w:tr>
      <w:tr>
        <w:tc>
          <w:tcPr>
            <w:tcW w:type="dxa" w:w="2600"/>
            <w:shd w:fill="FFFFFF" w:val="clear"/>
            <w:tcMar>
              <w:top w:type="dxa" w:w="100"/>
              <w:left w:type="dxa" w:w="140"/>
              <w:bottom w:type="dxa" w:w="100"/>
              <w:right w:type="dxa" w:w="140"/>
            </w:tcMar>
          </w:tcPr>
          <w:p>
            <w:r>
              <w:rPr>
                <w:sz w:val="19"/>
                <w:szCs w:val="19"/>
              </w:rPr>
              <w:t xml:space="preserve">Device Trust Service</w:t>
            </w:r>
          </w:p>
        </w:tc>
        <w:tc>
          <w:tcPr>
            <w:tcW w:type="dxa" w:w="3800"/>
            <w:shd w:fill="FFFFFF" w:val="clear"/>
            <w:tcMar>
              <w:top w:type="dxa" w:w="100"/>
              <w:left w:type="dxa" w:w="140"/>
              <w:bottom w:type="dxa" w:w="100"/>
              <w:right w:type="dxa" w:w="140"/>
            </w:tcMar>
          </w:tcPr>
          <w:p>
            <w:r>
              <w:rPr>
                <w:sz w:val="19"/>
                <w:szCs w:val="19"/>
              </w:rPr>
              <w:t xml:space="preserve">Device fingerprinting, emulator/virtualization detection, reputation scoring</w:t>
            </w:r>
          </w:p>
        </w:tc>
        <w:tc>
          <w:tcPr>
            <w:tcW w:type="dxa" w:w="3000"/>
            <w:shd w:fill="FFFFFF" w:val="clear"/>
            <w:tcMar>
              <w:top w:type="dxa" w:w="100"/>
              <w:left w:type="dxa" w:w="140"/>
              <w:bottom w:type="dxa" w:w="100"/>
              <w:right w:type="dxa" w:w="140"/>
            </w:tcMar>
          </w:tcPr>
          <w:p>
            <w:r>
              <w:rPr>
                <w:sz w:val="19"/>
                <w:szCs w:val="19"/>
              </w:rPr>
              <w:t xml:space="preserve">Unchanged in scope; feeds the Trusted Device Layer (Section 8) as one of several attestation inputs</w:t>
            </w:r>
          </w:p>
        </w:tc>
      </w:tr>
      <w:tr>
        <w:tc>
          <w:tcPr>
            <w:tcW w:type="dxa" w:w="2600"/>
            <w:shd w:fill="F4F6F9" w:val="clear"/>
            <w:tcMar>
              <w:top w:type="dxa" w:w="100"/>
              <w:left w:type="dxa" w:w="140"/>
              <w:bottom w:type="dxa" w:w="100"/>
              <w:right w:type="dxa" w:w="140"/>
            </w:tcMar>
          </w:tcPr>
          <w:p>
            <w:r>
              <w:rPr>
                <w:sz w:val="19"/>
                <w:szCs w:val="19"/>
              </w:rPr>
              <w:t xml:space="preserve">Cryptographic Service</w:t>
            </w:r>
          </w:p>
        </w:tc>
        <w:tc>
          <w:tcPr>
            <w:tcW w:type="dxa" w:w="3800"/>
            <w:shd w:fill="F4F6F9" w:val="clear"/>
            <w:tcMar>
              <w:top w:type="dxa" w:w="100"/>
              <w:left w:type="dxa" w:w="140"/>
              <w:bottom w:type="dxa" w:w="100"/>
              <w:right w:type="dxa" w:w="140"/>
            </w:tcMar>
          </w:tcPr>
          <w:p>
            <w:r>
              <w:rPr>
                <w:sz w:val="19"/>
                <w:szCs w:val="19"/>
              </w:rPr>
              <w:t xml:space="preserve">Attestation signing, key management, Trusted Device Token issuance (new)</w:t>
            </w:r>
          </w:p>
        </w:tc>
        <w:tc>
          <w:tcPr>
            <w:tcW w:type="dxa" w:w="3000"/>
            <w:shd w:fill="F4F6F9" w:val="clear"/>
            <w:tcMar>
              <w:top w:type="dxa" w:w="100"/>
              <w:left w:type="dxa" w:w="140"/>
              <w:bottom w:type="dxa" w:w="100"/>
              <w:right w:type="dxa" w:w="140"/>
            </w:tcMar>
          </w:tcPr>
          <w:p>
            <w:r>
              <w:rPr>
                <w:sz w:val="19"/>
                <w:szCs w:val="19"/>
              </w:rPr>
              <w:t xml:space="preserve">Extended with Trusted Device Token issuance/validation (Section 8)</w:t>
            </w:r>
          </w:p>
        </w:tc>
      </w:tr>
      <w:tr>
        <w:tc>
          <w:tcPr>
            <w:tcW w:type="dxa" w:w="2600"/>
            <w:shd w:fill="FFFFFF" w:val="clear"/>
            <w:tcMar>
              <w:top w:type="dxa" w:w="100"/>
              <w:left w:type="dxa" w:w="140"/>
              <w:bottom w:type="dxa" w:w="100"/>
              <w:right w:type="dxa" w:w="140"/>
            </w:tcMar>
          </w:tcPr>
          <w:p>
            <w:r>
              <w:rPr>
                <w:sz w:val="19"/>
                <w:szCs w:val="19"/>
              </w:rPr>
              <w:t xml:space="preserve">Authentication Service</w:t>
            </w:r>
          </w:p>
        </w:tc>
        <w:tc>
          <w:tcPr>
            <w:tcW w:type="dxa" w:w="3800"/>
            <w:shd w:fill="FFFFFF" w:val="clear"/>
            <w:tcMar>
              <w:top w:type="dxa" w:w="100"/>
              <w:left w:type="dxa" w:w="140"/>
              <w:bottom w:type="dxa" w:w="100"/>
              <w:right w:type="dxa" w:w="140"/>
            </w:tcMar>
          </w:tcPr>
          <w:p>
            <w:r>
              <w:rPr>
                <w:sz w:val="19"/>
                <w:szCs w:val="19"/>
              </w:rPr>
              <w:t xml:space="preserve">Customer auth, API key issuance, RBAC, session management</w:t>
            </w:r>
          </w:p>
        </w:tc>
        <w:tc>
          <w:tcPr>
            <w:tcW w:type="dxa" w:w="3000"/>
            <w:shd w:fill="FFFFFF" w:val="clear"/>
            <w:tcMar>
              <w:top w:type="dxa" w:w="100"/>
              <w:left w:type="dxa" w:w="140"/>
              <w:bottom w:type="dxa" w:w="100"/>
              <w:right w:type="dxa" w:w="140"/>
            </w:tcMar>
          </w:tcPr>
          <w:p>
            <w:r>
              <w:rPr>
                <w:sz w:val="19"/>
                <w:szCs w:val="19"/>
              </w:rPr>
              <w:t xml:space="preserve">Unchanged</w:t>
            </w:r>
          </w:p>
        </w:tc>
      </w:tr>
      <w:tr>
        <w:tc>
          <w:tcPr>
            <w:tcW w:type="dxa" w:w="2600"/>
            <w:shd w:fill="F4F6F9" w:val="clear"/>
            <w:tcMar>
              <w:top w:type="dxa" w:w="100"/>
              <w:left w:type="dxa" w:w="140"/>
              <w:bottom w:type="dxa" w:w="100"/>
              <w:right w:type="dxa" w:w="140"/>
            </w:tcMar>
          </w:tcPr>
          <w:p>
            <w:r>
              <w:rPr>
                <w:sz w:val="19"/>
                <w:szCs w:val="19"/>
              </w:rPr>
              <w:t xml:space="preserve">Notification Service</w:t>
            </w:r>
          </w:p>
        </w:tc>
        <w:tc>
          <w:tcPr>
            <w:tcW w:type="dxa" w:w="3800"/>
            <w:shd w:fill="F4F6F9" w:val="clear"/>
            <w:tcMar>
              <w:top w:type="dxa" w:w="100"/>
              <w:left w:type="dxa" w:w="140"/>
              <w:bottom w:type="dxa" w:w="100"/>
              <w:right w:type="dxa" w:w="140"/>
            </w:tcMar>
          </w:tcPr>
          <w:p>
            <w:r>
              <w:rPr>
                <w:sz w:val="19"/>
                <w:szCs w:val="19"/>
              </w:rPr>
              <w:t xml:space="preserve">Webhooks, async event delivery</w:t>
            </w:r>
          </w:p>
        </w:tc>
        <w:tc>
          <w:tcPr>
            <w:tcW w:type="dxa" w:w="3000"/>
            <w:shd w:fill="F4F6F9" w:val="clear"/>
            <w:tcMar>
              <w:top w:type="dxa" w:w="100"/>
              <w:left w:type="dxa" w:w="140"/>
              <w:bottom w:type="dxa" w:w="100"/>
              <w:right w:type="dxa" w:w="140"/>
            </w:tcMar>
          </w:tcPr>
          <w:p>
            <w:r>
              <w:rPr>
                <w:sz w:val="19"/>
                <w:szCs w:val="19"/>
              </w:rPr>
              <w:t xml:space="preserve">Unchanged; gains new event types for continuous-session state changes (e.g. mid-call confidence drop)</w:t>
            </w:r>
          </w:p>
        </w:tc>
      </w:tr>
      <w:tr>
        <w:tc>
          <w:tcPr>
            <w:tcW w:type="dxa" w:w="2600"/>
            <w:shd w:fill="FFFFFF" w:val="clear"/>
            <w:tcMar>
              <w:top w:type="dxa" w:w="100"/>
              <w:left w:type="dxa" w:w="140"/>
              <w:bottom w:type="dxa" w:w="100"/>
              <w:right w:type="dxa" w:w="140"/>
            </w:tcMar>
          </w:tcPr>
          <w:p>
            <w:r>
              <w:rPr>
                <w:sz w:val="19"/>
                <w:szCs w:val="19"/>
              </w:rPr>
              <w:t xml:space="preserve">Analytics Service</w:t>
            </w:r>
          </w:p>
        </w:tc>
        <w:tc>
          <w:tcPr>
            <w:tcW w:type="dxa" w:w="3800"/>
            <w:shd w:fill="FFFFFF" w:val="clear"/>
            <w:tcMar>
              <w:top w:type="dxa" w:w="100"/>
              <w:left w:type="dxa" w:w="140"/>
              <w:bottom w:type="dxa" w:w="100"/>
              <w:right w:type="dxa" w:w="140"/>
            </w:tcMar>
          </w:tcPr>
          <w:p>
            <w:r>
              <w:rPr>
                <w:sz w:val="19"/>
                <w:szCs w:val="19"/>
              </w:rPr>
              <w:t xml:space="preserve">Aggregated usage/decision analytics</w:t>
            </w:r>
          </w:p>
        </w:tc>
        <w:tc>
          <w:tcPr>
            <w:tcW w:type="dxa" w:w="3000"/>
            <w:shd w:fill="FFFFFF" w:val="clear"/>
            <w:tcMar>
              <w:top w:type="dxa" w:w="100"/>
              <w:left w:type="dxa" w:w="140"/>
              <w:bottom w:type="dxa" w:w="100"/>
              <w:right w:type="dxa" w:w="140"/>
            </w:tcMar>
          </w:tcPr>
          <w:p>
            <w:r>
              <w:rPr>
                <w:sz w:val="19"/>
                <w:szCs w:val="19"/>
              </w:rPr>
              <w:t xml:space="preserve">Extended with call-quality-impact metrics (latency, resource overhead) per PRD FR-6.4</w:t>
            </w:r>
          </w:p>
        </w:tc>
      </w:tr>
      <w:tr>
        <w:tc>
          <w:tcPr>
            <w:tcW w:type="dxa" w:w="2600"/>
            <w:shd w:fill="F4F6F9" w:val="clear"/>
            <w:tcMar>
              <w:top w:type="dxa" w:w="100"/>
              <w:left w:type="dxa" w:w="140"/>
              <w:bottom w:type="dxa" w:w="100"/>
              <w:right w:type="dxa" w:w="140"/>
            </w:tcMar>
          </w:tcPr>
          <w:p>
            <w:r>
              <w:rPr>
                <w:sz w:val="19"/>
                <w:szCs w:val="19"/>
              </w:rPr>
              <w:t xml:space="preserve">Monitoring Service</w:t>
            </w:r>
          </w:p>
        </w:tc>
        <w:tc>
          <w:tcPr>
            <w:tcW w:type="dxa" w:w="3800"/>
            <w:shd w:fill="F4F6F9" w:val="clear"/>
            <w:tcMar>
              <w:top w:type="dxa" w:w="100"/>
              <w:left w:type="dxa" w:w="140"/>
              <w:bottom w:type="dxa" w:w="100"/>
              <w:right w:type="dxa" w:w="140"/>
            </w:tcMar>
          </w:tcPr>
          <w:p>
            <w:r>
              <w:rPr>
                <w:sz w:val="19"/>
                <w:szCs w:val="19"/>
              </w:rPr>
              <w:t xml:space="preserve">Metrics, alerting, health orchestration</w:t>
            </w:r>
          </w:p>
        </w:tc>
        <w:tc>
          <w:tcPr>
            <w:tcW w:type="dxa" w:w="3000"/>
            <w:shd w:fill="F4F6F9" w:val="clear"/>
            <w:tcMar>
              <w:top w:type="dxa" w:w="100"/>
              <w:left w:type="dxa" w:w="140"/>
              <w:bottom w:type="dxa" w:w="100"/>
              <w:right w:type="dxa" w:w="140"/>
            </w:tcMar>
          </w:tcPr>
          <w:p>
            <w:r>
              <w:rPr>
                <w:sz w:val="19"/>
                <w:szCs w:val="19"/>
              </w:rPr>
              <w:t xml:space="preserve">Extended with SDK-side telemetry aggregation (Section 2.5)</w:t>
            </w:r>
          </w:p>
        </w:tc>
      </w:tr>
      <w:tr>
        <w:tc>
          <w:tcPr>
            <w:tcW w:type="dxa" w:w="2600"/>
            <w:shd w:fill="FFFFFF" w:val="clear"/>
            <w:tcMar>
              <w:top w:type="dxa" w:w="100"/>
              <w:left w:type="dxa" w:w="140"/>
              <w:bottom w:type="dxa" w:w="100"/>
              <w:right w:type="dxa" w:w="140"/>
            </w:tcMar>
          </w:tcPr>
          <w:p>
            <w:r>
              <w:rPr>
                <w:sz w:val="19"/>
                <w:szCs w:val="19"/>
              </w:rPr>
              <w:t xml:space="preserve">Documentation Service</w:t>
            </w:r>
          </w:p>
        </w:tc>
        <w:tc>
          <w:tcPr>
            <w:tcW w:type="dxa" w:w="3800"/>
            <w:shd w:fill="FFFFFF" w:val="clear"/>
            <w:tcMar>
              <w:top w:type="dxa" w:w="100"/>
              <w:left w:type="dxa" w:w="140"/>
              <w:bottom w:type="dxa" w:w="100"/>
              <w:right w:type="dxa" w:w="140"/>
            </w:tcMar>
          </w:tcPr>
          <w:p>
            <w:r>
              <w:rPr>
                <w:sz w:val="19"/>
                <w:szCs w:val="19"/>
              </w:rPr>
              <w:t xml:space="preserve">API docs, OpenAPI spec, SDK reference</w:t>
            </w:r>
          </w:p>
        </w:tc>
        <w:tc>
          <w:tcPr>
            <w:tcW w:type="dxa" w:w="3000"/>
            <w:shd w:fill="FFFFFF" w:val="clear"/>
            <w:tcMar>
              <w:top w:type="dxa" w:w="100"/>
              <w:left w:type="dxa" w:w="140"/>
              <w:bottom w:type="dxa" w:w="100"/>
              <w:right w:type="dxa" w:w="140"/>
            </w:tcMar>
          </w:tcPr>
          <w:p>
            <w:r>
              <w:rPr>
                <w:sz w:val="19"/>
                <w:szCs w:val="19"/>
              </w:rPr>
              <w:t xml:space="preserve">Unchanged in role; SDK reference documentation grows significantly in relative importance given the SDK-embed distribution model</w:t>
            </w:r>
          </w:p>
        </w:tc>
      </w:tr>
    </w:tbl>
    <w:p>
      <w:pPr>
        <w:spacing w:after="260" w:before="80"/>
      </w:pPr>
      <w:r>
        <w:rPr>
          <w:i/>
          <w:iCs/>
          <w:color w:val="6B7280"/>
          <w:sz w:val="18"/>
          <w:szCs w:val="18"/>
        </w:rPr>
        <w:t xml:space="preserve">Table 1.1 — Revised service catalog. The Edge Inference SDK is the only genuinely new architectural component; everything else is an existing service with an extended or narrowed role.</w:t>
      </w:r>
    </w:p>
    <w:p>
      <w:pPr>
        <w:pStyle w:val="Heading2"/>
        <w:spacing w:after="180" w:before="360"/>
      </w:pPr>
      <w:r>
        <w:rPr>
          <w:b/>
          <w:bCs/>
          <w:color w:val="2E5EAA"/>
          <w:sz w:val="26"/>
          <w:szCs w:val="26"/>
        </w:rPr>
        <w:t xml:space="preserve">1.3 Revised high-level architecture diagram</w:t>
      </w:r>
    </w:p>
    <w:p>
      <w:pPr>
        <w:pBdr>
          <w:top w:val="single" w:color="D0D5DD" w:sz="4"/>
          <w:bottom w:val="single" w:color="D0D5DD" w:sz="4"/>
          <w:left w:val="single" w:color="D0D5DD" w:sz="4"/>
          <w:right w:val="single" w:color="D0D5DD" w:sz="4"/>
        </w:pBdr>
        <w:shd w:fill="F0F2F5" w:val="clear"/>
        <w:spacing w:after="220" w:before="120"/>
      </w:pPr>
      <w:r>
        <w:rPr>
          <w:rFonts w:ascii="Consolas" w:cs="Consolas" w:eastAsia="Consolas" w:hAnsi="Consolas"/>
          <w:color w:val="1A2B4C"/>
          <w:sz w:val="18"/>
          <w:szCs w:val="18"/>
        </w:rPr>
        <w:t xml:space="preserve">  Partner Platform's Call Client (Web / iOS / Android)</w:t>
      </w:r>
      <w:r>
        <w:rPr>
          <w:rFonts w:ascii="Consolas" w:cs="Consolas" w:eastAsia="Consolas" w:hAnsi="Consolas"/>
          <w:color w:val="1A2B4C"/>
          <w:sz w:val="18"/>
          <w:szCs w:val="18"/>
        </w:rPr>
        <w:br/>
        <w:t xml:space="preserve">  ┌───────────────────────────────────────────────────┐</w:t>
      </w:r>
      <w:r>
        <w:rPr>
          <w:rFonts w:ascii="Consolas" w:cs="Consolas" w:eastAsia="Consolas" w:hAnsi="Consolas"/>
          <w:color w:val="1A2B4C"/>
          <w:sz w:val="18"/>
          <w:szCs w:val="18"/>
        </w:rPr>
        <w:br/>
        <w:t xml:space="preserve">  │  Certivo Edge Inference SDK                          │</w:t>
      </w:r>
      <w:r>
        <w:rPr>
          <w:rFonts w:ascii="Consolas" w:cs="Consolas" w:eastAsia="Consolas" w:hAnsi="Consolas"/>
          <w:color w:val="1A2B4C"/>
          <w:sz w:val="18"/>
          <w:szCs w:val="18"/>
        </w:rPr>
        <w:br/>
        <w:t xml:space="preserve">  │  ┌─────────────┐   ┌──────────────────┐             │</w:t>
      </w:r>
      <w:r>
        <w:rPr>
          <w:rFonts w:ascii="Consolas" w:cs="Consolas" w:eastAsia="Consolas" w:hAnsi="Consolas"/>
          <w:color w:val="1A2B4C"/>
          <w:sz w:val="18"/>
          <w:szCs w:val="18"/>
        </w:rPr>
        <w:br/>
        <w:t xml:space="preserve">  │  │ Local capture │──►│ On-device liveness │            │</w:t>
      </w:r>
      <w:r>
        <w:rPr>
          <w:rFonts w:ascii="Consolas" w:cs="Consolas" w:eastAsia="Consolas" w:hAnsi="Consolas"/>
          <w:color w:val="1A2B4C"/>
          <w:sz w:val="18"/>
          <w:szCs w:val="18"/>
        </w:rPr>
        <w:br/>
        <w:t xml:space="preserve">  │  │ hook (WebRTC   │   │ + synthetic-media   │            │</w:t>
      </w:r>
      <w:r>
        <w:rPr>
          <w:rFonts w:ascii="Consolas" w:cs="Consolas" w:eastAsia="Consolas" w:hAnsi="Consolas"/>
          <w:color w:val="1A2B4C"/>
          <w:sz w:val="18"/>
          <w:szCs w:val="18"/>
        </w:rPr>
        <w:br/>
        <w:t xml:space="preserve">  │  │ Insertable      │   │ inference (edge      │            │</w:t>
      </w:r>
      <w:r>
        <w:rPr>
          <w:rFonts w:ascii="Consolas" w:cs="Consolas" w:eastAsia="Consolas" w:hAnsi="Consolas"/>
          <w:color w:val="1A2B4C"/>
          <w:sz w:val="18"/>
          <w:szCs w:val="18"/>
        </w:rPr>
        <w:br/>
        <w:t xml:space="preserve">  │  │ Streams / native │   │ model, Section 2)     │            │</w:t>
      </w:r>
      <w:r>
        <w:rPr>
          <w:rFonts w:ascii="Consolas" w:cs="Consolas" w:eastAsia="Consolas" w:hAnsi="Consolas"/>
          <w:color w:val="1A2B4C"/>
          <w:sz w:val="18"/>
          <w:szCs w:val="18"/>
        </w:rPr>
        <w:br/>
        <w:t xml:space="preserve">  │  │ camera API)      │   └─────────┬────────────┘            │</w:t>
      </w:r>
      <w:r>
        <w:rPr>
          <w:rFonts w:ascii="Consolas" w:cs="Consolas" w:eastAsia="Consolas" w:hAnsi="Consolas"/>
          <w:color w:val="1A2B4C"/>
          <w:sz w:val="18"/>
          <w:szCs w:val="18"/>
        </w:rPr>
        <w:br/>
        <w:t xml:space="preserve">  │  └─────────────┘             │ periodic signed score      │</w:t>
      </w:r>
      <w:r>
        <w:rPr>
          <w:rFonts w:ascii="Consolas" w:cs="Consolas" w:eastAsia="Consolas" w:hAnsi="Consolas"/>
          <w:color w:val="1A2B4C"/>
          <w:sz w:val="18"/>
          <w:szCs w:val="18"/>
        </w:rPr>
        <w:br/>
        <w:t xml:space="preserve">  │                                │ + explanation packet        │</w:t>
      </w:r>
      <w:r>
        <w:rPr>
          <w:rFonts w:ascii="Consolas" w:cs="Consolas" w:eastAsia="Consolas" w:hAnsi="Consolas"/>
          <w:color w:val="1A2B4C"/>
          <w:sz w:val="18"/>
          <w:szCs w:val="18"/>
        </w:rPr>
        <w:br/>
        <w:t xml:space="preserve">  │                                │ (NOT raw video)              │</w:t>
      </w:r>
      <w:r>
        <w:rPr>
          <w:rFonts w:ascii="Consolas" w:cs="Consolas" w:eastAsia="Consolas" w:hAnsi="Consolas"/>
          <w:color w:val="1A2B4C"/>
          <w:sz w:val="18"/>
          <w:szCs w:val="18"/>
        </w:rPr>
        <w:br/>
        <w:t xml:space="preserve">  └────────────────────────────────┼──────────────────────────┘</w:t>
      </w:r>
      <w:r>
        <w:rPr>
          <w:rFonts w:ascii="Consolas" w:cs="Consolas" w:eastAsia="Consolas" w:hAnsi="Consolas"/>
          <w:color w:val="1A2B4C"/>
          <w:sz w:val="18"/>
          <w:szCs w:val="18"/>
        </w:rPr>
        <w:br/>
        <w:t xml:space="preserve">                                     ▼</w:t>
      </w:r>
      <w:r>
        <w:rPr>
          <w:rFonts w:ascii="Consolas" w:cs="Consolas" w:eastAsia="Consolas" w:hAnsi="Consolas"/>
          <w:color w:val="1A2B4C"/>
          <w:sz w:val="18"/>
          <w:szCs w:val="18"/>
        </w:rPr>
        <w:br/>
        <w:t xml:space="preserve">                        ┌─────────────────────┐</w:t>
      </w:r>
      <w:r>
        <w:rPr>
          <w:rFonts w:ascii="Consolas" w:cs="Consolas" w:eastAsia="Consolas" w:hAnsi="Consolas"/>
          <w:color w:val="1A2B4C"/>
          <w:sz w:val="18"/>
          <w:szCs w:val="18"/>
        </w:rPr>
        <w:br/>
        <w:t xml:space="preserve">                        │  Backend API Service   │</w:t>
      </w:r>
      <w:r>
        <w:rPr>
          <w:rFonts w:ascii="Consolas" w:cs="Consolas" w:eastAsia="Consolas" w:hAnsi="Consolas"/>
          <w:color w:val="1A2B4C"/>
          <w:sz w:val="18"/>
          <w:szCs w:val="18"/>
        </w:rPr>
        <w:br/>
        <w:t xml:space="preserve">                        └──────────┬────────────┘</w:t>
      </w:r>
      <w:r>
        <w:rPr>
          <w:rFonts w:ascii="Consolas" w:cs="Consolas" w:eastAsia="Consolas" w:hAnsi="Consolas"/>
          <w:color w:val="1A2B4C"/>
          <w:sz w:val="18"/>
          <w:szCs w:val="18"/>
        </w:rPr>
        <w:br/>
        <w:t xml:space="preserve">                    ┌───────────────┼───────────────┐</w:t>
      </w:r>
      <w:r>
        <w:rPr>
          <w:rFonts w:ascii="Consolas" w:cs="Consolas" w:eastAsia="Consolas" w:hAnsi="Consolas"/>
          <w:color w:val="1A2B4C"/>
          <w:sz w:val="18"/>
          <w:szCs w:val="18"/>
        </w:rPr>
        <w:br/>
        <w:t xml:space="preserve">                    ▼                ▼                ▼</w:t>
      </w:r>
      <w:r>
        <w:rPr>
          <w:rFonts w:ascii="Consolas" w:cs="Consolas" w:eastAsia="Consolas" w:hAnsi="Consolas"/>
          <w:color w:val="1A2B4C"/>
          <w:sz w:val="18"/>
          <w:szCs w:val="18"/>
        </w:rPr>
        <w:br/>
        <w:t xml:space="preserve">          ┌──────────────┐ ┌──────────────┐ ┌──────────────────┐</w:t>
      </w:r>
      <w:r>
        <w:rPr>
          <w:rFonts w:ascii="Consolas" w:cs="Consolas" w:eastAsia="Consolas" w:hAnsi="Consolas"/>
          <w:color w:val="1A2B4C"/>
          <w:sz w:val="18"/>
          <w:szCs w:val="18"/>
        </w:rPr>
        <w:br/>
        <w:t xml:space="preserve">          │ Device Trust    │ │ Cryptographic   │ │ Analytics /        │</w:t>
      </w:r>
      <w:r>
        <w:rPr>
          <w:rFonts w:ascii="Consolas" w:cs="Consolas" w:eastAsia="Consolas" w:hAnsi="Consolas"/>
          <w:color w:val="1A2B4C"/>
          <w:sz w:val="18"/>
          <w:szCs w:val="18"/>
        </w:rPr>
        <w:br/>
        <w:t xml:space="preserve">          │ Service          │ │ Service (incl.   │ │ Monitoring          │</w:t>
      </w:r>
      <w:r>
        <w:rPr>
          <w:rFonts w:ascii="Consolas" w:cs="Consolas" w:eastAsia="Consolas" w:hAnsi="Consolas"/>
          <w:color w:val="1A2B4C"/>
          <w:sz w:val="18"/>
          <w:szCs w:val="18"/>
        </w:rPr>
        <w:br/>
        <w:t xml:space="preserve">          │                  │ │ Trusted Device    │ │ Services            │</w:t>
      </w:r>
      <w:r>
        <w:rPr>
          <w:rFonts w:ascii="Consolas" w:cs="Consolas" w:eastAsia="Consolas" w:hAnsi="Consolas"/>
          <w:color w:val="1A2B4C"/>
          <w:sz w:val="18"/>
          <w:szCs w:val="18"/>
        </w:rPr>
        <w:br/>
        <w:t xml:space="preserve">          │                  │ │ Token, Section 8) │ │                    │</w:t>
      </w:r>
      <w:r>
        <w:rPr>
          <w:rFonts w:ascii="Consolas" w:cs="Consolas" w:eastAsia="Consolas" w:hAnsi="Consolas"/>
          <w:color w:val="1A2B4C"/>
          <w:sz w:val="18"/>
          <w:szCs w:val="18"/>
        </w:rPr>
        <w:br/>
        <w:t xml:space="preserve">          └──────────────┘ └──────────────┘ └──────────────────┘</w:t>
      </w:r>
    </w:p>
    <w:p>
      <w:pPr>
        <w:spacing w:after="260" w:before="80"/>
      </w:pPr>
      <w:r>
        <w:rPr>
          <w:i/>
          <w:iCs/>
          <w:color w:val="6B7280"/>
          <w:sz w:val="18"/>
          <w:szCs w:val="18"/>
        </w:rPr>
        <w:t xml:space="preserve">Figure 1.1 — Revised architecture: raw video never leaves the partner platform's own call client. Only derived, non-reconstructive score+explanation packets reach Certivo's backend, extending the biometric perimeter principle (Version 1.0, Section 1.5) to the device boundary itself.</w:t>
      </w:r>
    </w:p>
    <w:p>
      <w:pPr>
        <w:pStyle w:val="Heading1"/>
        <w:pageBreakBefore/>
        <w:spacing w:after="240" w:before="480"/>
      </w:pPr>
      <w:r>
        <w:rPr>
          <w:b/>
          <w:bCs/>
          <w:color w:val="1A2B4C"/>
          <w:sz w:val="32"/>
          <w:szCs w:val="32"/>
        </w:rPr>
        <w:t xml:space="preserve">2. Continuous Verification &amp; Edge Inference Architecture</w:t>
      </w:r>
    </w:p>
    <w:p>
      <w:pPr>
        <w:spacing w:after="200" w:line="300"/>
        <w:jc w:val="both"/>
      </w:pPr>
      <w:r>
        <w:rPr>
          <w:sz w:val="21"/>
          <w:szCs w:val="21"/>
        </w:rPr>
        <w:t xml:space="preserve">This section is entirely new in Version 2.0 and is the technical core of the flagship pivot. It answers the question the original architecture never had to: how does verification work when it must run repeatedly, for the duration of a live call, without materially affecting call quality?</w:t>
      </w:r>
    </w:p>
    <w:p>
      <w:pPr>
        <w:pStyle w:val="Heading2"/>
        <w:spacing w:after="180" w:before="360"/>
      </w:pPr>
      <w:r>
        <w:rPr>
          <w:b/>
          <w:bCs/>
          <w:color w:val="2E5EAA"/>
          <w:sz w:val="26"/>
          <w:szCs w:val="26"/>
        </w:rPr>
        <w:t xml:space="preserve">2.1 Why on-device inference, stated as a decision with trade-offs</w:t>
      </w:r>
    </w:p>
    <w:p>
      <w:pPr>
        <w:spacing w:after="200" w:line="300"/>
        <w:jc w:val="both"/>
      </w:pPr>
      <w:r>
        <w:rPr>
          <w:sz w:val="21"/>
          <w:szCs w:val="21"/>
        </w:rPr>
        <w:t xml:space="preserve">The alternative — streaming captured frames from the call client to the ML Inference Service repeatedly throughout a call — was considered and rejected for three concrete reasons: it would consume meaningful, ongoing bandwidth on top of the call's own media stream, directly risking the call-quality-impact NFR-C.2 was written to prevent; it would reintroduce exactly the kind of continuous, server-side raw biometric exposure the Privacy Architecture's minimization principle (Version 1.0) was built to avoid, now made worse by running continuously rather than once; and it would add network round-trip latency on top of inference latency, at the exact moment latency matters most (NFR-C.1). On-device inference avoids all three at the cost of a real engineering constraint: the model running inside the SDK must be small and fast enough for a phone or laptop's CPU/GPU, not a server-class accelerator.</w:t>
      </w:r>
    </w:p>
    <w:p>
      <w:pPr>
        <w:pStyle w:val="Heading2"/>
        <w:spacing w:after="180" w:before="360"/>
      </w:pPr>
      <w:r>
        <w:rPr>
          <w:b/>
          <w:bCs/>
          <w:color w:val="2E5EAA"/>
          <w:sz w:val="26"/>
          <w:szCs w:val="26"/>
        </w:rPr>
        <w:t xml:space="preserve">2.2 Edge inference pipeline</w:t>
      </w:r>
    </w:p>
    <w:p>
      <w:pPr>
        <w:pBdr>
          <w:top w:val="single" w:color="D0D5DD" w:sz="4"/>
          <w:bottom w:val="single" w:color="D0D5DD" w:sz="4"/>
          <w:left w:val="single" w:color="D0D5DD" w:sz="4"/>
          <w:right w:val="single" w:color="D0D5DD" w:sz="4"/>
        </w:pBdr>
        <w:shd w:fill="F0F2F5" w:val="clear"/>
        <w:spacing w:after="220" w:before="120"/>
      </w:pPr>
      <w:r>
        <w:rPr>
          <w:rFonts w:ascii="Consolas" w:cs="Consolas" w:eastAsia="Consolas" w:hAnsi="Consolas"/>
          <w:color w:val="1A2B4C"/>
          <w:sz w:val="18"/>
          <w:szCs w:val="18"/>
        </w:rPr>
        <w:t xml:space="preserve">Local Capture Hook      Edge Preprocessing      Edge Model         Signing &amp; Transmission</w:t>
      </w:r>
      <w:r>
        <w:rPr>
          <w:rFonts w:ascii="Consolas" w:cs="Consolas" w:eastAsia="Consolas" w:hAnsi="Consolas"/>
          <w:color w:val="1A2B4C"/>
          <w:sz w:val="18"/>
          <w:szCs w:val="18"/>
        </w:rPr>
        <w:br/>
        <w:t xml:space="preserve">      │                        │                      │                      │</w:t>
      </w:r>
      <w:r>
        <w:rPr>
          <w:rFonts w:ascii="Consolas" w:cs="Consolas" w:eastAsia="Consolas" w:hAnsi="Consolas"/>
          <w:color w:val="1A2B4C"/>
          <w:sz w:val="18"/>
          <w:szCs w:val="18"/>
        </w:rPr>
        <w:br/>
        <w:t xml:space="preserve">      │─raw frame (in-memory   │                      │                      │</w:t>
      </w:r>
      <w:r>
        <w:rPr>
          <w:rFonts w:ascii="Consolas" w:cs="Consolas" w:eastAsia="Consolas" w:hAnsi="Consolas"/>
          <w:color w:val="1A2B4C"/>
          <w:sz w:val="18"/>
          <w:szCs w:val="18"/>
        </w:rPr>
        <w:br/>
        <w:t xml:space="preserve">      │  only, never persisted)─►│                      │                      │</w:t>
      </w:r>
      <w:r>
        <w:rPr>
          <w:rFonts w:ascii="Consolas" w:cs="Consolas" w:eastAsia="Consolas" w:hAnsi="Consolas"/>
          <w:color w:val="1A2B4C"/>
          <w:sz w:val="18"/>
          <w:szCs w:val="18"/>
        </w:rPr>
        <w:br/>
        <w:t xml:space="preserve">      │                        │─face detect/align      │                      │</w:t>
      </w:r>
      <w:r>
        <w:rPr>
          <w:rFonts w:ascii="Consolas" w:cs="Consolas" w:eastAsia="Consolas" w:hAnsi="Consolas"/>
          <w:color w:val="1A2B4C"/>
          <w:sz w:val="18"/>
          <w:szCs w:val="18"/>
        </w:rPr>
        <w:br/>
        <w:t xml:space="preserve">      │                        │  (lightweight, on-      │                      │</w:t>
      </w:r>
      <w:r>
        <w:rPr>
          <w:rFonts w:ascii="Consolas" w:cs="Consolas" w:eastAsia="Consolas" w:hAnsi="Consolas"/>
          <w:color w:val="1A2B4C"/>
          <w:sz w:val="18"/>
          <w:szCs w:val="18"/>
        </w:rPr>
        <w:br/>
        <w:t xml:space="preserve">      │                        │   device model)──────────►│                      │</w:t>
      </w:r>
      <w:r>
        <w:rPr>
          <w:rFonts w:ascii="Consolas" w:cs="Consolas" w:eastAsia="Consolas" w:hAnsi="Consolas"/>
          <w:color w:val="1A2B4C"/>
          <w:sz w:val="18"/>
          <w:szCs w:val="18"/>
        </w:rPr>
        <w:br/>
        <w:t xml:space="preserve">      │                        │                      │─liveness +            │</w:t>
      </w:r>
      <w:r>
        <w:rPr>
          <w:rFonts w:ascii="Consolas" w:cs="Consolas" w:eastAsia="Consolas" w:hAnsi="Consolas"/>
          <w:color w:val="1A2B4C"/>
          <w:sz w:val="18"/>
          <w:szCs w:val="18"/>
        </w:rPr>
        <w:br/>
        <w:t xml:space="preserve">      │                        │                      │  synthetic-media       │</w:t>
      </w:r>
      <w:r>
        <w:rPr>
          <w:rFonts w:ascii="Consolas" w:cs="Consolas" w:eastAsia="Consolas" w:hAnsi="Consolas"/>
          <w:color w:val="1A2B4C"/>
          <w:sz w:val="18"/>
          <w:szCs w:val="18"/>
        </w:rPr>
        <w:br/>
        <w:t xml:space="preserve">      │                        │                      │  inference (edge-      │</w:t>
      </w:r>
      <w:r>
        <w:rPr>
          <w:rFonts w:ascii="Consolas" w:cs="Consolas" w:eastAsia="Consolas" w:hAnsi="Consolas"/>
          <w:color w:val="1A2B4C"/>
          <w:sz w:val="18"/>
          <w:szCs w:val="18"/>
        </w:rPr>
        <w:br/>
        <w:t xml:space="preserve">      │                        │                      │  optimized model)──────►│</w:t>
      </w:r>
      <w:r>
        <w:rPr>
          <w:rFonts w:ascii="Consolas" w:cs="Consolas" w:eastAsia="Consolas" w:hAnsi="Consolas"/>
          <w:color w:val="1A2B4C"/>
          <w:sz w:val="18"/>
          <w:szCs w:val="18"/>
        </w:rPr>
        <w:br/>
        <w:t xml:space="preserve">      │                        │                      │                      │─sign score+</w:t>
      </w:r>
      <w:r>
        <w:rPr>
          <w:rFonts w:ascii="Consolas" w:cs="Consolas" w:eastAsia="Consolas" w:hAnsi="Consolas"/>
          <w:color w:val="1A2B4C"/>
          <w:sz w:val="18"/>
          <w:szCs w:val="18"/>
        </w:rPr>
        <w:br/>
        <w:t xml:space="preserve">      │                        │                      │                      │  explanation</w:t>
      </w:r>
      <w:r>
        <w:rPr>
          <w:rFonts w:ascii="Consolas" w:cs="Consolas" w:eastAsia="Consolas" w:hAnsi="Consolas"/>
          <w:color w:val="1A2B4C"/>
          <w:sz w:val="18"/>
          <w:szCs w:val="18"/>
        </w:rPr>
        <w:br/>
        <w:t xml:space="preserve">      │                        │                      │                      │  packet with</w:t>
      </w:r>
      <w:r>
        <w:rPr>
          <w:rFonts w:ascii="Consolas" w:cs="Consolas" w:eastAsia="Consolas" w:hAnsi="Consolas"/>
          <w:color w:val="1A2B4C"/>
          <w:sz w:val="18"/>
          <w:szCs w:val="18"/>
        </w:rPr>
        <w:br/>
        <w:t xml:space="preserve">      │                        │                      │                      │  device-held key</w:t>
      </w:r>
      <w:r>
        <w:rPr>
          <w:rFonts w:ascii="Consolas" w:cs="Consolas" w:eastAsia="Consolas" w:hAnsi="Consolas"/>
          <w:color w:val="1A2B4C"/>
          <w:sz w:val="18"/>
          <w:szCs w:val="18"/>
        </w:rPr>
        <w:br/>
        <w:t xml:space="preserve">      │                        │                      │                      │─transmit (small</w:t>
      </w:r>
      <w:r>
        <w:rPr>
          <w:rFonts w:ascii="Consolas" w:cs="Consolas" w:eastAsia="Consolas" w:hAnsi="Consolas"/>
          <w:color w:val="1A2B4C"/>
          <w:sz w:val="18"/>
          <w:szCs w:val="18"/>
        </w:rPr>
        <w:br/>
        <w:t xml:space="preserve">      │                        │                      │                      │  payload, not video)</w:t>
      </w:r>
      <w:r>
        <w:rPr>
          <w:rFonts w:ascii="Consolas" w:cs="Consolas" w:eastAsia="Consolas" w:hAnsi="Consolas"/>
          <w:color w:val="1A2B4C"/>
          <w:sz w:val="18"/>
          <w:szCs w:val="18"/>
        </w:rPr>
        <w:br/>
        <w:t xml:space="preserve">      │  ◄── raw frame discarded immediately after inference; never written to disk ──►│</w:t>
      </w:r>
    </w:p>
    <w:p>
      <w:pPr>
        <w:spacing w:after="260" w:before="80"/>
      </w:pPr>
      <w:r>
        <w:rPr>
          <w:i/>
          <w:iCs/>
          <w:color w:val="6B7280"/>
          <w:sz w:val="18"/>
          <w:szCs w:val="18"/>
        </w:rPr>
        <w:t xml:space="preserve">Figure 2.1 — Edge inference pipeline. Every stage up to and including the model runs entirely on-device; only the final signed score+explanation packet leaves the device.</w:t>
      </w:r>
    </w:p>
    <w:p>
      <w:pPr>
        <w:pStyle w:val="Heading2"/>
        <w:spacing w:after="180" w:before="360"/>
      </w:pPr>
      <w:r>
        <w:rPr>
          <w:b/>
          <w:bCs/>
          <w:color w:val="2E5EAA"/>
          <w:sz w:val="26"/>
          <w:szCs w:val="26"/>
        </w:rPr>
        <w:t xml:space="preserve">2.3 Edge model requirements (distinct from the server-side model requirements in ML Architecture, Document 7 — to be revised)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5200"/>
      </w:tblGrid>
      <w:tr>
        <w:trPr>
          <w:tblHeader/>
        </w:trPr>
        <w:tc>
          <w:tcPr>
            <w:tcW w:type="dxa" w:w="4200"/>
            <w:shd w:fill="1A2B4C" w:val="clear"/>
            <w:tcMar>
              <w:top w:type="dxa" w:w="100"/>
              <w:left w:type="dxa" w:w="140"/>
              <w:bottom w:type="dxa" w:w="100"/>
              <w:right w:type="dxa" w:w="140"/>
            </w:tcMar>
          </w:tcPr>
          <w:p>
            <w:r>
              <w:rPr>
                <w:b/>
                <w:bCs/>
                <w:color w:val="FFFFFF"/>
                <w:sz w:val="19"/>
                <w:szCs w:val="19"/>
              </w:rPr>
              <w:t xml:space="preserve">Requirement</w:t>
            </w:r>
          </w:p>
        </w:tc>
        <w:tc>
          <w:tcPr>
            <w:tcW w:type="dxa" w:w="5200"/>
            <w:shd w:fill="1A2B4C" w:val="clear"/>
            <w:tcMar>
              <w:top w:type="dxa" w:w="100"/>
              <w:left w:type="dxa" w:w="140"/>
              <w:bottom w:type="dxa" w:w="100"/>
              <w:right w:type="dxa" w:w="140"/>
            </w:tcMar>
          </w:tcPr>
          <w:p>
            <w:r>
              <w:rPr>
                <w:b/>
                <w:bCs/>
                <w:color w:val="FFFFFF"/>
                <w:sz w:val="19"/>
                <w:szCs w:val="19"/>
              </w:rPr>
              <w:t xml:space="preserve">Rationale</w:t>
            </w:r>
          </w:p>
        </w:tc>
      </w:tr>
      <w:tr>
        <w:tc>
          <w:tcPr>
            <w:tcW w:type="dxa" w:w="4200"/>
            <w:shd w:fill="F4F6F9" w:val="clear"/>
            <w:tcMar>
              <w:top w:type="dxa" w:w="100"/>
              <w:left w:type="dxa" w:w="140"/>
              <w:bottom w:type="dxa" w:w="100"/>
              <w:right w:type="dxa" w:w="140"/>
            </w:tcMar>
          </w:tcPr>
          <w:p>
            <w:r>
              <w:rPr>
                <w:sz w:val="19"/>
                <w:szCs w:val="19"/>
              </w:rPr>
              <w:t xml:space="preserve">Model size small enough for a mobile/web client to load without materially increasing the call client's own app size or startup time</w:t>
            </w:r>
          </w:p>
        </w:tc>
        <w:tc>
          <w:tcPr>
            <w:tcW w:type="dxa" w:w="5200"/>
            <w:shd w:fill="F4F6F9" w:val="clear"/>
            <w:tcMar>
              <w:top w:type="dxa" w:w="100"/>
              <w:left w:type="dxa" w:w="140"/>
              <w:bottom w:type="dxa" w:w="100"/>
              <w:right w:type="dxa" w:w="140"/>
            </w:tcMar>
          </w:tcPr>
          <w:p>
            <w:r>
              <w:rPr>
                <w:sz w:val="19"/>
                <w:szCs w:val="19"/>
              </w:rPr>
              <w:t xml:space="preserve">The SDK is embedded inside a partner's existing app — a large model download directly hurts the partner's own product experience, which is a partner-adoption risk (Product Strategy, Document 3, Section 3.3).</w:t>
            </w:r>
          </w:p>
        </w:tc>
      </w:tr>
      <w:tr>
        <w:tc>
          <w:tcPr>
            <w:tcW w:type="dxa" w:w="4200"/>
            <w:shd w:fill="FFFFFF" w:val="clear"/>
            <w:tcMar>
              <w:top w:type="dxa" w:w="100"/>
              <w:left w:type="dxa" w:w="140"/>
              <w:bottom w:type="dxa" w:w="100"/>
              <w:right w:type="dxa" w:w="140"/>
            </w:tcMar>
          </w:tcPr>
          <w:p>
            <w:r>
              <w:rPr>
                <w:sz w:val="19"/>
                <w:szCs w:val="19"/>
              </w:rPr>
              <w:t xml:space="preserve">Inference latency per evaluation interval bounded to a small fraction of the configured re-evaluation interval (initial design target: interval itself in the low single-digit seconds, inference latency a small fraction of that — both to be validated empirically per PRD NFR-C.1, not asserted as final here)</w:t>
            </w:r>
          </w:p>
        </w:tc>
        <w:tc>
          <w:tcPr>
            <w:tcW w:type="dxa" w:w="5200"/>
            <w:shd w:fill="FFFFFF" w:val="clear"/>
            <w:tcMar>
              <w:top w:type="dxa" w:w="100"/>
              <w:left w:type="dxa" w:w="140"/>
              <w:bottom w:type="dxa" w:w="100"/>
              <w:right w:type="dxa" w:w="140"/>
            </w:tcMar>
          </w:tcPr>
          <w:p>
            <w:r>
              <w:rPr>
                <w:sz w:val="19"/>
                <w:szCs w:val="19"/>
              </w:rPr>
              <w:t xml:space="preserve">Leaves headroom for the call client's own processing (video encoding, network jitter handling) without competing for the same CPU budget.</w:t>
            </w:r>
          </w:p>
        </w:tc>
      </w:tr>
      <w:tr>
        <w:tc>
          <w:tcPr>
            <w:tcW w:type="dxa" w:w="4200"/>
            <w:shd w:fill="F4F6F9" w:val="clear"/>
            <w:tcMar>
              <w:top w:type="dxa" w:w="100"/>
              <w:left w:type="dxa" w:w="140"/>
              <w:bottom w:type="dxa" w:w="100"/>
              <w:right w:type="dxa" w:w="140"/>
            </w:tcMar>
          </w:tcPr>
          <w:p>
            <w:r>
              <w:rPr>
                <w:sz w:val="19"/>
                <w:szCs w:val="19"/>
              </w:rPr>
              <w:t xml:space="preserve">Architecture family suited to on-device deployment (e.g. a distilled or mobile-optimized backbone) rather than the larger architecture families evaluated for server-side deepfake detection in the AI Research Specification (Document 8, to be revised)</w:t>
            </w:r>
          </w:p>
        </w:tc>
        <w:tc>
          <w:tcPr>
            <w:tcW w:type="dxa" w:w="5200"/>
            <w:shd w:fill="F4F6F9" w:val="clear"/>
            <w:tcMar>
              <w:top w:type="dxa" w:w="100"/>
              <w:left w:type="dxa" w:w="140"/>
              <w:bottom w:type="dxa" w:w="100"/>
              <w:right w:type="dxa" w:w="140"/>
            </w:tcMar>
          </w:tcPr>
          <w:p>
            <w:r>
              <w:rPr>
                <w:sz w:val="19"/>
                <w:szCs w:val="19"/>
              </w:rPr>
              <w:t xml:space="preserve">A server-class model is not a smaller version of an edge model — it is frequently a different architecture choice entirely, evaluated against a different point on the accuracy/latency/size trade-off curve.</w:t>
            </w:r>
          </w:p>
        </w:tc>
      </w:tr>
      <w:tr>
        <w:tc>
          <w:tcPr>
            <w:tcW w:type="dxa" w:w="4200"/>
            <w:shd w:fill="FFFFFF" w:val="clear"/>
            <w:tcMar>
              <w:top w:type="dxa" w:w="100"/>
              <w:left w:type="dxa" w:w="140"/>
              <w:bottom w:type="dxa" w:w="100"/>
              <w:right w:type="dxa" w:w="140"/>
            </w:tcMar>
          </w:tcPr>
          <w:p>
            <w:r>
              <w:rPr>
                <w:sz w:val="19"/>
                <w:szCs w:val="19"/>
              </w:rPr>
              <w:t xml:space="preserve">Runs via an edge-appropriate inference runtime: ONNX Runtime Mobile, Core ML (iOS), or a TensorFlow Lite / NNAPI path (Android), selected per platform rather than a single cross-platform runtime forced onto every device</w:t>
            </w:r>
          </w:p>
        </w:tc>
        <w:tc>
          <w:tcPr>
            <w:tcW w:type="dxa" w:w="5200"/>
            <w:shd w:fill="FFFFFF" w:val="clear"/>
            <w:tcMar>
              <w:top w:type="dxa" w:w="100"/>
              <w:left w:type="dxa" w:w="140"/>
              <w:bottom w:type="dxa" w:w="100"/>
              <w:right w:type="dxa" w:w="140"/>
            </w:tcMar>
          </w:tcPr>
          <w:p>
            <w:r>
              <w:rPr>
                <w:sz w:val="19"/>
                <w:szCs w:val="19"/>
              </w:rPr>
              <w:t xml:space="preserve">Matches each platform's actual, best-supported on-device ML execution path rather than a lowest-common-denominator choice.</w:t>
            </w:r>
          </w:p>
        </w:tc>
      </w:tr>
    </w:tbl>
    <w:p>
      <w:pPr>
        <w:spacing w:after="260" w:before="80"/>
      </w:pPr>
      <w:r>
        <w:rPr>
          <w:i/>
          <w:iCs/>
          <w:color w:val="6B7280"/>
          <w:sz w:val="18"/>
          <w:szCs w:val="18"/>
        </w:rPr>
        <w:t xml:space="preserve">Table 2.1 — Edge model requirements. Specific accuracy targets for the edge model class are deferred to the ML Architecture document's revision, consistent with the PRD's own refusal to assert an unvalidated number (Document 2, Section 8.2).</w:t>
      </w:r>
    </w:p>
    <w:p>
      <w:pPr>
        <w:pStyle w:val="Heading2"/>
        <w:spacing w:after="180" w:before="360"/>
      </w:pPr>
      <w:r>
        <w:rPr>
          <w:b/>
          <w:bCs/>
          <w:color w:val="2E5EAA"/>
          <w:sz w:val="26"/>
          <w:szCs w:val="26"/>
        </w:rPr>
        <w:t xml:space="preserve">2.4 Backend's role in continuous verification</w:t>
      </w:r>
    </w:p>
    <w:p>
      <w:pPr>
        <w:spacing w:after="200" w:line="300"/>
        <w:jc w:val="both"/>
      </w:pPr>
      <w:r>
        <w:rPr>
          <w:sz w:val="21"/>
          <w:szCs w:val="21"/>
        </w:rPr>
        <w:t xml:space="preserve">The backend does not re-run inference on data the SDK already scored — doing so would defeat the entire rationale in Section 2.1. Instead, the Backend API Service's role for a continuous session is: validate the signature on each incoming score+explanation packet (proving it genuinely came from a legitimate, unmodified SDK instance, not a forged client claiming a false score), apply the Policy Evaluation Engine to the incoming score stream exactly as it does for a point-in-time score today, and maintain the session-length record that the Cryptographic Service later signs into a session-length attestation (PRD FR-4.1, extended).</w:t>
      </w:r>
    </w:p>
    <w:p>
      <w:pPr>
        <w:pStyle w:val="Heading2"/>
        <w:spacing w:after="180" w:before="360"/>
      </w:pPr>
      <w:r>
        <w:rPr>
          <w:b/>
          <w:bCs/>
          <w:color w:val="2E5EAA"/>
          <w:sz w:val="26"/>
          <w:szCs w:val="26"/>
        </w:rPr>
        <w:t xml:space="preserve">2.5 Handling a compromised or modified client</w:t>
      </w:r>
    </w:p>
    <w:p>
      <w:pPr>
        <w:spacing w:after="200" w:line="300"/>
        <w:jc w:val="both"/>
      </w:pPr>
      <w:r>
        <w:rPr>
          <w:sz w:val="21"/>
          <w:szCs w:val="21"/>
        </w:rPr>
        <w:t xml:space="preserve">Because inference now happens on a device Certivo does not control, a new threat class exists that the original architecture did not need to address: a modified SDK or a compromised client claiming a false (e.g. artificially high) confidence score. This is mitigated by three layered controls, not one: the score+explanation packet is signed using a key provisioned during SDK initialization and validated against the Device Trust Service's integrity signals (Section 8 extends this further via hardware attestation); the Backend API Service's Policy Evaluation Engine can weight or discount scores from a device with a low device-trust or attestation tier (Section 8.3); and anomaly detection (extending the existing rate-limiting/anomaly logic from Version 1.0, Section 6.4) flags statistically implausible score patterns — for example, perfect, unwavering maximum confidence for an entire call duration, which is itself a signal worth surfacing rather than trusting uncritically.</w:t>
      </w:r>
    </w:p>
    <w:p>
      <w:pPr>
        <w:pStyle w:val="Heading2"/>
        <w:spacing w:after="180" w:before="360"/>
      </w:pPr>
      <w:r>
        <w:rPr>
          <w:b/>
          <w:bCs/>
          <w:color w:val="2E5EAA"/>
          <w:sz w:val="26"/>
          <w:szCs w:val="26"/>
        </w:rPr>
        <w:t xml:space="preserve">2.6 SDK telemetry and observability</w:t>
      </w:r>
    </w:p>
    <w:p>
      <w:pPr>
        <w:spacing w:after="200" w:line="300"/>
        <w:jc w:val="both"/>
      </w:pPr>
      <w:r>
        <w:rPr>
          <w:sz w:val="21"/>
          <w:szCs w:val="21"/>
        </w:rPr>
        <w:t xml:space="preserve">The SDK reports resource-usage telemetry (CPU/memory/battery impact, inference latency per interval) back to the Monitoring Service, distinct from the verification score stream itself, specifically to support the resource-overhead validation required before production rollout with any partner (PRD NFR-C.2) and to catch a regression in SDK performance across app versions or device models before a partner notices a call-quality complaint.</w:t>
      </w:r>
    </w:p>
    <w:p>
      <w:pPr>
        <w:pStyle w:val="Heading1"/>
        <w:pageBreakBefore/>
        <w:spacing w:after="240" w:before="480"/>
      </w:pPr>
      <w:r>
        <w:rPr>
          <w:b/>
          <w:bCs/>
          <w:color w:val="1A2B4C"/>
          <w:sz w:val="32"/>
          <w:szCs w:val="32"/>
        </w:rPr>
        <w:t xml:space="preserve">3. Technology Stack (Revised Additions)</w:t>
      </w:r>
    </w:p>
    <w:p>
      <w:pPr>
        <w:spacing w:after="200" w:line="300"/>
        <w:jc w:val="both"/>
      </w:pPr>
      <w:r>
        <w:rPr>
          <w:sz w:val="21"/>
          <w:szCs w:val="21"/>
        </w:rPr>
        <w:t xml:space="preserve">The backend stack (Python/FastAPI/PostgreSQL/Redis/Celery/Docker) and frontend stack (Next.js/TypeScript/TailwindCSS) from Version 1.0 are unchanged and are not repeated here. This section covers only the additions the flagship's edge-inference architecture (Section 2) requires.</w:t>
      </w:r>
    </w:p>
    <w:p>
      <w:pPr>
        <w:pStyle w:val="Heading2"/>
        <w:spacing w:after="180" w:before="360"/>
      </w:pPr>
      <w:r>
        <w:rPr>
          <w:b/>
          <w:bCs/>
          <w:color w:val="2E5EAA"/>
          <w:sz w:val="26"/>
          <w:szCs w:val="26"/>
        </w:rPr>
        <w:t xml:space="preserve">3.1 Edge / mobile ML runtime additions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4000"/>
      </w:tblGrid>
      <w:tr>
        <w:trPr>
          <w:tblHeader/>
        </w:trPr>
        <w:tc>
          <w:tcPr>
            <w:tcW w:type="dxa" w:w="2600"/>
            <w:shd w:fill="1A2B4C" w:val="clear"/>
            <w:tcMar>
              <w:top w:type="dxa" w:w="100"/>
              <w:left w:type="dxa" w:w="140"/>
              <w:bottom w:type="dxa" w:w="100"/>
              <w:right w:type="dxa" w:w="140"/>
            </w:tcMar>
          </w:tcPr>
          <w:p>
            <w:r>
              <w:rPr>
                <w:b/>
                <w:bCs/>
                <w:color w:val="FFFFFF"/>
                <w:sz w:val="19"/>
                <w:szCs w:val="19"/>
              </w:rPr>
              <w:t xml:space="preserve">Technology</w:t>
            </w:r>
          </w:p>
        </w:tc>
        <w:tc>
          <w:tcPr>
            <w:tcW w:type="dxa" w:w="2800"/>
            <w:shd w:fill="1A2B4C" w:val="clear"/>
            <w:tcMar>
              <w:top w:type="dxa" w:w="100"/>
              <w:left w:type="dxa" w:w="140"/>
              <w:bottom w:type="dxa" w:w="100"/>
              <w:right w:type="dxa" w:w="140"/>
            </w:tcMar>
          </w:tcPr>
          <w:p>
            <w:r>
              <w:rPr>
                <w:b/>
                <w:bCs/>
                <w:color w:val="FFFFFF"/>
                <w:sz w:val="19"/>
                <w:szCs w:val="19"/>
              </w:rPr>
              <w:t xml:space="preserve">Role</w:t>
            </w:r>
          </w:p>
        </w:tc>
        <w:tc>
          <w:tcPr>
            <w:tcW w:type="dxa" w:w="4000"/>
            <w:shd w:fill="1A2B4C" w:val="clear"/>
            <w:tcMar>
              <w:top w:type="dxa" w:w="100"/>
              <w:left w:type="dxa" w:w="140"/>
              <w:bottom w:type="dxa" w:w="100"/>
              <w:right w:type="dxa" w:w="140"/>
            </w:tcMar>
          </w:tcPr>
          <w:p>
            <w:r>
              <w:rPr>
                <w:b/>
                <w:bCs/>
                <w:color w:val="FFFFFF"/>
                <w:sz w:val="19"/>
                <w:szCs w:val="19"/>
              </w:rPr>
              <w:t xml:space="preserve">Rationale</w:t>
            </w:r>
          </w:p>
        </w:tc>
      </w:tr>
      <w:tr>
        <w:tc>
          <w:tcPr>
            <w:tcW w:type="dxa" w:w="2600"/>
            <w:shd w:fill="F4F6F9" w:val="clear"/>
            <w:tcMar>
              <w:top w:type="dxa" w:w="100"/>
              <w:left w:type="dxa" w:w="140"/>
              <w:bottom w:type="dxa" w:w="100"/>
              <w:right w:type="dxa" w:w="140"/>
            </w:tcMar>
          </w:tcPr>
          <w:p>
            <w:r>
              <w:rPr>
                <w:sz w:val="19"/>
                <w:szCs w:val="19"/>
              </w:rPr>
              <w:t xml:space="preserve">ONNX Runtime Mobile</w:t>
            </w:r>
          </w:p>
        </w:tc>
        <w:tc>
          <w:tcPr>
            <w:tcW w:type="dxa" w:w="2800"/>
            <w:shd w:fill="F4F6F9" w:val="clear"/>
            <w:tcMar>
              <w:top w:type="dxa" w:w="100"/>
              <w:left w:type="dxa" w:w="140"/>
              <w:bottom w:type="dxa" w:w="100"/>
              <w:right w:type="dxa" w:w="140"/>
            </w:tcMar>
          </w:tcPr>
          <w:p>
            <w:r>
              <w:rPr>
                <w:sz w:val="19"/>
                <w:szCs w:val="19"/>
              </w:rPr>
              <w:t xml:space="preserve">Cross-platform edge inference runtime for the Web SDK and as a fallback mobile path</w:t>
            </w:r>
          </w:p>
        </w:tc>
        <w:tc>
          <w:tcPr>
            <w:tcW w:type="dxa" w:w="4000"/>
            <w:shd w:fill="F4F6F9" w:val="clear"/>
            <w:tcMar>
              <w:top w:type="dxa" w:w="100"/>
              <w:left w:type="dxa" w:w="140"/>
              <w:bottom w:type="dxa" w:w="100"/>
              <w:right w:type="dxa" w:w="140"/>
            </w:tcMar>
          </w:tcPr>
          <w:p>
            <w:r>
              <w:rPr>
                <w:sz w:val="19"/>
                <w:szCs w:val="19"/>
              </w:rPr>
              <w:t xml:space="preserve">Same framework-agnostic export format as the server-side ONNX Runtime already in the v1 stack (Technical Requirements Document v1, Section 2.3), meaning a model trained once can target both server and edge deployment through a consistent export pipeline.</w:t>
            </w:r>
          </w:p>
        </w:tc>
      </w:tr>
      <w:tr>
        <w:tc>
          <w:tcPr>
            <w:tcW w:type="dxa" w:w="2600"/>
            <w:shd w:fill="FFFFFF" w:val="clear"/>
            <w:tcMar>
              <w:top w:type="dxa" w:w="100"/>
              <w:left w:type="dxa" w:w="140"/>
              <w:bottom w:type="dxa" w:w="100"/>
              <w:right w:type="dxa" w:w="140"/>
            </w:tcMar>
          </w:tcPr>
          <w:p>
            <w:r>
              <w:rPr>
                <w:sz w:val="19"/>
                <w:szCs w:val="19"/>
              </w:rPr>
              <w:t xml:space="preserve">Core ML</w:t>
            </w:r>
          </w:p>
        </w:tc>
        <w:tc>
          <w:tcPr>
            <w:tcW w:type="dxa" w:w="2800"/>
            <w:shd w:fill="FFFFFF" w:val="clear"/>
            <w:tcMar>
              <w:top w:type="dxa" w:w="100"/>
              <w:left w:type="dxa" w:w="140"/>
              <w:bottom w:type="dxa" w:w="100"/>
              <w:right w:type="dxa" w:w="140"/>
            </w:tcMar>
          </w:tcPr>
          <w:p>
            <w:r>
              <w:rPr>
                <w:sz w:val="19"/>
                <w:szCs w:val="19"/>
              </w:rPr>
              <w:t xml:space="preserve">Native iOS on-device inference</w:t>
            </w:r>
          </w:p>
        </w:tc>
        <w:tc>
          <w:tcPr>
            <w:tcW w:type="dxa" w:w="4000"/>
            <w:shd w:fill="FFFFFF" w:val="clear"/>
            <w:tcMar>
              <w:top w:type="dxa" w:w="100"/>
              <w:left w:type="dxa" w:w="140"/>
              <w:bottom w:type="dxa" w:w="100"/>
              <w:right w:type="dxa" w:w="140"/>
            </w:tcMar>
          </w:tcPr>
          <w:p>
            <w:r>
              <w:rPr>
                <w:sz w:val="19"/>
                <w:szCs w:val="19"/>
              </w:rPr>
              <w:t xml:space="preserve">Apple's first-party inference runtime, with direct access to the Neural Engine on supported devices for meaningfully better performance-per-watt than a cross-platform runtime on iOS specifically — directly relevant to the battery-budget requirement (PRD NFR-C.2).</w:t>
            </w:r>
          </w:p>
        </w:tc>
      </w:tr>
      <w:tr>
        <w:tc>
          <w:tcPr>
            <w:tcW w:type="dxa" w:w="2600"/>
            <w:shd w:fill="F4F6F9" w:val="clear"/>
            <w:tcMar>
              <w:top w:type="dxa" w:w="100"/>
              <w:left w:type="dxa" w:w="140"/>
              <w:bottom w:type="dxa" w:w="100"/>
              <w:right w:type="dxa" w:w="140"/>
            </w:tcMar>
          </w:tcPr>
          <w:p>
            <w:r>
              <w:rPr>
                <w:sz w:val="19"/>
                <w:szCs w:val="19"/>
              </w:rPr>
              <w:t xml:space="preserve">TensorFlow Lite / NNAPI</w:t>
            </w:r>
          </w:p>
        </w:tc>
        <w:tc>
          <w:tcPr>
            <w:tcW w:type="dxa" w:w="2800"/>
            <w:shd w:fill="F4F6F9" w:val="clear"/>
            <w:tcMar>
              <w:top w:type="dxa" w:w="100"/>
              <w:left w:type="dxa" w:w="140"/>
              <w:bottom w:type="dxa" w:w="100"/>
              <w:right w:type="dxa" w:w="140"/>
            </w:tcMar>
          </w:tcPr>
          <w:p>
            <w:r>
              <w:rPr>
                <w:sz w:val="19"/>
                <w:szCs w:val="19"/>
              </w:rPr>
              <w:t xml:space="preserve">Native Android on-device inference</w:t>
            </w:r>
          </w:p>
        </w:tc>
        <w:tc>
          <w:tcPr>
            <w:tcW w:type="dxa" w:w="4000"/>
            <w:shd w:fill="F4F6F9" w:val="clear"/>
            <w:tcMar>
              <w:top w:type="dxa" w:w="100"/>
              <w:left w:type="dxa" w:w="140"/>
              <w:bottom w:type="dxa" w:w="100"/>
              <w:right w:type="dxa" w:w="140"/>
            </w:tcMar>
          </w:tcPr>
          <w:p>
            <w:r>
              <w:rPr>
                <w:sz w:val="19"/>
                <w:szCs w:val="19"/>
              </w:rPr>
              <w:t xml:space="preserve">The most broadly supported on-device path across Android's highly fragmented device landscape, relevant given the consumer-scale device diversity across the dating/social verticals (Product Strategy, Document 3, Section 3.4).</w:t>
            </w:r>
          </w:p>
        </w:tc>
      </w:tr>
      <w:tr>
        <w:tc>
          <w:tcPr>
            <w:tcW w:type="dxa" w:w="2600"/>
            <w:shd w:fill="FFFFFF" w:val="clear"/>
            <w:tcMar>
              <w:top w:type="dxa" w:w="100"/>
              <w:left w:type="dxa" w:w="140"/>
              <w:bottom w:type="dxa" w:w="100"/>
              <w:right w:type="dxa" w:w="140"/>
            </w:tcMar>
          </w:tcPr>
          <w:p>
            <w:r>
              <w:rPr>
                <w:sz w:val="19"/>
                <w:szCs w:val="19"/>
              </w:rPr>
              <w:t xml:space="preserve">WebRTC Insertable Streams / WebCodecs API</w:t>
            </w:r>
          </w:p>
        </w:tc>
        <w:tc>
          <w:tcPr>
            <w:tcW w:type="dxa" w:w="2800"/>
            <w:shd w:fill="FFFFFF" w:val="clear"/>
            <w:tcMar>
              <w:top w:type="dxa" w:w="100"/>
              <w:left w:type="dxa" w:w="140"/>
              <w:bottom w:type="dxa" w:w="100"/>
              <w:right w:type="dxa" w:w="140"/>
            </w:tcMar>
          </w:tcPr>
          <w:p>
            <w:r>
              <w:rPr>
                <w:sz w:val="19"/>
                <w:szCs w:val="19"/>
              </w:rPr>
              <w:t xml:space="preserve">Local raw media frame access for the Web SDK</w:t>
            </w:r>
          </w:p>
        </w:tc>
        <w:tc>
          <w:tcPr>
            <w:tcW w:type="dxa" w:w="4000"/>
            <w:shd w:fill="FFFFFF" w:val="clear"/>
            <w:tcMar>
              <w:top w:type="dxa" w:w="100"/>
              <w:left w:type="dxa" w:w="140"/>
              <w:bottom w:type="dxa" w:w="100"/>
              <w:right w:type="dxa" w:w="140"/>
            </w:tcMar>
          </w:tcPr>
          <w:p>
            <w:r>
              <w:rPr>
                <w:sz w:val="19"/>
                <w:szCs w:val="19"/>
              </w:rPr>
              <w:t xml:space="preserve">The concrete, real mechanism (per the WebRTC-primary decision) for accessing a participant's own outgoing video frames before encoding, without which on-device inference in a browser has no raw frame source to work from.</w:t>
            </w:r>
          </w:p>
        </w:tc>
      </w:tr>
    </w:tbl>
    <w:p>
      <w:pPr>
        <w:spacing w:after="260" w:before="80"/>
      </w:pPr>
      <w:r>
        <w:rPr>
          <w:i/>
          <w:iCs/>
          <w:color w:val="6B7280"/>
          <w:sz w:val="18"/>
          <w:szCs w:val="18"/>
        </w:rPr>
        <w:t xml:space="preserve">Table 3.1 — Edge/mobile ML runtime additions to the Version 1.0 stack.</w:t>
      </w:r>
    </w:p>
    <w:p>
      <w:pPr>
        <w:pStyle w:val="Heading2"/>
        <w:spacing w:after="180" w:before="360"/>
      </w:pPr>
      <w:r>
        <w:rPr>
          <w:b/>
          <w:bCs/>
          <w:color w:val="2E5EAA"/>
          <w:sz w:val="26"/>
          <w:szCs w:val="26"/>
        </w:rPr>
        <w:t xml:space="preserve">3.2 Hardware attestation additions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4200"/>
      </w:tblGrid>
      <w:tr>
        <w:trPr>
          <w:tblHeader/>
        </w:trPr>
        <w:tc>
          <w:tcPr>
            <w:tcW w:type="dxa" w:w="2600"/>
            <w:shd w:fill="1A2B4C" w:val="clear"/>
            <w:tcMar>
              <w:top w:type="dxa" w:w="100"/>
              <w:left w:type="dxa" w:w="140"/>
              <w:bottom w:type="dxa" w:w="100"/>
              <w:right w:type="dxa" w:w="140"/>
            </w:tcMar>
          </w:tcPr>
          <w:p>
            <w:r>
              <w:rPr>
                <w:b/>
                <w:bCs/>
                <w:color w:val="FFFFFF"/>
                <w:sz w:val="19"/>
                <w:szCs w:val="19"/>
              </w:rPr>
              <w:t xml:space="preserve">Technology</w:t>
            </w:r>
          </w:p>
        </w:tc>
        <w:tc>
          <w:tcPr>
            <w:tcW w:type="dxa" w:w="3000"/>
            <w:shd w:fill="1A2B4C" w:val="clear"/>
            <w:tcMar>
              <w:top w:type="dxa" w:w="100"/>
              <w:left w:type="dxa" w:w="140"/>
              <w:bottom w:type="dxa" w:w="100"/>
              <w:right w:type="dxa" w:w="140"/>
            </w:tcMar>
          </w:tcPr>
          <w:p>
            <w:r>
              <w:rPr>
                <w:b/>
                <w:bCs/>
                <w:color w:val="FFFFFF"/>
                <w:sz w:val="19"/>
                <w:szCs w:val="19"/>
              </w:rPr>
              <w:t xml:space="preserve">Role</w:t>
            </w:r>
          </w:p>
        </w:tc>
        <w:tc>
          <w:tcPr>
            <w:tcW w:type="dxa" w:w="4200"/>
            <w:shd w:fill="1A2B4C" w:val="clear"/>
            <w:tcMar>
              <w:top w:type="dxa" w:w="100"/>
              <w:left w:type="dxa" w:w="140"/>
              <w:bottom w:type="dxa" w:w="100"/>
              <w:right w:type="dxa" w:w="140"/>
            </w:tcMar>
          </w:tcPr>
          <w:p>
            <w:r>
              <w:rPr>
                <w:b/>
                <w:bCs/>
                <w:color w:val="FFFFFF"/>
                <w:sz w:val="19"/>
                <w:szCs w:val="19"/>
              </w:rPr>
              <w:t xml:space="preserve">Rationale</w:t>
            </w:r>
          </w:p>
        </w:tc>
      </w:tr>
      <w:tr>
        <w:tc>
          <w:tcPr>
            <w:tcW w:type="dxa" w:w="2600"/>
            <w:shd w:fill="F4F6F9" w:val="clear"/>
            <w:tcMar>
              <w:top w:type="dxa" w:w="100"/>
              <w:left w:type="dxa" w:w="140"/>
              <w:bottom w:type="dxa" w:w="100"/>
              <w:right w:type="dxa" w:w="140"/>
            </w:tcMar>
          </w:tcPr>
          <w:p>
            <w:r>
              <w:rPr>
                <w:sz w:val="19"/>
                <w:szCs w:val="19"/>
              </w:rPr>
              <w:t xml:space="preserve">Apple App Attest / DeviceCheck</w:t>
            </w:r>
          </w:p>
        </w:tc>
        <w:tc>
          <w:tcPr>
            <w:tcW w:type="dxa" w:w="3000"/>
            <w:shd w:fill="F4F6F9" w:val="clear"/>
            <w:tcMar>
              <w:top w:type="dxa" w:w="100"/>
              <w:left w:type="dxa" w:w="140"/>
              <w:bottom w:type="dxa" w:w="100"/>
              <w:right w:type="dxa" w:w="140"/>
            </w:tcMar>
          </w:tcPr>
          <w:p>
            <w:r>
              <w:rPr>
                <w:sz w:val="19"/>
                <w:szCs w:val="19"/>
              </w:rPr>
              <w:t xml:space="preserve">iOS hardware-backed device attestation for the Trusted Device Layer's top trust tier</w:t>
            </w:r>
          </w:p>
        </w:tc>
        <w:tc>
          <w:tcPr>
            <w:tcW w:type="dxa" w:w="4200"/>
            <w:shd w:fill="F4F6F9" w:val="clear"/>
            <w:tcMar>
              <w:top w:type="dxa" w:w="100"/>
              <w:left w:type="dxa" w:w="140"/>
              <w:bottom w:type="dxa" w:w="100"/>
              <w:right w:type="dxa" w:w="140"/>
            </w:tcMar>
          </w:tcPr>
          <w:p>
            <w:r>
              <w:rPr>
                <w:sz w:val="19"/>
                <w:szCs w:val="19"/>
              </w:rPr>
              <w:t xml:space="preserve">Apple's first-party mechanism for proving a request genuinely originates from a legitimate app instance on genuine, uncompromised Apple hardware, backed by the Secure Enclave.</w:t>
            </w:r>
          </w:p>
        </w:tc>
      </w:tr>
      <w:tr>
        <w:tc>
          <w:tcPr>
            <w:tcW w:type="dxa" w:w="2600"/>
            <w:shd w:fill="FFFFFF" w:val="clear"/>
            <w:tcMar>
              <w:top w:type="dxa" w:w="100"/>
              <w:left w:type="dxa" w:w="140"/>
              <w:bottom w:type="dxa" w:w="100"/>
              <w:right w:type="dxa" w:w="140"/>
            </w:tcMar>
          </w:tcPr>
          <w:p>
            <w:r>
              <w:rPr>
                <w:sz w:val="19"/>
                <w:szCs w:val="19"/>
              </w:rPr>
              <w:t xml:space="preserve">Android Play Integrity API</w:t>
            </w:r>
          </w:p>
        </w:tc>
        <w:tc>
          <w:tcPr>
            <w:tcW w:type="dxa" w:w="3000"/>
            <w:shd w:fill="FFFFFF" w:val="clear"/>
            <w:tcMar>
              <w:top w:type="dxa" w:w="100"/>
              <w:left w:type="dxa" w:w="140"/>
              <w:bottom w:type="dxa" w:w="100"/>
              <w:right w:type="dxa" w:w="140"/>
            </w:tcMar>
          </w:tcPr>
          <w:p>
            <w:r>
              <w:rPr>
                <w:sz w:val="19"/>
                <w:szCs w:val="19"/>
              </w:rPr>
              <w:t xml:space="preserve">Android hardware-backed device attestation, where supported</w:t>
            </w:r>
          </w:p>
        </w:tc>
        <w:tc>
          <w:tcPr>
            <w:tcW w:type="dxa" w:w="4200"/>
            <w:shd w:fill="FFFFFF" w:val="clear"/>
            <w:tcMar>
              <w:top w:type="dxa" w:w="100"/>
              <w:left w:type="dxa" w:w="140"/>
              <w:bottom w:type="dxa" w:w="100"/>
              <w:right w:type="dxa" w:w="140"/>
            </w:tcMar>
          </w:tcPr>
          <w:p>
            <w:r>
              <w:rPr>
                <w:sz w:val="19"/>
                <w:szCs w:val="19"/>
              </w:rPr>
              <w:t xml:space="preserve">Google's first-party equivalent; on devices with StrongBox-backed Keystore, provides comparable hardware-rooted assurance; on devices without StrongBox, still provides a meaningful (if lower) integrity signal, feeding the graceful-degradation tier model (Section 8.3).</w:t>
            </w:r>
          </w:p>
        </w:tc>
      </w:tr>
      <w:tr>
        <w:tc>
          <w:tcPr>
            <w:tcW w:type="dxa" w:w="2600"/>
            <w:shd w:fill="F4F6F9" w:val="clear"/>
            <w:tcMar>
              <w:top w:type="dxa" w:w="100"/>
              <w:left w:type="dxa" w:w="140"/>
              <w:bottom w:type="dxa" w:w="100"/>
              <w:right w:type="dxa" w:w="140"/>
            </w:tcMar>
          </w:tcPr>
          <w:p>
            <w:r>
              <w:rPr>
                <w:sz w:val="19"/>
                <w:szCs w:val="19"/>
              </w:rPr>
              <w:t xml:space="preserve">WebAuthn (platform authenticators)</w:t>
            </w:r>
          </w:p>
        </w:tc>
        <w:tc>
          <w:tcPr>
            <w:tcW w:type="dxa" w:w="3000"/>
            <w:shd w:fill="F4F6F9" w:val="clear"/>
            <w:tcMar>
              <w:top w:type="dxa" w:w="100"/>
              <w:left w:type="dxa" w:w="140"/>
              <w:bottom w:type="dxa" w:w="100"/>
              <w:right w:type="dxa" w:w="140"/>
            </w:tcMar>
          </w:tcPr>
          <w:p>
            <w:r>
              <w:rPr>
                <w:sz w:val="19"/>
                <w:szCs w:val="19"/>
              </w:rPr>
              <w:t xml:space="preserve">Browser-based hardware-backed attestation, where the browser and device support it</w:t>
            </w:r>
          </w:p>
        </w:tc>
        <w:tc>
          <w:tcPr>
            <w:tcW w:type="dxa" w:w="4200"/>
            <w:shd w:fill="F4F6F9" w:val="clear"/>
            <w:tcMar>
              <w:top w:type="dxa" w:w="100"/>
              <w:left w:type="dxa" w:w="140"/>
              <w:bottom w:type="dxa" w:w="100"/>
              <w:right w:type="dxa" w:w="140"/>
            </w:tcMar>
          </w:tcPr>
          <w:p>
            <w:r>
              <w:rPr>
                <w:sz w:val="19"/>
                <w:szCs w:val="19"/>
              </w:rPr>
              <w:t xml:space="preserve">The closest browser-accessible equivalent to native hardware attestation, chosen specifically because the graceful-degradation decision requires a real, standards-based mechanism for the web trust tier rather than a weaker custom scheme.</w:t>
            </w:r>
          </w:p>
        </w:tc>
      </w:tr>
    </w:tbl>
    <w:p>
      <w:pPr>
        <w:spacing w:after="260" w:before="80"/>
      </w:pPr>
      <w:r>
        <w:rPr>
          <w:i/>
          <w:iCs/>
          <w:color w:val="6B7280"/>
          <w:sz w:val="18"/>
          <w:szCs w:val="18"/>
        </w:rPr>
        <w:t xml:space="preserve">Table 3.2 — Hardware attestation technology additions, directly implementing the graceful-degradation decision.</w:t>
      </w:r>
    </w:p>
    <w:p>
      <w:pPr>
        <w:pStyle w:val="Heading1"/>
        <w:pageBreakBefore/>
        <w:spacing w:after="240" w:before="480"/>
      </w:pPr>
      <w:r>
        <w:rPr>
          <w:b/>
          <w:bCs/>
          <w:color w:val="1A2B4C"/>
          <w:sz w:val="32"/>
          <w:szCs w:val="32"/>
        </w:rPr>
        <w:t xml:space="preserve">8. Trusted Device Layer Architecture</w:t>
      </w:r>
    </w:p>
    <w:p>
      <w:pPr>
        <w:spacing w:after="200" w:line="300"/>
        <w:jc w:val="both"/>
      </w:pPr>
      <w:r>
        <w:rPr>
          <w:sz w:val="21"/>
          <w:szCs w:val="21"/>
        </w:rPr>
        <w:t xml:space="preserve">This section is entirely new in Version 2.0, implementing PRD FR-D.1 through FR-D.6. It defines how a Trusted Device Token is issued, tiered, validated, scoped, and revoked.</w:t>
      </w:r>
    </w:p>
    <w:p>
      <w:pPr>
        <w:pStyle w:val="Heading2"/>
        <w:spacing w:after="180" w:before="360"/>
      </w:pPr>
      <w:r>
        <w:rPr>
          <w:b/>
          <w:bCs/>
          <w:color w:val="2E5EAA"/>
          <w:sz w:val="26"/>
          <w:szCs w:val="26"/>
        </w:rPr>
        <w:t xml:space="preserve">8.1 Trust tier model (implementing the graceful-degradation decision)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200"/>
      </w:tblGrid>
      <w:tr>
        <w:trPr>
          <w:tblHeader/>
        </w:trPr>
        <w:tc>
          <w:tcPr>
            <w:tcW w:type="dxa" w:w="2400"/>
            <w:shd w:fill="1A2B4C" w:val="clear"/>
            <w:tcMar>
              <w:top w:type="dxa" w:w="100"/>
              <w:left w:type="dxa" w:w="140"/>
              <w:bottom w:type="dxa" w:w="100"/>
              <w:right w:type="dxa" w:w="140"/>
            </w:tcMar>
          </w:tcPr>
          <w:p>
            <w:r>
              <w:rPr>
                <w:b/>
                <w:bCs/>
                <w:color w:val="FFFFFF"/>
                <w:sz w:val="19"/>
                <w:szCs w:val="19"/>
              </w:rPr>
              <w:t xml:space="preserve">Tier</w:t>
            </w:r>
          </w:p>
        </w:tc>
        <w:tc>
          <w:tcPr>
            <w:tcW w:type="dxa" w:w="4200"/>
            <w:shd w:fill="1A2B4C" w:val="clear"/>
            <w:tcMar>
              <w:top w:type="dxa" w:w="100"/>
              <w:left w:type="dxa" w:w="140"/>
              <w:bottom w:type="dxa" w:w="100"/>
              <w:right w:type="dxa" w:w="140"/>
            </w:tcMar>
          </w:tcPr>
          <w:p>
            <w:r>
              <w:rPr>
                <w:b/>
                <w:bCs/>
                <w:color w:val="FFFFFF"/>
                <w:sz w:val="19"/>
                <w:szCs w:val="19"/>
              </w:rPr>
              <w:t xml:space="preserve">Backing mechanism</w:t>
            </w:r>
          </w:p>
        </w:tc>
        <w:tc>
          <w:tcPr>
            <w:tcW w:type="dxa" w:w="3200"/>
            <w:shd w:fill="1A2B4C" w:val="clear"/>
            <w:tcMar>
              <w:top w:type="dxa" w:w="100"/>
              <w:left w:type="dxa" w:w="140"/>
              <w:bottom w:type="dxa" w:w="100"/>
              <w:right w:type="dxa" w:w="140"/>
            </w:tcMar>
          </w:tcPr>
          <w:p>
            <w:r>
              <w:rPr>
                <w:b/>
                <w:bCs/>
                <w:color w:val="FFFFFF"/>
                <w:sz w:val="19"/>
                <w:szCs w:val="19"/>
              </w:rPr>
              <w:t xml:space="preserve">Relative strength</w:t>
            </w:r>
          </w:p>
        </w:tc>
      </w:tr>
      <w:tr>
        <w:tc>
          <w:tcPr>
            <w:tcW w:type="dxa" w:w="2400"/>
            <w:shd w:fill="F4F6F9" w:val="clear"/>
            <w:tcMar>
              <w:top w:type="dxa" w:w="100"/>
              <w:left w:type="dxa" w:w="140"/>
              <w:bottom w:type="dxa" w:w="100"/>
              <w:right w:type="dxa" w:w="140"/>
            </w:tcMar>
          </w:tcPr>
          <w:p>
            <w:r>
              <w:rPr>
                <w:sz w:val="19"/>
                <w:szCs w:val="19"/>
              </w:rPr>
              <w:t xml:space="preserve">Tier 1 — Hardware-attested</w:t>
            </w:r>
          </w:p>
        </w:tc>
        <w:tc>
          <w:tcPr>
            <w:tcW w:type="dxa" w:w="4200"/>
            <w:shd w:fill="F4F6F9" w:val="clear"/>
            <w:tcMar>
              <w:top w:type="dxa" w:w="100"/>
              <w:left w:type="dxa" w:w="140"/>
              <w:bottom w:type="dxa" w:w="100"/>
              <w:right w:type="dxa" w:w="140"/>
            </w:tcMar>
          </w:tcPr>
          <w:p>
            <w:r>
              <w:rPr>
                <w:sz w:val="19"/>
                <w:szCs w:val="19"/>
              </w:rPr>
              <w:t xml:space="preserve">iOS App Attest / Secure Enclave, or Android Play Integrity backed by StrongBox Keystore</w:t>
            </w:r>
          </w:p>
        </w:tc>
        <w:tc>
          <w:tcPr>
            <w:tcW w:type="dxa" w:w="3200"/>
            <w:shd w:fill="F4F6F9" w:val="clear"/>
            <w:tcMar>
              <w:top w:type="dxa" w:w="100"/>
              <w:left w:type="dxa" w:w="140"/>
              <w:bottom w:type="dxa" w:w="100"/>
              <w:right w:type="dxa" w:w="140"/>
            </w:tcMar>
          </w:tcPr>
          <w:p>
            <w:r>
              <w:rPr>
                <w:sz w:val="19"/>
                <w:szCs w:val="19"/>
              </w:rPr>
              <w:t xml:space="preserve">Highest — private key material is hardware-isolated and practically infeasible to extract even with OS-level compromise.</w:t>
            </w:r>
          </w:p>
        </w:tc>
      </w:tr>
      <w:tr>
        <w:tc>
          <w:tcPr>
            <w:tcW w:type="dxa" w:w="2400"/>
            <w:shd w:fill="FFFFFF" w:val="clear"/>
            <w:tcMar>
              <w:top w:type="dxa" w:w="100"/>
              <w:left w:type="dxa" w:w="140"/>
              <w:bottom w:type="dxa" w:w="100"/>
              <w:right w:type="dxa" w:w="140"/>
            </w:tcMar>
          </w:tcPr>
          <w:p>
            <w:r>
              <w:rPr>
                <w:sz w:val="19"/>
                <w:szCs w:val="19"/>
              </w:rPr>
              <w:t xml:space="preserve">Tier 2 — Platform-authenticated</w:t>
            </w:r>
          </w:p>
        </w:tc>
        <w:tc>
          <w:tcPr>
            <w:tcW w:type="dxa" w:w="4200"/>
            <w:shd w:fill="FFFFFF" w:val="clear"/>
            <w:tcMar>
              <w:top w:type="dxa" w:w="100"/>
              <w:left w:type="dxa" w:w="140"/>
              <w:bottom w:type="dxa" w:w="100"/>
              <w:right w:type="dxa" w:w="140"/>
            </w:tcMar>
          </w:tcPr>
          <w:p>
            <w:r>
              <w:rPr>
                <w:sz w:val="19"/>
                <w:szCs w:val="19"/>
              </w:rPr>
              <w:t xml:space="preserve">WebAuthn platform authenticator (browser), or Android Play Integrity without StrongBox (software-backed Keystore)</w:t>
            </w:r>
          </w:p>
        </w:tc>
        <w:tc>
          <w:tcPr>
            <w:tcW w:type="dxa" w:w="3200"/>
            <w:shd w:fill="FFFFFF" w:val="clear"/>
            <w:tcMar>
              <w:top w:type="dxa" w:w="100"/>
              <w:left w:type="dxa" w:w="140"/>
              <w:bottom w:type="dxa" w:w="100"/>
              <w:right w:type="dxa" w:w="140"/>
            </w:tcMar>
          </w:tcPr>
          <w:p>
            <w:r>
              <w:rPr>
                <w:sz w:val="19"/>
                <w:szCs w:val="19"/>
              </w:rPr>
              <w:t xml:space="preserve">Moderate — still a real, standards-based or OS-level assurance, but without the same hardware-isolation guarantee as Tier 1.</w:t>
            </w:r>
          </w:p>
        </w:tc>
      </w:tr>
      <w:tr>
        <w:tc>
          <w:tcPr>
            <w:tcW w:type="dxa" w:w="2400"/>
            <w:shd w:fill="F4F6F9" w:val="clear"/>
            <w:tcMar>
              <w:top w:type="dxa" w:w="100"/>
              <w:left w:type="dxa" w:w="140"/>
              <w:bottom w:type="dxa" w:w="100"/>
              <w:right w:type="dxa" w:w="140"/>
            </w:tcMar>
          </w:tcPr>
          <w:p>
            <w:r>
              <w:rPr>
                <w:sz w:val="19"/>
                <w:szCs w:val="19"/>
              </w:rPr>
              <w:t xml:space="preserve">Tier 3 — Software-only</w:t>
            </w:r>
          </w:p>
        </w:tc>
        <w:tc>
          <w:tcPr>
            <w:tcW w:type="dxa" w:w="4200"/>
            <w:shd w:fill="F4F6F9" w:val="clear"/>
            <w:tcMar>
              <w:top w:type="dxa" w:w="100"/>
              <w:left w:type="dxa" w:w="140"/>
              <w:bottom w:type="dxa" w:w="100"/>
              <w:right w:type="dxa" w:w="140"/>
            </w:tcMar>
          </w:tcPr>
          <w:p>
            <w:r>
              <w:rPr>
                <w:sz w:val="19"/>
                <w:szCs w:val="19"/>
              </w:rPr>
              <w:t xml:space="preserve">Device fingerprint plus behavioral signals from the existing Device Trust Service, with no hardware or platform-authenticator backing available</w:t>
            </w:r>
          </w:p>
        </w:tc>
        <w:tc>
          <w:tcPr>
            <w:tcW w:type="dxa" w:w="3200"/>
            <w:shd w:fill="F4F6F9" w:val="clear"/>
            <w:tcMar>
              <w:top w:type="dxa" w:w="100"/>
              <w:left w:type="dxa" w:w="140"/>
              <w:bottom w:type="dxa" w:w="100"/>
              <w:right w:type="dxa" w:w="140"/>
            </w:tcMar>
          </w:tcPr>
          <w:p>
            <w:r>
              <w:rPr>
                <w:sz w:val="19"/>
                <w:szCs w:val="19"/>
              </w:rPr>
              <w:t xml:space="preserve">Lowest — used only when neither Tier 1 nor Tier 2 is available on the device (e.g. an older browser or device), still real and still useful as an input to the Policy Evaluation Engine, but explicitly disclosed as weaker in the token's explanation payload.</w:t>
            </w:r>
          </w:p>
        </w:tc>
      </w:tr>
    </w:tbl>
    <w:p>
      <w:pPr>
        <w:spacing w:after="260" w:before="80"/>
      </w:pPr>
      <w:r>
        <w:rPr>
          <w:i/>
          <w:iCs/>
          <w:color w:val="6B7280"/>
          <w:sz w:val="18"/>
          <w:szCs w:val="18"/>
        </w:rPr>
        <w:t xml:space="preserve">Table 8.1 — Trusted Device Token trust tiers. Every token discloses its tier explicitly; no tier is ever presented as equivalent to another, consistent with the constitution's explainability-first principle and the 'never claim what can't be substantiated' non-negotiable.</w:t>
      </w:r>
    </w:p>
    <w:p>
      <w:pPr>
        <w:pStyle w:val="Heading2"/>
        <w:spacing w:after="180" w:before="360"/>
      </w:pPr>
      <w:r>
        <w:rPr>
          <w:b/>
          <w:bCs/>
          <w:color w:val="2E5EAA"/>
          <w:sz w:val="26"/>
          <w:szCs w:val="26"/>
        </w:rPr>
        <w:t xml:space="preserve">8.2 Token issuance flow</w:t>
      </w:r>
    </w:p>
    <w:p>
      <w:pPr>
        <w:pBdr>
          <w:top w:val="single" w:color="D0D5DD" w:sz="4"/>
          <w:bottom w:val="single" w:color="D0D5DD" w:sz="4"/>
          <w:left w:val="single" w:color="D0D5DD" w:sz="4"/>
          <w:right w:val="single" w:color="D0D5DD" w:sz="4"/>
        </w:pBdr>
        <w:shd w:fill="F0F2F5" w:val="clear"/>
        <w:spacing w:after="220" w:before="120"/>
      </w:pPr>
      <w:r>
        <w:rPr>
          <w:rFonts w:ascii="Consolas" w:cs="Consolas" w:eastAsia="Consolas" w:hAnsi="Consolas"/>
          <w:color w:val="1A2B4C"/>
          <w:sz w:val="18"/>
          <w:szCs w:val="18"/>
        </w:rPr>
        <w:t xml:space="preserve">SDK                    Device OS/Browser API          Cryptographic Service</w:t>
      </w:r>
      <w:r>
        <w:rPr>
          <w:rFonts w:ascii="Consolas" w:cs="Consolas" w:eastAsia="Consolas" w:hAnsi="Consolas"/>
          <w:color w:val="1A2B4C"/>
          <w:sz w:val="18"/>
          <w:szCs w:val="18"/>
        </w:rPr>
        <w:br/>
        <w:t xml:space="preserve"> │                              │                              │</w:t>
      </w:r>
      <w:r>
        <w:rPr>
          <w:rFonts w:ascii="Consolas" w:cs="Consolas" w:eastAsia="Consolas" w:hAnsi="Consolas"/>
          <w:color w:val="1A2B4C"/>
          <w:sz w:val="18"/>
          <w:szCs w:val="18"/>
        </w:rPr>
        <w:br/>
        <w:t xml:space="preserve"> │─request attestation           │                              │</w:t>
      </w:r>
      <w:r>
        <w:rPr>
          <w:rFonts w:ascii="Consolas" w:cs="Consolas" w:eastAsia="Consolas" w:hAnsi="Consolas"/>
          <w:color w:val="1A2B4C"/>
          <w:sz w:val="18"/>
          <w:szCs w:val="18"/>
        </w:rPr>
        <w:br/>
        <w:t xml:space="preserve"> │  (App Attest / Play           │                              │</w:t>
      </w:r>
      <w:r>
        <w:rPr>
          <w:rFonts w:ascii="Consolas" w:cs="Consolas" w:eastAsia="Consolas" w:hAnsi="Consolas"/>
          <w:color w:val="1A2B4C"/>
          <w:sz w:val="18"/>
          <w:szCs w:val="18"/>
        </w:rPr>
        <w:br/>
        <w:t xml:space="preserve"> │  Integrity / WebAuthn)──────────►│                              │</w:t>
      </w:r>
      <w:r>
        <w:rPr>
          <w:rFonts w:ascii="Consolas" w:cs="Consolas" w:eastAsia="Consolas" w:hAnsi="Consolas"/>
          <w:color w:val="1A2B4C"/>
          <w:sz w:val="18"/>
          <w:szCs w:val="18"/>
        </w:rPr>
        <w:br/>
        <w:t xml:space="preserve"> │◄─hardware/platform              │                              │</w:t>
      </w:r>
      <w:r>
        <w:rPr>
          <w:rFonts w:ascii="Consolas" w:cs="Consolas" w:eastAsia="Consolas" w:hAnsi="Consolas"/>
          <w:color w:val="1A2B4C"/>
          <w:sz w:val="18"/>
          <w:szCs w:val="18"/>
        </w:rPr>
        <w:br/>
        <w:t xml:space="preserve"> │  attestation result──────────────│                              │</w:t>
      </w:r>
      <w:r>
        <w:rPr>
          <w:rFonts w:ascii="Consolas" w:cs="Consolas" w:eastAsia="Consolas" w:hAnsi="Consolas"/>
          <w:color w:val="1A2B4C"/>
          <w:sz w:val="18"/>
          <w:szCs w:val="18"/>
        </w:rPr>
        <w:br/>
        <w:t xml:space="preserve"> │                              │                              │</w:t>
      </w:r>
      <w:r>
        <w:rPr>
          <w:rFonts w:ascii="Consolas" w:cs="Consolas" w:eastAsia="Consolas" w:hAnsi="Consolas"/>
          <w:color w:val="1A2B4C"/>
          <w:sz w:val="18"/>
          <w:szCs w:val="18"/>
        </w:rPr>
        <w:br/>
        <w:t xml:space="preserve"> │─submit attestation result +                                  │</w:t>
      </w:r>
      <w:r>
        <w:rPr>
          <w:rFonts w:ascii="Consolas" w:cs="Consolas" w:eastAsia="Consolas" w:hAnsi="Consolas"/>
          <w:color w:val="1A2B4C"/>
          <w:sz w:val="18"/>
          <w:szCs w:val="18"/>
        </w:rPr>
        <w:br/>
        <w:t xml:space="preserve"> │  successful verification session ─────────────────────────────►│</w:t>
      </w:r>
      <w:r>
        <w:rPr>
          <w:rFonts w:ascii="Consolas" w:cs="Consolas" w:eastAsia="Consolas" w:hAnsi="Consolas"/>
          <w:color w:val="1A2B4C"/>
          <w:sz w:val="18"/>
          <w:szCs w:val="18"/>
        </w:rPr>
        <w:br/>
        <w:t xml:space="preserve"> │                              │                              │─validate attestation</w:t>
      </w:r>
      <w:r>
        <w:rPr>
          <w:rFonts w:ascii="Consolas" w:cs="Consolas" w:eastAsia="Consolas" w:hAnsi="Consolas"/>
          <w:color w:val="1A2B4C"/>
          <w:sz w:val="18"/>
          <w:szCs w:val="18"/>
        </w:rPr>
        <w:br/>
        <w:t xml:space="preserve"> │                              │                              │  against the</w:t>
      </w:r>
      <w:r>
        <w:rPr>
          <w:rFonts w:ascii="Consolas" w:cs="Consolas" w:eastAsia="Consolas" w:hAnsi="Consolas"/>
          <w:color w:val="1A2B4C"/>
          <w:sz w:val="18"/>
          <w:szCs w:val="18"/>
        </w:rPr>
        <w:br/>
        <w:t xml:space="preserve"> │                              │                              │  appropriate OS/</w:t>
      </w:r>
      <w:r>
        <w:rPr>
          <w:rFonts w:ascii="Consolas" w:cs="Consolas" w:eastAsia="Consolas" w:hAnsi="Consolas"/>
          <w:color w:val="1A2B4C"/>
          <w:sz w:val="18"/>
          <w:szCs w:val="18"/>
        </w:rPr>
        <w:br/>
        <w:t xml:space="preserve"> │                              │                              │  browser vendor's</w:t>
      </w:r>
      <w:r>
        <w:rPr>
          <w:rFonts w:ascii="Consolas" w:cs="Consolas" w:eastAsia="Consolas" w:hAnsi="Consolas"/>
          <w:color w:val="1A2B4C"/>
          <w:sz w:val="18"/>
          <w:szCs w:val="18"/>
        </w:rPr>
        <w:br/>
        <w:t xml:space="preserve"> │                              │                              │  public root</w:t>
      </w:r>
      <w:r>
        <w:rPr>
          <w:rFonts w:ascii="Consolas" w:cs="Consolas" w:eastAsia="Consolas" w:hAnsi="Consolas"/>
          <w:color w:val="1A2B4C"/>
          <w:sz w:val="18"/>
          <w:szCs w:val="18"/>
        </w:rPr>
        <w:br/>
        <w:t xml:space="preserve"> │                              │                              │─determine trust tier</w:t>
      </w:r>
      <w:r>
        <w:rPr>
          <w:rFonts w:ascii="Consolas" w:cs="Consolas" w:eastAsia="Consolas" w:hAnsi="Consolas"/>
          <w:color w:val="1A2B4C"/>
          <w:sz w:val="18"/>
          <w:szCs w:val="18"/>
        </w:rPr>
        <w:br/>
        <w:t xml:space="preserve"> │                              │                              │  (Table 8.1)</w:t>
      </w:r>
      <w:r>
        <w:rPr>
          <w:rFonts w:ascii="Consolas" w:cs="Consolas" w:eastAsia="Consolas" w:hAnsi="Consolas"/>
          <w:color w:val="1A2B4C"/>
          <w:sz w:val="18"/>
          <w:szCs w:val="18"/>
        </w:rPr>
        <w:br/>
        <w:t xml:space="preserve"> │                              │                              │─issue Trusted Device</w:t>
      </w:r>
      <w:r>
        <w:rPr>
          <w:rFonts w:ascii="Consolas" w:cs="Consolas" w:eastAsia="Consolas" w:hAnsi="Consolas"/>
          <w:color w:val="1A2B4C"/>
          <w:sz w:val="18"/>
          <w:szCs w:val="18"/>
        </w:rPr>
        <w:br/>
        <w:t xml:space="preserve"> │                              │                              │  Token, scoped to</w:t>
      </w:r>
      <w:r>
        <w:rPr>
          <w:rFonts w:ascii="Consolas" w:cs="Consolas" w:eastAsia="Consolas" w:hAnsi="Consolas"/>
          <w:color w:val="1A2B4C"/>
          <w:sz w:val="18"/>
          <w:szCs w:val="18"/>
        </w:rPr>
        <w:br/>
        <w:t xml:space="preserve"> │                              │                              │  (device, platform)</w:t>
      </w:r>
      <w:r>
        <w:rPr>
          <w:rFonts w:ascii="Consolas" w:cs="Consolas" w:eastAsia="Consolas" w:hAnsi="Consolas"/>
          <w:color w:val="1A2B4C"/>
          <w:sz w:val="18"/>
          <w:szCs w:val="18"/>
        </w:rPr>
        <w:br/>
        <w:t xml:space="preserve"> │◄─Trusted Device Token + tier────────────────────────────────│</w:t>
      </w:r>
    </w:p>
    <w:p>
      <w:pPr>
        <w:spacing w:after="260" w:before="80"/>
      </w:pPr>
      <w:r>
        <w:rPr>
          <w:i/>
          <w:iCs/>
          <w:color w:val="6B7280"/>
          <w:sz w:val="18"/>
          <w:szCs w:val="18"/>
        </w:rPr>
        <w:t xml:space="preserve">Figure 8.1 — Trusted Device Token issuance flow.</w:t>
      </w:r>
    </w:p>
    <w:p>
      <w:pPr>
        <w:pStyle w:val="Heading2"/>
        <w:spacing w:after="180" w:before="360"/>
      </w:pPr>
      <w:r>
        <w:rPr>
          <w:b/>
          <w:bCs/>
          <w:color w:val="2E5EAA"/>
          <w:sz w:val="26"/>
          <w:szCs w:val="26"/>
        </w:rPr>
        <w:t xml:space="preserve">8.3 Platform scoping (implementing FR-D.3 as a hard architectural constraint)</w:t>
      </w:r>
    </w:p>
    <w:p>
      <w:pPr>
        <w:spacing w:after="200" w:line="300"/>
        <w:jc w:val="both"/>
      </w:pPr>
      <w:r>
        <w:rPr>
          <w:sz w:val="21"/>
          <w:szCs w:val="21"/>
        </w:rPr>
        <w:t xml:space="preserve">Every Trusted Device Token is generated with a scope binding to the specific integrating platform's identifier, cryptographically bound into the token itself (not merely recorded as accompanying metadata that a careless implementation could disregard) — a token issued within Platform A's SDK context cannot be validated successfully in a request originating from Platform B's context, because the scope binding is part of what the Cryptographic Service's validation check actually verifies, not an optional filter applied afterward. A cross-platform linking capability, if ever built per the Vision Document's long-term cross-platform trust portability ambition (Document 1, Section 4.3), would require a distinct, separately consented mechanism layered on top of this default — never a relaxation of this default.</w:t>
      </w:r>
    </w:p>
    <w:p>
      <w:pPr>
        <w:pStyle w:val="Heading2"/>
        <w:spacing w:after="180" w:before="360"/>
      </w:pPr>
      <w:r>
        <w:rPr>
          <w:b/>
          <w:bCs/>
          <w:color w:val="2E5EAA"/>
          <w:sz w:val="26"/>
          <w:szCs w:val="26"/>
        </w:rPr>
        <w:t xml:space="preserve">8.4 Revocation</w:t>
      </w:r>
    </w:p>
    <w:p>
      <w:pPr>
        <w:spacing w:after="200" w:line="300"/>
        <w:jc w:val="both"/>
      </w:pPr>
      <w:r>
        <w:rPr>
          <w:sz w:val="21"/>
          <w:szCs w:val="21"/>
        </w:rPr>
        <w:t xml:space="preserve">Revocation (FR-D.4) invalidates a token immediately at the Cryptographic Service's validation check — there is no cached, offline validation path that could serve a stale, already-revoked token as valid, mirroring the same immediate-effect design already established for API key and attestation revocation in the Security Architecture (Document 9, Section 7.3, to be revised for consistency with this section).</w:t>
      </w:r>
    </w:p>
    <w:p>
      <w:pPr>
        <w:pStyle w:val="Heading2"/>
        <w:spacing w:after="180" w:before="360"/>
      </w:pPr>
      <w:r>
        <w:rPr>
          <w:b/>
          <w:bCs/>
          <w:color w:val="2E5EAA"/>
          <w:sz w:val="26"/>
          <w:szCs w:val="26"/>
        </w:rPr>
        <w:t xml:space="preserve">8.5 Device-switch detection (FR-D.6)</w:t>
      </w:r>
    </w:p>
    <w:p>
      <w:pPr>
        <w:spacing w:after="200" w:line="300"/>
        <w:jc w:val="both"/>
      </w:pPr>
      <w:r>
        <w:rPr>
          <w:sz w:val="21"/>
          <w:szCs w:val="21"/>
        </w:rPr>
        <w:t xml:space="preserve">When an account previously associated with a Trusted Device Token attempts a session from a different, non-trusted device, the Backend API Service surfaces this as a distinct signal — device_switch_detected — separate from a failed liveness or synthetic-media check, since it indicates a different risk pattern (possible account compromise or legitimate device replacement) requiring a different response than a failed biometric check would. The Policy Evaluation Engine (Version 1.0, Section 3.3, extended) treats this as a configurable input a partner platform can route to full re-verification, a step-up challenge, or a trust &amp; safety alert, per their own risk tolerance.</w:t>
      </w:r>
    </w:p>
    <w:p>
      <w:pPr>
        <w:pStyle w:val="Heading1"/>
        <w:pageBreakBefore/>
        <w:spacing w:after="240" w:before="480"/>
      </w:pPr>
      <w:r>
        <w:rPr>
          <w:b/>
          <w:bCs/>
          <w:color w:val="1A2B4C"/>
          <w:sz w:val="32"/>
          <w:szCs w:val="32"/>
        </w:rPr>
        <w:t xml:space="preserve">9. Security (Revised Additions)</w:t>
      </w:r>
    </w:p>
    <w:p>
      <w:pPr>
        <w:spacing w:after="200" w:line="300"/>
        <w:jc w:val="both"/>
      </w:pPr>
      <w:r>
        <w:rPr>
          <w:sz w:val="21"/>
          <w:szCs w:val="21"/>
        </w:rPr>
        <w:t xml:space="preserve">The base security controls from Version 1.0 (encryption in transit/at rest, secrets management, RBAC, audit logging, rate limiting, OWASP alignment) are unchanged and not repeated here. This section covers only the additions the edge-inference architecture and Trusted Device Layer require.</w:t>
      </w:r>
    </w:p>
    <w:p>
      <w:pPr>
        <w:pStyle w:val="Heading2"/>
        <w:spacing w:after="180" w:before="360"/>
      </w:pPr>
      <w:r>
        <w:rPr>
          <w:b/>
          <w:bCs/>
          <w:color w:val="2E5EAA"/>
          <w:sz w:val="26"/>
          <w:szCs w:val="26"/>
        </w:rPr>
        <w:t xml:space="preserve">9.1 New threat: the untrusted client</w:t>
      </w:r>
    </w:p>
    <w:p>
      <w:pPr>
        <w:spacing w:after="200" w:line="300"/>
        <w:jc w:val="both"/>
      </w:pPr>
      <w:r>
        <w:rPr>
          <w:sz w:val="21"/>
          <w:szCs w:val="21"/>
        </w:rPr>
        <w:t xml:space="preserve">Version 1.0's threat model assumed all inference happened within Certivo's own infrastructure boundary. Section 2.5 already introduced the core mitigation strategy (signed score packets, tiered trust weighting, anomaly detection); this section extends the formal threat model to include it explicitly: a partner platform's call client — and therefore the device running the Certivo SDK — is not a fully trusted execution environment, and every packet arriving at the Backend API Service from an SDK instance is treated with the same signature-validation rigor as an external API request, not implicitly trusted because it came from 'our own SDK.'</w:t>
      </w:r>
    </w:p>
    <w:p>
      <w:pPr>
        <w:pStyle w:val="Heading2"/>
        <w:spacing w:after="180" w:before="360"/>
      </w:pPr>
      <w:r>
        <w:rPr>
          <w:b/>
          <w:bCs/>
          <w:color w:val="2E5EAA"/>
          <w:sz w:val="26"/>
          <w:szCs w:val="26"/>
        </w:rPr>
        <w:t xml:space="preserve">9.2 SDK key provisioning</w:t>
      </w:r>
    </w:p>
    <w:p>
      <w:pPr>
        <w:spacing w:after="200" w:line="300"/>
        <w:jc w:val="both"/>
      </w:pPr>
      <w:r>
        <w:rPr>
          <w:sz w:val="21"/>
          <w:szCs w:val="21"/>
        </w:rPr>
        <w:t xml:space="preserve">Each SDK instance is provisioned with a device-specific signing keypair during initialization, with the private key held in the platform's best-available secure storage (Secure Enclave/Keystore where the trust tier, Section 8.1, supports it; software-protected storage otherwise) — never a single shared key embedded in the SDK binary across all installs, which would make forging a valid-looking signature as simple as extracting one key from any copy of the app.</w:t>
      </w:r>
    </w:p>
    <w:p>
      <w:pPr>
        <w:pStyle w:val="Heading2"/>
        <w:spacing w:after="180" w:before="360"/>
      </w:pPr>
      <w:r>
        <w:rPr>
          <w:b/>
          <w:bCs/>
          <w:color w:val="2E5EAA"/>
          <w:sz w:val="26"/>
          <w:szCs w:val="26"/>
        </w:rPr>
        <w:t xml:space="preserve">9.3 Hardware attestation as a security control, not only a Trusted Device Layer feature</w:t>
      </w:r>
    </w:p>
    <w:p>
      <w:pPr>
        <w:spacing w:after="200" w:line="300"/>
        <w:jc w:val="both"/>
      </w:pPr>
      <w:r>
        <w:rPr>
          <w:sz w:val="21"/>
          <w:szCs w:val="21"/>
        </w:rPr>
        <w:t xml:space="preserve">App Attest, Play Integrity, and WebAuthn (Section 3.2) serve a dual purpose: they back the Trusted Device Layer's trust tiers (Section 8.1) for partners who opt into persistent device trust, and independently, they strengthen the SDK key-provisioning step (Section 9.2) even for partners who don't use the Trusted Device Layer at all, since a hardware-backed key is harder to extract or clone regardless of whether a persistent token is ever issued from it.</w:t>
      </w:r>
    </w:p>
    <w:p>
      <w:pPr>
        <w:pStyle w:val="Heading2"/>
        <w:spacing w:after="180" w:before="360"/>
      </w:pPr>
      <w:r>
        <w:rPr>
          <w:b/>
          <w:bCs/>
          <w:color w:val="2E5EAA"/>
          <w:sz w:val="26"/>
          <w:szCs w:val="26"/>
        </w:rPr>
        <w:t xml:space="preserve">9.4 Anomaly detection for implausible score patterns</w:t>
      </w:r>
    </w:p>
    <w:p>
      <w:pPr>
        <w:spacing w:after="200" w:line="300"/>
        <w:jc w:val="both"/>
      </w:pPr>
      <w:r>
        <w:rPr>
          <w:sz w:val="21"/>
          <w:szCs w:val="21"/>
        </w:rPr>
        <w:t xml:space="preserve">Extending Version 1.0's rate-limiting/anomaly logic (Document 9, Section 6.4): the Backend API Service's Analytics Service flags statistically implausible continuous-verification patterns — persistent maximum confidence with zero natural variation across an entire call, confidence patterns inconsistent with the network jitter/packet-timing profile expected of a genuine device, or a device attempting an unusually high rate of sessions across different accounts — as security signals distinct from a normal low-confidence rejection, feeding the same incident-response process defined in Version 1.0 (Document 9, Section 9).</w:t>
      </w:r>
    </w:p>
    <w:p>
      <w:pPr>
        <w:pStyle w:val="Heading1"/>
        <w:pageBreakBefore/>
        <w:spacing w:after="240" w:before="480"/>
      </w:pPr>
      <w:r>
        <w:rPr>
          <w:b/>
          <w:bCs/>
          <w:color w:val="1A2B4C"/>
          <w:sz w:val="32"/>
          <w:szCs w:val="32"/>
        </w:rPr>
        <w:t xml:space="preserve">16. Data Models (Revised Additions)</w:t>
      </w:r>
    </w:p>
    <w:p>
      <w:pPr>
        <w:spacing w:after="200" w:line="300"/>
        <w:jc w:val="both"/>
      </w:pPr>
      <w:r>
        <w:rPr>
          <w:sz w:val="21"/>
          <w:szCs w:val="21"/>
        </w:rPr>
        <w:t xml:space="preserve">Extends the Version 1.0 data model (Document 4, Section 16) with the entities the continuous-verification and Trusted Device Layer architecture requires.</w:t>
      </w:r>
    </w:p>
    <w:p>
      <w:pPr>
        <w:pStyle w:val="Heading2"/>
        <w:spacing w:after="180" w:before="360"/>
      </w:pPr>
      <w:r>
        <w:rPr>
          <w:b/>
          <w:bCs/>
          <w:color w:val="2E5EAA"/>
          <w:sz w:val="26"/>
          <w:szCs w:val="26"/>
        </w:rPr>
        <w:t xml:space="preserve">16.1 New entity: trusted_device_tokens (Cryptographic Service)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600"/>
      </w:tblGrid>
      <w:tr>
        <w:trPr>
          <w:tblHeader/>
        </w:trPr>
        <w:tc>
          <w:tcPr>
            <w:tcW w:type="dxa" w:w="2600"/>
            <w:shd w:fill="1A2B4C" w:val="clear"/>
            <w:tcMar>
              <w:top w:type="dxa" w:w="100"/>
              <w:left w:type="dxa" w:w="140"/>
              <w:bottom w:type="dxa" w:w="100"/>
              <w:right w:type="dxa" w:w="140"/>
            </w:tcMar>
          </w:tcPr>
          <w:p>
            <w:r>
              <w:rPr>
                <w:b/>
                <w:bCs/>
                <w:color w:val="FFFFFF"/>
                <w:sz w:val="19"/>
                <w:szCs w:val="19"/>
              </w:rPr>
              <w:t xml:space="preserve">Column</w:t>
            </w:r>
          </w:p>
        </w:tc>
        <w:tc>
          <w:tcPr>
            <w:tcW w:type="dxa" w:w="3200"/>
            <w:shd w:fill="1A2B4C" w:val="clear"/>
            <w:tcMar>
              <w:top w:type="dxa" w:w="100"/>
              <w:left w:type="dxa" w:w="140"/>
              <w:bottom w:type="dxa" w:w="100"/>
              <w:right w:type="dxa" w:w="140"/>
            </w:tcMar>
          </w:tcPr>
          <w:p>
            <w:r>
              <w:rPr>
                <w:b/>
                <w:bCs/>
                <w:color w:val="FFFFFF"/>
                <w:sz w:val="19"/>
                <w:szCs w:val="19"/>
              </w:rPr>
              <w:t xml:space="preserve">Type</w:t>
            </w:r>
          </w:p>
        </w:tc>
        <w:tc>
          <w:tcPr>
            <w:tcW w:type="dxa" w:w="3600"/>
            <w:shd w:fill="1A2B4C" w:val="clear"/>
            <w:tcMar>
              <w:top w:type="dxa" w:w="100"/>
              <w:left w:type="dxa" w:w="140"/>
              <w:bottom w:type="dxa" w:w="100"/>
              <w:right w:type="dxa" w:w="140"/>
            </w:tcMar>
          </w:tcPr>
          <w:p>
            <w:r>
              <w:rPr>
                <w:b/>
                <w:bCs/>
                <w:color w:val="FFFFFF"/>
                <w:sz w:val="19"/>
                <w:szCs w:val="19"/>
              </w:rPr>
              <w:t xml:space="preserve">Notes</w:t>
            </w:r>
          </w:p>
        </w:tc>
      </w:tr>
      <w:tr>
        <w:tc>
          <w:tcPr>
            <w:tcW w:type="dxa" w:w="2600"/>
            <w:shd w:fill="F4F6F9" w:val="clear"/>
            <w:tcMar>
              <w:top w:type="dxa" w:w="100"/>
              <w:left w:type="dxa" w:w="140"/>
              <w:bottom w:type="dxa" w:w="100"/>
              <w:right w:type="dxa" w:w="140"/>
            </w:tcMar>
          </w:tcPr>
          <w:p>
            <w:r>
              <w:rPr>
                <w:sz w:val="19"/>
                <w:szCs w:val="19"/>
              </w:rPr>
              <w:t xml:space="preserve">id</w:t>
            </w:r>
          </w:p>
        </w:tc>
        <w:tc>
          <w:tcPr>
            <w:tcW w:type="dxa" w:w="3200"/>
            <w:shd w:fill="F4F6F9" w:val="clear"/>
            <w:tcMar>
              <w:top w:type="dxa" w:w="100"/>
              <w:left w:type="dxa" w:w="140"/>
              <w:bottom w:type="dxa" w:w="100"/>
              <w:right w:type="dxa" w:w="140"/>
            </w:tcMar>
          </w:tcPr>
          <w:p>
            <w:r>
              <w:rPr>
                <w:sz w:val="19"/>
                <w:szCs w:val="19"/>
              </w:rPr>
              <w:t xml:space="preserve">UUID, PK</w:t>
            </w:r>
          </w:p>
        </w:tc>
        <w:tc>
          <w:tcPr>
            <w:tcW w:type="dxa" w:w="3600"/>
            <w:shd w:fill="F4F6F9" w:val="clear"/>
            <w:tcMar>
              <w:top w:type="dxa" w:w="100"/>
              <w:left w:type="dxa" w:w="140"/>
              <w:bottom w:type="dxa" w:w="100"/>
              <w:right w:type="dxa" w:w="140"/>
            </w:tcMar>
          </w:tcPr>
          <w:p>
            <w:r>
              <w:rPr>
                <w:sz w:val="19"/>
                <w:szCs w:val="19"/>
              </w:rPr>
              <w:t xml:space="preserve"/>
            </w:r>
          </w:p>
        </w:tc>
      </w:tr>
      <w:tr>
        <w:tc>
          <w:tcPr>
            <w:tcW w:type="dxa" w:w="2600"/>
            <w:shd w:fill="FFFFFF" w:val="clear"/>
            <w:tcMar>
              <w:top w:type="dxa" w:w="100"/>
              <w:left w:type="dxa" w:w="140"/>
              <w:bottom w:type="dxa" w:w="100"/>
              <w:right w:type="dxa" w:w="140"/>
            </w:tcMar>
          </w:tcPr>
          <w:p>
            <w:r>
              <w:rPr>
                <w:sz w:val="19"/>
                <w:szCs w:val="19"/>
              </w:rPr>
              <w:t xml:space="preserve">device_public_key</w:t>
            </w:r>
          </w:p>
        </w:tc>
        <w:tc>
          <w:tcPr>
            <w:tcW w:type="dxa" w:w="3200"/>
            <w:shd w:fill="FFFFFF" w:val="clear"/>
            <w:tcMar>
              <w:top w:type="dxa" w:w="100"/>
              <w:left w:type="dxa" w:w="140"/>
              <w:bottom w:type="dxa" w:w="100"/>
              <w:right w:type="dxa" w:w="140"/>
            </w:tcMar>
          </w:tcPr>
          <w:p>
            <w:r>
              <w:rPr>
                <w:sz w:val="19"/>
                <w:szCs w:val="19"/>
              </w:rPr>
              <w:t xml:space="preserve">TEXT, NOT NULL</w:t>
            </w:r>
          </w:p>
        </w:tc>
        <w:tc>
          <w:tcPr>
            <w:tcW w:type="dxa" w:w="3600"/>
            <w:shd w:fill="FFFFFF" w:val="clear"/>
            <w:tcMar>
              <w:top w:type="dxa" w:w="100"/>
              <w:left w:type="dxa" w:w="140"/>
              <w:bottom w:type="dxa" w:w="100"/>
              <w:right w:type="dxa" w:w="140"/>
            </w:tcMar>
          </w:tcPr>
          <w:p>
            <w:r>
              <w:rPr>
                <w:sz w:val="19"/>
                <w:szCs w:val="19"/>
              </w:rPr>
              <w:t xml:space="preserve">Public half of the device-specific signing keypair (Section 9.2)</w:t>
            </w:r>
          </w:p>
        </w:tc>
      </w:tr>
      <w:tr>
        <w:tc>
          <w:tcPr>
            <w:tcW w:type="dxa" w:w="2600"/>
            <w:shd w:fill="F4F6F9" w:val="clear"/>
            <w:tcMar>
              <w:top w:type="dxa" w:w="100"/>
              <w:left w:type="dxa" w:w="140"/>
              <w:bottom w:type="dxa" w:w="100"/>
              <w:right w:type="dxa" w:w="140"/>
            </w:tcMar>
          </w:tcPr>
          <w:p>
            <w:r>
              <w:rPr>
                <w:sz w:val="19"/>
                <w:szCs w:val="19"/>
              </w:rPr>
              <w:t xml:space="preserve">platform_scope_id</w:t>
            </w:r>
          </w:p>
        </w:tc>
        <w:tc>
          <w:tcPr>
            <w:tcW w:type="dxa" w:w="3200"/>
            <w:shd w:fill="F4F6F9" w:val="clear"/>
            <w:tcMar>
              <w:top w:type="dxa" w:w="100"/>
              <w:left w:type="dxa" w:w="140"/>
              <w:bottom w:type="dxa" w:w="100"/>
              <w:right w:type="dxa" w:w="140"/>
            </w:tcMar>
          </w:tcPr>
          <w:p>
            <w:r>
              <w:rPr>
                <w:sz w:val="19"/>
                <w:szCs w:val="19"/>
              </w:rPr>
              <w:t xml:space="preserve">TEXT, NOT NULL</w:t>
            </w:r>
          </w:p>
        </w:tc>
        <w:tc>
          <w:tcPr>
            <w:tcW w:type="dxa" w:w="3600"/>
            <w:shd w:fill="F4F6F9" w:val="clear"/>
            <w:tcMar>
              <w:top w:type="dxa" w:w="100"/>
              <w:left w:type="dxa" w:w="140"/>
              <w:bottom w:type="dxa" w:w="100"/>
              <w:right w:type="dxa" w:w="140"/>
            </w:tcMar>
          </w:tcPr>
          <w:p>
            <w:r>
              <w:rPr>
                <w:sz w:val="19"/>
                <w:szCs w:val="19"/>
              </w:rPr>
              <w:t xml:space="preserve">The integrating platform this token is bound to (Section 8.3) — part of the cryptographically bound scope, not just a filter column</w:t>
            </w:r>
          </w:p>
        </w:tc>
      </w:tr>
      <w:tr>
        <w:tc>
          <w:tcPr>
            <w:tcW w:type="dxa" w:w="2600"/>
            <w:shd w:fill="FFFFFF" w:val="clear"/>
            <w:tcMar>
              <w:top w:type="dxa" w:w="100"/>
              <w:left w:type="dxa" w:w="140"/>
              <w:bottom w:type="dxa" w:w="100"/>
              <w:right w:type="dxa" w:w="140"/>
            </w:tcMar>
          </w:tcPr>
          <w:p>
            <w:r>
              <w:rPr>
                <w:sz w:val="19"/>
                <w:szCs w:val="19"/>
              </w:rPr>
              <w:t xml:space="preserve">trust_tier</w:t>
            </w:r>
          </w:p>
        </w:tc>
        <w:tc>
          <w:tcPr>
            <w:tcW w:type="dxa" w:w="3200"/>
            <w:shd w:fill="FFFFFF" w:val="clear"/>
            <w:tcMar>
              <w:top w:type="dxa" w:w="100"/>
              <w:left w:type="dxa" w:w="140"/>
              <w:bottom w:type="dxa" w:w="100"/>
              <w:right w:type="dxa" w:w="140"/>
            </w:tcMar>
          </w:tcPr>
          <w:p>
            <w:r>
              <w:rPr>
                <w:sz w:val="19"/>
                <w:szCs w:val="19"/>
              </w:rPr>
              <w:t xml:space="preserve">ENUM(hardware_attested, platform_authenticated, software_only)</w:t>
            </w:r>
          </w:p>
        </w:tc>
        <w:tc>
          <w:tcPr>
            <w:tcW w:type="dxa" w:w="3600"/>
            <w:shd w:fill="FFFFFF" w:val="clear"/>
            <w:tcMar>
              <w:top w:type="dxa" w:w="100"/>
              <w:left w:type="dxa" w:w="140"/>
              <w:bottom w:type="dxa" w:w="100"/>
              <w:right w:type="dxa" w:w="140"/>
            </w:tcMar>
          </w:tcPr>
          <w:p>
            <w:r>
              <w:rPr>
                <w:sz w:val="19"/>
                <w:szCs w:val="19"/>
              </w:rPr>
              <w:t xml:space="preserve">Per Table 8.1</w:t>
            </w:r>
          </w:p>
        </w:tc>
      </w:tr>
      <w:tr>
        <w:tc>
          <w:tcPr>
            <w:tcW w:type="dxa" w:w="2600"/>
            <w:shd w:fill="F4F6F9" w:val="clear"/>
            <w:tcMar>
              <w:top w:type="dxa" w:w="100"/>
              <w:left w:type="dxa" w:w="140"/>
              <w:bottom w:type="dxa" w:w="100"/>
              <w:right w:type="dxa" w:w="140"/>
            </w:tcMar>
          </w:tcPr>
          <w:p>
            <w:r>
              <w:rPr>
                <w:sz w:val="19"/>
                <w:szCs w:val="19"/>
              </w:rPr>
              <w:t xml:space="preserve">attestation_reference</w:t>
            </w:r>
          </w:p>
        </w:tc>
        <w:tc>
          <w:tcPr>
            <w:tcW w:type="dxa" w:w="3200"/>
            <w:shd w:fill="F4F6F9" w:val="clear"/>
            <w:tcMar>
              <w:top w:type="dxa" w:w="100"/>
              <w:left w:type="dxa" w:w="140"/>
              <w:bottom w:type="dxa" w:w="100"/>
              <w:right w:type="dxa" w:w="140"/>
            </w:tcMar>
          </w:tcPr>
          <w:p>
            <w:r>
              <w:rPr>
                <w:sz w:val="19"/>
                <w:szCs w:val="19"/>
              </w:rPr>
              <w:t xml:space="preserve">TEXT, NULLABLE</w:t>
            </w:r>
          </w:p>
        </w:tc>
        <w:tc>
          <w:tcPr>
            <w:tcW w:type="dxa" w:w="3600"/>
            <w:shd w:fill="F4F6F9" w:val="clear"/>
            <w:tcMar>
              <w:top w:type="dxa" w:w="100"/>
              <w:left w:type="dxa" w:w="140"/>
              <w:bottom w:type="dxa" w:w="100"/>
              <w:right w:type="dxa" w:w="140"/>
            </w:tcMar>
          </w:tcPr>
          <w:p>
            <w:r>
              <w:rPr>
                <w:sz w:val="19"/>
                <w:szCs w:val="19"/>
              </w:rPr>
              <w:t xml:space="preserve">Reference to the underlying App Attest / Play Integrity / WebAuthn attestation result, for audit purposes</w:t>
            </w:r>
          </w:p>
        </w:tc>
      </w:tr>
      <w:tr>
        <w:tc>
          <w:tcPr>
            <w:tcW w:type="dxa" w:w="2600"/>
            <w:shd w:fill="FFFFFF" w:val="clear"/>
            <w:tcMar>
              <w:top w:type="dxa" w:w="100"/>
              <w:left w:type="dxa" w:w="140"/>
              <w:bottom w:type="dxa" w:w="100"/>
              <w:right w:type="dxa" w:w="140"/>
            </w:tcMar>
          </w:tcPr>
          <w:p>
            <w:r>
              <w:rPr>
                <w:sz w:val="19"/>
                <w:szCs w:val="19"/>
              </w:rPr>
              <w:t xml:space="preserve">issued_at</w:t>
            </w:r>
          </w:p>
        </w:tc>
        <w:tc>
          <w:tcPr>
            <w:tcW w:type="dxa" w:w="3200"/>
            <w:shd w:fill="FFFFFF" w:val="clear"/>
            <w:tcMar>
              <w:top w:type="dxa" w:w="100"/>
              <w:left w:type="dxa" w:w="140"/>
              <w:bottom w:type="dxa" w:w="100"/>
              <w:right w:type="dxa" w:w="140"/>
            </w:tcMar>
          </w:tcPr>
          <w:p>
            <w:r>
              <w:rPr>
                <w:sz w:val="19"/>
                <w:szCs w:val="19"/>
              </w:rPr>
              <w:t xml:space="preserve">TIMESTAMPTZ, NOT NULL</w:t>
            </w:r>
          </w:p>
        </w:tc>
        <w:tc>
          <w:tcPr>
            <w:tcW w:type="dxa" w:w="3600"/>
            <w:shd w:fill="FFFFFF" w:val="clear"/>
            <w:tcMar>
              <w:top w:type="dxa" w:w="100"/>
              <w:left w:type="dxa" w:w="140"/>
              <w:bottom w:type="dxa" w:w="100"/>
              <w:right w:type="dxa" w:w="140"/>
            </w:tcMar>
          </w:tcPr>
          <w:p>
            <w:r>
              <w:rPr>
                <w:sz w:val="19"/>
                <w:szCs w:val="19"/>
              </w:rPr>
              <w:t xml:space="preserve"/>
            </w:r>
          </w:p>
        </w:tc>
      </w:tr>
      <w:tr>
        <w:tc>
          <w:tcPr>
            <w:tcW w:type="dxa" w:w="2600"/>
            <w:shd w:fill="F4F6F9" w:val="clear"/>
            <w:tcMar>
              <w:top w:type="dxa" w:w="100"/>
              <w:left w:type="dxa" w:w="140"/>
              <w:bottom w:type="dxa" w:w="100"/>
              <w:right w:type="dxa" w:w="140"/>
            </w:tcMar>
          </w:tcPr>
          <w:p>
            <w:r>
              <w:rPr>
                <w:sz w:val="19"/>
                <w:szCs w:val="19"/>
              </w:rPr>
              <w:t xml:space="preserve">expires_at</w:t>
            </w:r>
          </w:p>
        </w:tc>
        <w:tc>
          <w:tcPr>
            <w:tcW w:type="dxa" w:w="3200"/>
            <w:shd w:fill="F4F6F9" w:val="clear"/>
            <w:tcMar>
              <w:top w:type="dxa" w:w="100"/>
              <w:left w:type="dxa" w:w="140"/>
              <w:bottom w:type="dxa" w:w="100"/>
              <w:right w:type="dxa" w:w="140"/>
            </w:tcMar>
          </w:tcPr>
          <w:p>
            <w:r>
              <w:rPr>
                <w:sz w:val="19"/>
                <w:szCs w:val="19"/>
              </w:rPr>
              <w:t xml:space="preserve">TIMESTAMPTZ, NOT NULL</w:t>
            </w:r>
          </w:p>
        </w:tc>
        <w:tc>
          <w:tcPr>
            <w:tcW w:type="dxa" w:w="3600"/>
            <w:shd w:fill="F4F6F9" w:val="clear"/>
            <w:tcMar>
              <w:top w:type="dxa" w:w="100"/>
              <w:left w:type="dxa" w:w="140"/>
              <w:bottom w:type="dxa" w:w="100"/>
              <w:right w:type="dxa" w:w="140"/>
            </w:tcMar>
          </w:tcPr>
          <w:p>
            <w:r>
              <w:rPr>
                <w:sz w:val="19"/>
                <w:szCs w:val="19"/>
              </w:rPr>
              <w:t xml:space="preserve">Per FR-D.5 — never nullable/permanent</w:t>
            </w:r>
          </w:p>
        </w:tc>
      </w:tr>
      <w:tr>
        <w:tc>
          <w:tcPr>
            <w:tcW w:type="dxa" w:w="2600"/>
            <w:shd w:fill="FFFFFF" w:val="clear"/>
            <w:tcMar>
              <w:top w:type="dxa" w:w="100"/>
              <w:left w:type="dxa" w:w="140"/>
              <w:bottom w:type="dxa" w:w="100"/>
              <w:right w:type="dxa" w:w="140"/>
            </w:tcMar>
          </w:tcPr>
          <w:p>
            <w:r>
              <w:rPr>
                <w:sz w:val="19"/>
                <w:szCs w:val="19"/>
              </w:rPr>
              <w:t xml:space="preserve">revoked_at</w:t>
            </w:r>
          </w:p>
        </w:tc>
        <w:tc>
          <w:tcPr>
            <w:tcW w:type="dxa" w:w="3200"/>
            <w:shd w:fill="FFFFFF" w:val="clear"/>
            <w:tcMar>
              <w:top w:type="dxa" w:w="100"/>
              <w:left w:type="dxa" w:w="140"/>
              <w:bottom w:type="dxa" w:w="100"/>
              <w:right w:type="dxa" w:w="140"/>
            </w:tcMar>
          </w:tcPr>
          <w:p>
            <w:r>
              <w:rPr>
                <w:sz w:val="19"/>
                <w:szCs w:val="19"/>
              </w:rPr>
              <w:t xml:space="preserve">TIMESTAMPTZ, NULLABLE</w:t>
            </w:r>
          </w:p>
        </w:tc>
        <w:tc>
          <w:tcPr>
            <w:tcW w:type="dxa" w:w="3600"/>
            <w:shd w:fill="FFFFFF" w:val="clear"/>
            <w:tcMar>
              <w:top w:type="dxa" w:w="100"/>
              <w:left w:type="dxa" w:w="140"/>
              <w:bottom w:type="dxa" w:w="100"/>
              <w:right w:type="dxa" w:w="140"/>
            </w:tcMar>
          </w:tcPr>
          <w:p>
            <w:r>
              <w:rPr>
                <w:sz w:val="19"/>
                <w:szCs w:val="19"/>
              </w:rPr>
              <w:t xml:space="preserve"/>
            </w:r>
          </w:p>
        </w:tc>
      </w:tr>
      <w:tr>
        <w:tc>
          <w:tcPr>
            <w:tcW w:type="dxa" w:w="2600"/>
            <w:shd w:fill="F4F6F9" w:val="clear"/>
            <w:tcMar>
              <w:top w:type="dxa" w:w="100"/>
              <w:left w:type="dxa" w:w="140"/>
              <w:bottom w:type="dxa" w:w="100"/>
              <w:right w:type="dxa" w:w="140"/>
            </w:tcMar>
          </w:tcPr>
          <w:p>
            <w:r>
              <w:rPr>
                <w:sz w:val="19"/>
                <w:szCs w:val="19"/>
              </w:rPr>
              <w:t xml:space="preserve">revocation_reason</w:t>
            </w:r>
          </w:p>
        </w:tc>
        <w:tc>
          <w:tcPr>
            <w:tcW w:type="dxa" w:w="3200"/>
            <w:shd w:fill="F4F6F9" w:val="clear"/>
            <w:tcMar>
              <w:top w:type="dxa" w:w="100"/>
              <w:left w:type="dxa" w:w="140"/>
              <w:bottom w:type="dxa" w:w="100"/>
              <w:right w:type="dxa" w:w="140"/>
            </w:tcMar>
          </w:tcPr>
          <w:p>
            <w:r>
              <w:rPr>
                <w:sz w:val="19"/>
                <w:szCs w:val="19"/>
              </w:rPr>
              <w:t xml:space="preserve">TEXT, NULLABLE</w:t>
            </w:r>
          </w:p>
        </w:tc>
        <w:tc>
          <w:tcPr>
            <w:tcW w:type="dxa" w:w="3600"/>
            <w:shd w:fill="F4F6F9" w:val="clear"/>
            <w:tcMar>
              <w:top w:type="dxa" w:w="100"/>
              <w:left w:type="dxa" w:w="140"/>
              <w:bottom w:type="dxa" w:w="100"/>
              <w:right w:type="dxa" w:w="140"/>
            </w:tcMar>
          </w:tcPr>
          <w:p>
            <w:r>
              <w:rPr>
                <w:sz w:val="19"/>
                <w:szCs w:val="19"/>
              </w:rPr>
              <w:t xml:space="preserve">e.g. user_requested, platform_requested, suspected_compromise</w:t>
            </w:r>
          </w:p>
        </w:tc>
      </w:tr>
    </w:tbl>
    <w:p>
      <w:pPr>
        <w:spacing w:after="260" w:before="80"/>
      </w:pPr>
      <w:r>
        <w:rPr>
          <w:i/>
          <w:iCs/>
          <w:color w:val="6B7280"/>
          <w:sz w:val="18"/>
          <w:szCs w:val="18"/>
        </w:rPr>
        <w:t xml:space="preserve">Table 16.1 — trusted_device_tokens schema.</w:t>
      </w:r>
    </w:p>
    <w:p>
      <w:pPr>
        <w:pStyle w:val="Heading2"/>
        <w:spacing w:after="180" w:before="360"/>
      </w:pPr>
      <w:r>
        <w:rPr>
          <w:b/>
          <w:bCs/>
          <w:color w:val="2E5EAA"/>
          <w:sz w:val="26"/>
          <w:szCs w:val="26"/>
        </w:rPr>
        <w:t xml:space="preserve">16.2 Revised entity: verification_sessions (Backend API Service)</w:t>
      </w:r>
    </w:p>
    <w:p>
      <w:pPr>
        <w:spacing w:after="200" w:line="300"/>
        <w:jc w:val="both"/>
      </w:pPr>
      <w:r>
        <w:rPr>
          <w:sz w:val="21"/>
          <w:szCs w:val="21"/>
        </w:rPr>
        <w:t xml:space="preserve">Extended from Version 1.0's schema (Document 4, Table 2.1) to support continuous sessions alongside the original point-in-time sessions, rather than introducing a wholly separate table — a continuous session is modeled as a verification_sessions row with session_type = 'continuous' and a related stream of score events, keeping the two use cases on a shared foundation rather than duplicating the schema.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600"/>
      </w:tblGrid>
      <w:tr>
        <w:trPr>
          <w:tblHeader/>
        </w:trPr>
        <w:tc>
          <w:tcPr>
            <w:tcW w:type="dxa" w:w="2600"/>
            <w:shd w:fill="1A2B4C" w:val="clear"/>
            <w:tcMar>
              <w:top w:type="dxa" w:w="100"/>
              <w:left w:type="dxa" w:w="140"/>
              <w:bottom w:type="dxa" w:w="100"/>
              <w:right w:type="dxa" w:w="140"/>
            </w:tcMar>
          </w:tcPr>
          <w:p>
            <w:r>
              <w:rPr>
                <w:b/>
                <w:bCs/>
                <w:color w:val="FFFFFF"/>
                <w:sz w:val="19"/>
                <w:szCs w:val="19"/>
              </w:rPr>
              <w:t xml:space="preserve">New/changed column</w:t>
            </w:r>
          </w:p>
        </w:tc>
        <w:tc>
          <w:tcPr>
            <w:tcW w:type="dxa" w:w="3200"/>
            <w:shd w:fill="1A2B4C" w:val="clear"/>
            <w:tcMar>
              <w:top w:type="dxa" w:w="100"/>
              <w:left w:type="dxa" w:w="140"/>
              <w:bottom w:type="dxa" w:w="100"/>
              <w:right w:type="dxa" w:w="140"/>
            </w:tcMar>
          </w:tcPr>
          <w:p>
            <w:r>
              <w:rPr>
                <w:b/>
                <w:bCs/>
                <w:color w:val="FFFFFF"/>
                <w:sz w:val="19"/>
                <w:szCs w:val="19"/>
              </w:rPr>
              <w:t xml:space="preserve">Type</w:t>
            </w:r>
          </w:p>
        </w:tc>
        <w:tc>
          <w:tcPr>
            <w:tcW w:type="dxa" w:w="3600"/>
            <w:shd w:fill="1A2B4C" w:val="clear"/>
            <w:tcMar>
              <w:top w:type="dxa" w:w="100"/>
              <w:left w:type="dxa" w:w="140"/>
              <w:bottom w:type="dxa" w:w="100"/>
              <w:right w:type="dxa" w:w="140"/>
            </w:tcMar>
          </w:tcPr>
          <w:p>
            <w:r>
              <w:rPr>
                <w:b/>
                <w:bCs/>
                <w:color w:val="FFFFFF"/>
                <w:sz w:val="19"/>
                <w:szCs w:val="19"/>
              </w:rPr>
              <w:t xml:space="preserve">Notes</w:t>
            </w:r>
          </w:p>
        </w:tc>
      </w:tr>
      <w:tr>
        <w:tc>
          <w:tcPr>
            <w:tcW w:type="dxa" w:w="2600"/>
            <w:shd w:fill="F4F6F9" w:val="clear"/>
            <w:tcMar>
              <w:top w:type="dxa" w:w="100"/>
              <w:left w:type="dxa" w:w="140"/>
              <w:bottom w:type="dxa" w:w="100"/>
              <w:right w:type="dxa" w:w="140"/>
            </w:tcMar>
          </w:tcPr>
          <w:p>
            <w:r>
              <w:rPr>
                <w:sz w:val="19"/>
                <w:szCs w:val="19"/>
              </w:rPr>
              <w:t xml:space="preserve">session_type</w:t>
            </w:r>
          </w:p>
        </w:tc>
        <w:tc>
          <w:tcPr>
            <w:tcW w:type="dxa" w:w="3200"/>
            <w:shd w:fill="F4F6F9" w:val="clear"/>
            <w:tcMar>
              <w:top w:type="dxa" w:w="100"/>
              <w:left w:type="dxa" w:w="140"/>
              <w:bottom w:type="dxa" w:w="100"/>
              <w:right w:type="dxa" w:w="140"/>
            </w:tcMar>
          </w:tcPr>
          <w:p>
            <w:r>
              <w:rPr>
                <w:sz w:val="19"/>
                <w:szCs w:val="19"/>
              </w:rPr>
              <w:t xml:space="preserve">ENUM(point_in_time, continuous)</w:t>
            </w:r>
          </w:p>
        </w:tc>
        <w:tc>
          <w:tcPr>
            <w:tcW w:type="dxa" w:w="3600"/>
            <w:shd w:fill="F4F6F9" w:val="clear"/>
            <w:tcMar>
              <w:top w:type="dxa" w:w="100"/>
              <w:left w:type="dxa" w:w="140"/>
              <w:bottom w:type="dxa" w:w="100"/>
              <w:right w:type="dxa" w:w="140"/>
            </w:tcMar>
          </w:tcPr>
          <w:p>
            <w:r>
              <w:rPr>
                <w:sz w:val="19"/>
                <w:szCs w:val="19"/>
              </w:rPr>
              <w:t xml:space="preserve">New — determines whether decision_outcome reflects a single evaluation or the latest of a continuous stream</w:t>
            </w:r>
          </w:p>
        </w:tc>
      </w:tr>
      <w:tr>
        <w:tc>
          <w:tcPr>
            <w:tcW w:type="dxa" w:w="2600"/>
            <w:shd w:fill="FFFFFF" w:val="clear"/>
            <w:tcMar>
              <w:top w:type="dxa" w:w="100"/>
              <w:left w:type="dxa" w:w="140"/>
              <w:bottom w:type="dxa" w:w="100"/>
              <w:right w:type="dxa" w:w="140"/>
            </w:tcMar>
          </w:tcPr>
          <w:p>
            <w:r>
              <w:rPr>
                <w:sz w:val="19"/>
                <w:szCs w:val="19"/>
              </w:rPr>
              <w:t xml:space="preserve">call_session_reference</w:t>
            </w:r>
          </w:p>
        </w:tc>
        <w:tc>
          <w:tcPr>
            <w:tcW w:type="dxa" w:w="3200"/>
            <w:shd w:fill="FFFFFF" w:val="clear"/>
            <w:tcMar>
              <w:top w:type="dxa" w:w="100"/>
              <w:left w:type="dxa" w:w="140"/>
              <w:bottom w:type="dxa" w:w="100"/>
              <w:right w:type="dxa" w:w="140"/>
            </w:tcMar>
          </w:tcPr>
          <w:p>
            <w:r>
              <w:rPr>
                <w:sz w:val="19"/>
                <w:szCs w:val="19"/>
              </w:rPr>
              <w:t xml:space="preserve">TEXT, NULLABLE</w:t>
            </w:r>
          </w:p>
        </w:tc>
        <w:tc>
          <w:tcPr>
            <w:tcW w:type="dxa" w:w="3600"/>
            <w:shd w:fill="FFFFFF" w:val="clear"/>
            <w:tcMar>
              <w:top w:type="dxa" w:w="100"/>
              <w:left w:type="dxa" w:w="140"/>
              <w:bottom w:type="dxa" w:w="100"/>
              <w:right w:type="dxa" w:w="140"/>
            </w:tcMar>
          </w:tcPr>
          <w:p>
            <w:r>
              <w:rPr>
                <w:sz w:val="19"/>
                <w:szCs w:val="19"/>
              </w:rPr>
              <w:t xml:space="preserve">The partner platform's own call/session identifier, for correlating a Certivo verification session with the partner's call record</w:t>
            </w:r>
          </w:p>
        </w:tc>
      </w:tr>
      <w:tr>
        <w:tc>
          <w:tcPr>
            <w:tcW w:type="dxa" w:w="2600"/>
            <w:shd w:fill="F4F6F9" w:val="clear"/>
            <w:tcMar>
              <w:top w:type="dxa" w:w="100"/>
              <w:left w:type="dxa" w:w="140"/>
              <w:bottom w:type="dxa" w:w="100"/>
              <w:right w:type="dxa" w:w="140"/>
            </w:tcMar>
          </w:tcPr>
          <w:p>
            <w:r>
              <w:rPr>
                <w:sz w:val="19"/>
                <w:szCs w:val="19"/>
              </w:rPr>
              <w:t xml:space="preserve">participant_count</w:t>
            </w:r>
          </w:p>
        </w:tc>
        <w:tc>
          <w:tcPr>
            <w:tcW w:type="dxa" w:w="3200"/>
            <w:shd w:fill="F4F6F9" w:val="clear"/>
            <w:tcMar>
              <w:top w:type="dxa" w:w="100"/>
              <w:left w:type="dxa" w:w="140"/>
              <w:bottom w:type="dxa" w:w="100"/>
              <w:right w:type="dxa" w:w="140"/>
            </w:tcMar>
          </w:tcPr>
          <w:p>
            <w:r>
              <w:rPr>
                <w:sz w:val="19"/>
                <w:szCs w:val="19"/>
              </w:rPr>
              <w:t xml:space="preserve">INTEGER, NOT NULL DEFAULT 1</w:t>
            </w:r>
          </w:p>
        </w:tc>
        <w:tc>
          <w:tcPr>
            <w:tcW w:type="dxa" w:w="3600"/>
            <w:shd w:fill="F4F6F9" w:val="clear"/>
            <w:tcMar>
              <w:top w:type="dxa" w:w="100"/>
              <w:left w:type="dxa" w:w="140"/>
              <w:bottom w:type="dxa" w:w="100"/>
              <w:right w:type="dxa" w:w="140"/>
            </w:tcMar>
          </w:tcPr>
          <w:p>
            <w:r>
              <w:rPr>
                <w:sz w:val="19"/>
                <w:szCs w:val="19"/>
              </w:rPr>
              <w:t xml:space="preserve">Supports FR-C.7's multi-participant requirement</w:t>
            </w:r>
          </w:p>
        </w:tc>
      </w:tr>
    </w:tbl>
    <w:p>
      <w:pPr>
        <w:pStyle w:val="Heading2"/>
        <w:spacing w:after="180" w:before="360"/>
      </w:pPr>
      <w:r>
        <w:rPr>
          <w:b/>
          <w:bCs/>
          <w:color w:val="2E5EAA"/>
          <w:sz w:val="26"/>
          <w:szCs w:val="26"/>
        </w:rPr>
        <w:t xml:space="preserve">16.3 New entity: continuous_score_events (Backend API Service)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4000"/>
      </w:tblGrid>
      <w:tr>
        <w:trPr>
          <w:tblHeader/>
        </w:trPr>
        <w:tc>
          <w:tcPr>
            <w:tcW w:type="dxa" w:w="2600"/>
            <w:shd w:fill="1A2B4C" w:val="clear"/>
            <w:tcMar>
              <w:top w:type="dxa" w:w="100"/>
              <w:left w:type="dxa" w:w="140"/>
              <w:bottom w:type="dxa" w:w="100"/>
              <w:right w:type="dxa" w:w="140"/>
            </w:tcMar>
          </w:tcPr>
          <w:p>
            <w:r>
              <w:rPr>
                <w:b/>
                <w:bCs/>
                <w:color w:val="FFFFFF"/>
                <w:sz w:val="19"/>
                <w:szCs w:val="19"/>
              </w:rPr>
              <w:t xml:space="preserve">Column</w:t>
            </w:r>
          </w:p>
        </w:tc>
        <w:tc>
          <w:tcPr>
            <w:tcW w:type="dxa" w:w="2800"/>
            <w:shd w:fill="1A2B4C" w:val="clear"/>
            <w:tcMar>
              <w:top w:type="dxa" w:w="100"/>
              <w:left w:type="dxa" w:w="140"/>
              <w:bottom w:type="dxa" w:w="100"/>
              <w:right w:type="dxa" w:w="140"/>
            </w:tcMar>
          </w:tcPr>
          <w:p>
            <w:r>
              <w:rPr>
                <w:b/>
                <w:bCs/>
                <w:color w:val="FFFFFF"/>
                <w:sz w:val="19"/>
                <w:szCs w:val="19"/>
              </w:rPr>
              <w:t xml:space="preserve">Type</w:t>
            </w:r>
          </w:p>
        </w:tc>
        <w:tc>
          <w:tcPr>
            <w:tcW w:type="dxa" w:w="4000"/>
            <w:shd w:fill="1A2B4C" w:val="clear"/>
            <w:tcMar>
              <w:top w:type="dxa" w:w="100"/>
              <w:left w:type="dxa" w:w="140"/>
              <w:bottom w:type="dxa" w:w="100"/>
              <w:right w:type="dxa" w:w="140"/>
            </w:tcMar>
          </w:tcPr>
          <w:p>
            <w:r>
              <w:rPr>
                <w:b/>
                <w:bCs/>
                <w:color w:val="FFFFFF"/>
                <w:sz w:val="19"/>
                <w:szCs w:val="19"/>
              </w:rPr>
              <w:t xml:space="preserve">Notes</w:t>
            </w:r>
          </w:p>
        </w:tc>
      </w:tr>
      <w:tr>
        <w:tc>
          <w:tcPr>
            <w:tcW w:type="dxa" w:w="2600"/>
            <w:shd w:fill="F4F6F9" w:val="clear"/>
            <w:tcMar>
              <w:top w:type="dxa" w:w="100"/>
              <w:left w:type="dxa" w:w="140"/>
              <w:bottom w:type="dxa" w:w="100"/>
              <w:right w:type="dxa" w:w="140"/>
            </w:tcMar>
          </w:tcPr>
          <w:p>
            <w:r>
              <w:rPr>
                <w:sz w:val="19"/>
                <w:szCs w:val="19"/>
              </w:rPr>
              <w:t xml:space="preserve">id</w:t>
            </w:r>
          </w:p>
        </w:tc>
        <w:tc>
          <w:tcPr>
            <w:tcW w:type="dxa" w:w="2800"/>
            <w:shd w:fill="F4F6F9" w:val="clear"/>
            <w:tcMar>
              <w:top w:type="dxa" w:w="100"/>
              <w:left w:type="dxa" w:w="140"/>
              <w:bottom w:type="dxa" w:w="100"/>
              <w:right w:type="dxa" w:w="140"/>
            </w:tcMar>
          </w:tcPr>
          <w:p>
            <w:r>
              <w:rPr>
                <w:sz w:val="19"/>
                <w:szCs w:val="19"/>
              </w:rPr>
              <w:t xml:space="preserve">UUID, PK</w:t>
            </w:r>
          </w:p>
        </w:tc>
        <w:tc>
          <w:tcPr>
            <w:tcW w:type="dxa" w:w="4000"/>
            <w:shd w:fill="F4F6F9" w:val="clear"/>
            <w:tcMar>
              <w:top w:type="dxa" w:w="100"/>
              <w:left w:type="dxa" w:w="140"/>
              <w:bottom w:type="dxa" w:w="100"/>
              <w:right w:type="dxa" w:w="140"/>
            </w:tcMar>
          </w:tcPr>
          <w:p>
            <w:r>
              <w:rPr>
                <w:sz w:val="19"/>
                <w:szCs w:val="19"/>
              </w:rPr>
              <w:t xml:space="preserve"/>
            </w:r>
          </w:p>
        </w:tc>
      </w:tr>
      <w:tr>
        <w:tc>
          <w:tcPr>
            <w:tcW w:type="dxa" w:w="2600"/>
            <w:shd w:fill="FFFFFF" w:val="clear"/>
            <w:tcMar>
              <w:top w:type="dxa" w:w="100"/>
              <w:left w:type="dxa" w:w="140"/>
              <w:bottom w:type="dxa" w:w="100"/>
              <w:right w:type="dxa" w:w="140"/>
            </w:tcMar>
          </w:tcPr>
          <w:p>
            <w:r>
              <w:rPr>
                <w:sz w:val="19"/>
                <w:szCs w:val="19"/>
              </w:rPr>
              <w:t xml:space="preserve">session_id</w:t>
            </w:r>
          </w:p>
        </w:tc>
        <w:tc>
          <w:tcPr>
            <w:tcW w:type="dxa" w:w="2800"/>
            <w:shd w:fill="FFFFFF" w:val="clear"/>
            <w:tcMar>
              <w:top w:type="dxa" w:w="100"/>
              <w:left w:type="dxa" w:w="140"/>
              <w:bottom w:type="dxa" w:w="100"/>
              <w:right w:type="dxa" w:w="140"/>
            </w:tcMar>
          </w:tcPr>
          <w:p>
            <w:r>
              <w:rPr>
                <w:sz w:val="19"/>
                <w:szCs w:val="19"/>
              </w:rPr>
              <w:t xml:space="preserve">UUID, NOT NULL</w:t>
            </w:r>
          </w:p>
        </w:tc>
        <w:tc>
          <w:tcPr>
            <w:tcW w:type="dxa" w:w="4000"/>
            <w:shd w:fill="FFFFFF" w:val="clear"/>
            <w:tcMar>
              <w:top w:type="dxa" w:w="100"/>
              <w:left w:type="dxa" w:w="140"/>
              <w:bottom w:type="dxa" w:w="100"/>
              <w:right w:type="dxa" w:w="140"/>
            </w:tcMar>
          </w:tcPr>
          <w:p>
            <w:r>
              <w:rPr>
                <w:sz w:val="19"/>
                <w:szCs w:val="19"/>
              </w:rPr>
              <w:t xml:space="preserve">References verification_sessions</w:t>
            </w:r>
          </w:p>
        </w:tc>
      </w:tr>
      <w:tr>
        <w:tc>
          <w:tcPr>
            <w:tcW w:type="dxa" w:w="2600"/>
            <w:shd w:fill="F4F6F9" w:val="clear"/>
            <w:tcMar>
              <w:top w:type="dxa" w:w="100"/>
              <w:left w:type="dxa" w:w="140"/>
              <w:bottom w:type="dxa" w:w="100"/>
              <w:right w:type="dxa" w:w="140"/>
            </w:tcMar>
          </w:tcPr>
          <w:p>
            <w:r>
              <w:rPr>
                <w:sz w:val="19"/>
                <w:szCs w:val="19"/>
              </w:rPr>
              <w:t xml:space="preserve">participant_reference</w:t>
            </w:r>
          </w:p>
        </w:tc>
        <w:tc>
          <w:tcPr>
            <w:tcW w:type="dxa" w:w="2800"/>
            <w:shd w:fill="F4F6F9" w:val="clear"/>
            <w:tcMar>
              <w:top w:type="dxa" w:w="100"/>
              <w:left w:type="dxa" w:w="140"/>
              <w:bottom w:type="dxa" w:w="100"/>
              <w:right w:type="dxa" w:w="140"/>
            </w:tcMar>
          </w:tcPr>
          <w:p>
            <w:r>
              <w:rPr>
                <w:sz w:val="19"/>
                <w:szCs w:val="19"/>
              </w:rPr>
              <w:t xml:space="preserve">TEXT, NOT NULL</w:t>
            </w:r>
          </w:p>
        </w:tc>
        <w:tc>
          <w:tcPr>
            <w:tcW w:type="dxa" w:w="4000"/>
            <w:shd w:fill="F4F6F9" w:val="clear"/>
            <w:tcMar>
              <w:top w:type="dxa" w:w="100"/>
              <w:left w:type="dxa" w:w="140"/>
              <w:bottom w:type="dxa" w:w="100"/>
              <w:right w:type="dxa" w:w="140"/>
            </w:tcMar>
          </w:tcPr>
          <w:p>
            <w:r>
              <w:rPr>
                <w:sz w:val="19"/>
                <w:szCs w:val="19"/>
              </w:rPr>
              <w:t xml:space="preserve">Identifies which participant within a multi-participant session this score belongs to</w:t>
            </w:r>
          </w:p>
        </w:tc>
      </w:tr>
      <w:tr>
        <w:tc>
          <w:tcPr>
            <w:tcW w:type="dxa" w:w="2600"/>
            <w:shd w:fill="FFFFFF" w:val="clear"/>
            <w:tcMar>
              <w:top w:type="dxa" w:w="100"/>
              <w:left w:type="dxa" w:w="140"/>
              <w:bottom w:type="dxa" w:w="100"/>
              <w:right w:type="dxa" w:w="140"/>
            </w:tcMar>
          </w:tcPr>
          <w:p>
            <w:r>
              <w:rPr>
                <w:sz w:val="19"/>
                <w:szCs w:val="19"/>
              </w:rPr>
              <w:t xml:space="preserve">confidence</w:t>
            </w:r>
          </w:p>
        </w:tc>
        <w:tc>
          <w:tcPr>
            <w:tcW w:type="dxa" w:w="2800"/>
            <w:shd w:fill="FFFFFF" w:val="clear"/>
            <w:tcMar>
              <w:top w:type="dxa" w:w="100"/>
              <w:left w:type="dxa" w:w="140"/>
              <w:bottom w:type="dxa" w:w="100"/>
              <w:right w:type="dxa" w:w="140"/>
            </w:tcMar>
          </w:tcPr>
          <w:p>
            <w:r>
              <w:rPr>
                <w:sz w:val="19"/>
                <w:szCs w:val="19"/>
              </w:rPr>
              <w:t xml:space="preserve">REAL, NOT NULL</w:t>
            </w:r>
          </w:p>
        </w:tc>
        <w:tc>
          <w:tcPr>
            <w:tcW w:type="dxa" w:w="4000"/>
            <w:shd w:fill="FFFFFF" w:val="clear"/>
            <w:tcMar>
              <w:top w:type="dxa" w:w="100"/>
              <w:left w:type="dxa" w:w="140"/>
              <w:bottom w:type="dxa" w:w="100"/>
              <w:right w:type="dxa" w:w="140"/>
            </w:tcMar>
          </w:tcPr>
          <w:p>
            <w:r>
              <w:rPr>
                <w:sz w:val="19"/>
                <w:szCs w:val="19"/>
              </w:rPr>
              <w:t xml:space="preserve">The score reported by the edge SDK for this interval</w:t>
            </w:r>
          </w:p>
        </w:tc>
      </w:tr>
      <w:tr>
        <w:tc>
          <w:tcPr>
            <w:tcW w:type="dxa" w:w="2600"/>
            <w:shd w:fill="F4F6F9" w:val="clear"/>
            <w:tcMar>
              <w:top w:type="dxa" w:w="100"/>
              <w:left w:type="dxa" w:w="140"/>
              <w:bottom w:type="dxa" w:w="100"/>
              <w:right w:type="dxa" w:w="140"/>
            </w:tcMar>
          </w:tcPr>
          <w:p>
            <w:r>
              <w:rPr>
                <w:sz w:val="19"/>
                <w:szCs w:val="19"/>
              </w:rPr>
              <w:t xml:space="preserve">explanation</w:t>
            </w:r>
          </w:p>
        </w:tc>
        <w:tc>
          <w:tcPr>
            <w:tcW w:type="dxa" w:w="2800"/>
            <w:shd w:fill="F4F6F9" w:val="clear"/>
            <w:tcMar>
              <w:top w:type="dxa" w:w="100"/>
              <w:left w:type="dxa" w:w="140"/>
              <w:bottom w:type="dxa" w:w="100"/>
              <w:right w:type="dxa" w:w="140"/>
            </w:tcMar>
          </w:tcPr>
          <w:p>
            <w:r>
              <w:rPr>
                <w:sz w:val="19"/>
                <w:szCs w:val="19"/>
              </w:rPr>
              <w:t xml:space="preserve">JSONB, NOT NULL</w:t>
            </w:r>
          </w:p>
        </w:tc>
        <w:tc>
          <w:tcPr>
            <w:tcW w:type="dxa" w:w="4000"/>
            <w:shd w:fill="F4F6F9" w:val="clear"/>
            <w:tcMar>
              <w:top w:type="dxa" w:w="100"/>
              <w:left w:type="dxa" w:w="140"/>
              <w:bottom w:type="dxa" w:w="100"/>
              <w:right w:type="dxa" w:w="140"/>
            </w:tcMar>
          </w:tcPr>
          <w:p>
            <w:r>
              <w:rPr>
                <w:sz w:val="19"/>
                <w:szCs w:val="19"/>
              </w:rPr>
              <w:t xml:space="preserve">Structured explanation payload accompanying this specific interval's score</w:t>
            </w:r>
          </w:p>
        </w:tc>
      </w:tr>
      <w:tr>
        <w:tc>
          <w:tcPr>
            <w:tcW w:type="dxa" w:w="2600"/>
            <w:shd w:fill="FFFFFF" w:val="clear"/>
            <w:tcMar>
              <w:top w:type="dxa" w:w="100"/>
              <w:left w:type="dxa" w:w="140"/>
              <w:bottom w:type="dxa" w:w="100"/>
              <w:right w:type="dxa" w:w="140"/>
            </w:tcMar>
          </w:tcPr>
          <w:p>
            <w:r>
              <w:rPr>
                <w:sz w:val="19"/>
                <w:szCs w:val="19"/>
              </w:rPr>
              <w:t xml:space="preserve">device_signature</w:t>
            </w:r>
          </w:p>
        </w:tc>
        <w:tc>
          <w:tcPr>
            <w:tcW w:type="dxa" w:w="2800"/>
            <w:shd w:fill="FFFFFF" w:val="clear"/>
            <w:tcMar>
              <w:top w:type="dxa" w:w="100"/>
              <w:left w:type="dxa" w:w="140"/>
              <w:bottom w:type="dxa" w:w="100"/>
              <w:right w:type="dxa" w:w="140"/>
            </w:tcMar>
          </w:tcPr>
          <w:p>
            <w:r>
              <w:rPr>
                <w:sz w:val="19"/>
                <w:szCs w:val="19"/>
              </w:rPr>
              <w:t xml:space="preserve">TEXT, NOT NULL</w:t>
            </w:r>
          </w:p>
        </w:tc>
        <w:tc>
          <w:tcPr>
            <w:tcW w:type="dxa" w:w="4000"/>
            <w:shd w:fill="FFFFFF" w:val="clear"/>
            <w:tcMar>
              <w:top w:type="dxa" w:w="100"/>
              <w:left w:type="dxa" w:w="140"/>
              <w:bottom w:type="dxa" w:w="100"/>
              <w:right w:type="dxa" w:w="140"/>
            </w:tcMar>
          </w:tcPr>
          <w:p>
            <w:r>
              <w:rPr>
                <w:sz w:val="19"/>
                <w:szCs w:val="19"/>
              </w:rPr>
              <w:t xml:space="preserve">Signature over this event, validated per Section 9.2 before the event is trusted</w:t>
            </w:r>
          </w:p>
        </w:tc>
      </w:tr>
      <w:tr>
        <w:tc>
          <w:tcPr>
            <w:tcW w:type="dxa" w:w="2600"/>
            <w:shd w:fill="F4F6F9" w:val="clear"/>
            <w:tcMar>
              <w:top w:type="dxa" w:w="100"/>
              <w:left w:type="dxa" w:w="140"/>
              <w:bottom w:type="dxa" w:w="100"/>
              <w:right w:type="dxa" w:w="140"/>
            </w:tcMar>
          </w:tcPr>
          <w:p>
            <w:r>
              <w:rPr>
                <w:sz w:val="19"/>
                <w:szCs w:val="19"/>
              </w:rPr>
              <w:t xml:space="preserve">reported_at</w:t>
            </w:r>
          </w:p>
        </w:tc>
        <w:tc>
          <w:tcPr>
            <w:tcW w:type="dxa" w:w="2800"/>
            <w:shd w:fill="F4F6F9" w:val="clear"/>
            <w:tcMar>
              <w:top w:type="dxa" w:w="100"/>
              <w:left w:type="dxa" w:w="140"/>
              <w:bottom w:type="dxa" w:w="100"/>
              <w:right w:type="dxa" w:w="140"/>
            </w:tcMar>
          </w:tcPr>
          <w:p>
            <w:r>
              <w:rPr>
                <w:sz w:val="19"/>
                <w:szCs w:val="19"/>
              </w:rPr>
              <w:t xml:space="preserve">TIMESTAMPTZ, NOT NULL</w:t>
            </w:r>
          </w:p>
        </w:tc>
        <w:tc>
          <w:tcPr>
            <w:tcW w:type="dxa" w:w="4000"/>
            <w:shd w:fill="F4F6F9" w:val="clear"/>
            <w:tcMar>
              <w:top w:type="dxa" w:w="100"/>
              <w:left w:type="dxa" w:w="140"/>
              <w:bottom w:type="dxa" w:w="100"/>
              <w:right w:type="dxa" w:w="140"/>
            </w:tcMar>
          </w:tcPr>
          <w:p>
            <w:r>
              <w:rPr>
                <w:sz w:val="19"/>
                <w:szCs w:val="19"/>
              </w:rPr>
              <w:t xml:space="preserve"/>
            </w:r>
          </w:p>
        </w:tc>
      </w:tr>
    </w:tbl>
    <w:p>
      <w:pPr>
        <w:spacing w:after="260" w:before="80"/>
      </w:pPr>
      <w:r>
        <w:rPr>
          <w:i/>
          <w:iCs/>
          <w:color w:val="6B7280"/>
          <w:sz w:val="18"/>
          <w:szCs w:val="18"/>
        </w:rPr>
        <w:t xml:space="preserve">Table 16.3 — continuous_score_events schema, one row per re-evaluation interval (PRD FR-C.2) per participant.</w:t>
      </w:r>
    </w:p>
    <w:p>
      <w:pPr>
        <w:pStyle w:val="Heading1"/>
        <w:pageBreakBefore/>
        <w:spacing w:after="240" w:before="480"/>
      </w:pPr>
      <w:r>
        <w:rPr>
          <w:b/>
          <w:bCs/>
          <w:color w:val="1A2B4C"/>
          <w:sz w:val="32"/>
          <w:szCs w:val="32"/>
        </w:rPr>
        <w:t xml:space="preserve">14. Performance Requirements (Revised Additions)</w:t>
      </w:r>
    </w:p>
    <w:p>
      <w:pPr>
        <w:spacing w:after="200" w:line="300"/>
        <w:jc w:val="both"/>
      </w:pPr>
      <w:r>
        <w:rPr>
          <w:sz w:val="21"/>
          <w:szCs w:val="21"/>
        </w:rPr>
        <w:t xml:space="preserve">The point-in-time performance targets from Version 1.0 (3-second end-to-end, 500ms API latency excluding inference, 2-second dashboard load) are unchanged and still apply to the retained point-in-time verticals. This section adds the continuous-verification-specific targets implied by PRD NFR-C.1-C.3, stated here as initial engineering design targets to guide Phase 0 implementation — explicitly not asserted as validated, final numbers, consistent with the PRD's own refusal to fabricate one.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600"/>
      </w:tblGrid>
      <w:tr>
        <w:trPr>
          <w:tblHeader/>
        </w:trPr>
        <w:tc>
          <w:tcPr>
            <w:tcW w:type="dxa" w:w="2800"/>
            <w:shd w:fill="1A2B4C" w:val="clear"/>
            <w:tcMar>
              <w:top w:type="dxa" w:w="100"/>
              <w:left w:type="dxa" w:w="140"/>
              <w:bottom w:type="dxa" w:w="100"/>
              <w:right w:type="dxa" w:w="140"/>
            </w:tcMar>
          </w:tcPr>
          <w:p>
            <w:r>
              <w:rPr>
                <w:b/>
                <w:bCs/>
                <w:color w:val="FFFFFF"/>
                <w:sz w:val="19"/>
                <w:szCs w:val="19"/>
              </w:rPr>
              <w:t xml:space="preserve">Target</w:t>
            </w:r>
          </w:p>
        </w:tc>
        <w:tc>
          <w:tcPr>
            <w:tcW w:type="dxa" w:w="3800"/>
            <w:shd w:fill="1A2B4C" w:val="clear"/>
            <w:tcMar>
              <w:top w:type="dxa" w:w="100"/>
              <w:left w:type="dxa" w:w="140"/>
              <w:bottom w:type="dxa" w:w="100"/>
              <w:right w:type="dxa" w:w="140"/>
            </w:tcMar>
          </w:tcPr>
          <w:p>
            <w:r>
              <w:rPr>
                <w:b/>
                <w:bCs/>
                <w:color w:val="FFFFFF"/>
                <w:sz w:val="19"/>
                <w:szCs w:val="19"/>
              </w:rPr>
              <w:t xml:space="preserve">Initial design value</w:t>
            </w:r>
          </w:p>
        </w:tc>
        <w:tc>
          <w:tcPr>
            <w:tcW w:type="dxa" w:w="2600"/>
            <w:shd w:fill="1A2B4C" w:val="clear"/>
            <w:tcMar>
              <w:top w:type="dxa" w:w="100"/>
              <w:left w:type="dxa" w:w="140"/>
              <w:bottom w:type="dxa" w:w="100"/>
              <w:right w:type="dxa" w:w="140"/>
            </w:tcMar>
          </w:tcPr>
          <w:p>
            <w:r>
              <w:rPr>
                <w:b/>
                <w:bCs/>
                <w:color w:val="FFFFFF"/>
                <w:sz w:val="19"/>
                <w:szCs w:val="19"/>
              </w:rPr>
              <w:t xml:space="preserve">Validation status</w:t>
            </w:r>
          </w:p>
        </w:tc>
      </w:tr>
      <w:tr>
        <w:tc>
          <w:tcPr>
            <w:tcW w:type="dxa" w:w="2800"/>
            <w:shd w:fill="F4F6F9" w:val="clear"/>
            <w:tcMar>
              <w:top w:type="dxa" w:w="100"/>
              <w:left w:type="dxa" w:w="140"/>
              <w:bottom w:type="dxa" w:w="100"/>
              <w:right w:type="dxa" w:w="140"/>
            </w:tcMar>
          </w:tcPr>
          <w:p>
            <w:r>
              <w:rPr>
                <w:sz w:val="19"/>
                <w:szCs w:val="19"/>
              </w:rPr>
              <w:t xml:space="preserve">Re-evaluation interval (how often the edge model re-scores)</w:t>
            </w:r>
          </w:p>
        </w:tc>
        <w:tc>
          <w:tcPr>
            <w:tcW w:type="dxa" w:w="3800"/>
            <w:shd w:fill="F4F6F9" w:val="clear"/>
            <w:tcMar>
              <w:top w:type="dxa" w:w="100"/>
              <w:left w:type="dxa" w:w="140"/>
              <w:bottom w:type="dxa" w:w="100"/>
              <w:right w:type="dxa" w:w="140"/>
            </w:tcMar>
          </w:tcPr>
          <w:p>
            <w:r>
              <w:rPr>
                <w:sz w:val="19"/>
                <w:szCs w:val="19"/>
              </w:rPr>
              <w:t xml:space="preserve">Low single-digit seconds, exact value tunable per partner's risk/performance trade-off</w:t>
            </w:r>
          </w:p>
        </w:tc>
        <w:tc>
          <w:tcPr>
            <w:tcW w:type="dxa" w:w="2600"/>
            <w:shd w:fill="F4F6F9" w:val="clear"/>
            <w:tcMar>
              <w:top w:type="dxa" w:w="100"/>
              <w:left w:type="dxa" w:w="140"/>
              <w:bottom w:type="dxa" w:w="100"/>
              <w:right w:type="dxa" w:w="140"/>
            </w:tcMar>
          </w:tcPr>
          <w:p>
            <w:r>
              <w:rPr>
                <w:sz w:val="19"/>
                <w:szCs w:val="19"/>
              </w:rPr>
              <w:t xml:space="preserve">To be validated against real partner infrastructure and devices in Phase 0 (PRD roadmap, Section 9.1)</w:t>
            </w:r>
          </w:p>
        </w:tc>
      </w:tr>
      <w:tr>
        <w:tc>
          <w:tcPr>
            <w:tcW w:type="dxa" w:w="2800"/>
            <w:shd w:fill="FFFFFF" w:val="clear"/>
            <w:tcMar>
              <w:top w:type="dxa" w:w="100"/>
              <w:left w:type="dxa" w:w="140"/>
              <w:bottom w:type="dxa" w:w="100"/>
              <w:right w:type="dxa" w:w="140"/>
            </w:tcMar>
          </w:tcPr>
          <w:p>
            <w:r>
              <w:rPr>
                <w:sz w:val="19"/>
                <w:szCs w:val="19"/>
              </w:rPr>
              <w:t xml:space="preserve">Per-interval on-device inference latency</w:t>
            </w:r>
          </w:p>
        </w:tc>
        <w:tc>
          <w:tcPr>
            <w:tcW w:type="dxa" w:w="3800"/>
            <w:shd w:fill="FFFFFF" w:val="clear"/>
            <w:tcMar>
              <w:top w:type="dxa" w:w="100"/>
              <w:left w:type="dxa" w:w="140"/>
              <w:bottom w:type="dxa" w:w="100"/>
              <w:right w:type="dxa" w:w="140"/>
            </w:tcMar>
          </w:tcPr>
          <w:p>
            <w:r>
              <w:rPr>
                <w:sz w:val="19"/>
                <w:szCs w:val="19"/>
              </w:rPr>
              <w:t xml:space="preserve">A small fraction of the re-evaluation interval, leaving headroom for the call client's own processing (Section 2.3)</w:t>
            </w:r>
          </w:p>
        </w:tc>
        <w:tc>
          <w:tcPr>
            <w:tcW w:type="dxa" w:w="2600"/>
            <w:shd w:fill="FFFFFF" w:val="clear"/>
            <w:tcMar>
              <w:top w:type="dxa" w:w="100"/>
              <w:left w:type="dxa" w:w="140"/>
              <w:bottom w:type="dxa" w:w="100"/>
              <w:right w:type="dxa" w:w="140"/>
            </w:tcMar>
          </w:tcPr>
          <w:p>
            <w:r>
              <w:rPr>
                <w:sz w:val="19"/>
                <w:szCs w:val="19"/>
              </w:rPr>
              <w:t xml:space="preserve">To be measured against each supported reference device tier before that tier is supported in production</w:t>
            </w:r>
          </w:p>
        </w:tc>
      </w:tr>
      <w:tr>
        <w:tc>
          <w:tcPr>
            <w:tcW w:type="dxa" w:w="2800"/>
            <w:shd w:fill="F4F6F9" w:val="clear"/>
            <w:tcMar>
              <w:top w:type="dxa" w:w="100"/>
              <w:left w:type="dxa" w:w="140"/>
              <w:bottom w:type="dxa" w:w="100"/>
              <w:right w:type="dxa" w:w="140"/>
            </w:tcMar>
          </w:tcPr>
          <w:p>
            <w:r>
              <w:rPr>
                <w:sz w:val="19"/>
                <w:szCs w:val="19"/>
              </w:rPr>
              <w:t xml:space="preserve">Mid-call injection detection window (FR-C.3)</w:t>
            </w:r>
          </w:p>
        </w:tc>
        <w:tc>
          <w:tcPr>
            <w:tcW w:type="dxa" w:w="3800"/>
            <w:shd w:fill="F4F6F9" w:val="clear"/>
            <w:tcMar>
              <w:top w:type="dxa" w:w="100"/>
              <w:left w:type="dxa" w:w="140"/>
              <w:bottom w:type="dxa" w:w="100"/>
              <w:right w:type="dxa" w:w="140"/>
            </w:tcMar>
          </w:tcPr>
          <w:p>
            <w:r>
              <w:rPr>
                <w:sz w:val="19"/>
                <w:szCs w:val="19"/>
              </w:rPr>
              <w:t xml:space="preserve">No fixed target asserted; tracked and published once Phase 0's real evaluation data exists</w:t>
            </w:r>
          </w:p>
        </w:tc>
        <w:tc>
          <w:tcPr>
            <w:tcW w:type="dxa" w:w="2600"/>
            <w:shd w:fill="F4F6F9" w:val="clear"/>
            <w:tcMar>
              <w:top w:type="dxa" w:w="100"/>
              <w:left w:type="dxa" w:w="140"/>
              <w:bottom w:type="dxa" w:w="100"/>
              <w:right w:type="dxa" w:w="140"/>
            </w:tcMar>
          </w:tcPr>
          <w:p>
            <w:r>
              <w:rPr>
                <w:sz w:val="19"/>
                <w:szCs w:val="19"/>
              </w:rPr>
              <w:t xml:space="preserve">Explicitly open — the ML Architecture document's revision (Document 7) owns setting this once real evaluation is possible</w:t>
            </w:r>
          </w:p>
        </w:tc>
      </w:tr>
      <w:tr>
        <w:tc>
          <w:tcPr>
            <w:tcW w:type="dxa" w:w="2800"/>
            <w:shd w:fill="FFFFFF" w:val="clear"/>
            <w:tcMar>
              <w:top w:type="dxa" w:w="100"/>
              <w:left w:type="dxa" w:w="140"/>
              <w:bottom w:type="dxa" w:w="100"/>
              <w:right w:type="dxa" w:w="140"/>
            </w:tcMar>
          </w:tcPr>
          <w:p>
            <w:r>
              <w:rPr>
                <w:sz w:val="19"/>
                <w:szCs w:val="19"/>
              </w:rPr>
              <w:t xml:space="preserve">SDK resource overhead (CPU/battery/bandwidth)</w:t>
            </w:r>
          </w:p>
        </w:tc>
        <w:tc>
          <w:tcPr>
            <w:tcW w:type="dxa" w:w="3800"/>
            <w:shd w:fill="FFFFFF" w:val="clear"/>
            <w:tcMar>
              <w:top w:type="dxa" w:w="100"/>
              <w:left w:type="dxa" w:w="140"/>
              <w:bottom w:type="dxa" w:w="100"/>
              <w:right w:type="dxa" w:w="140"/>
            </w:tcMar>
          </w:tcPr>
          <w:p>
            <w:r>
              <w:rPr>
                <w:sz w:val="19"/>
                <w:szCs w:val="19"/>
              </w:rPr>
              <w:t xml:space="preserve">Bounded and published per reference device tier, agreed individually with each design partner before rollout (NFR-C.2)</w:t>
            </w:r>
          </w:p>
        </w:tc>
        <w:tc>
          <w:tcPr>
            <w:tcW w:type="dxa" w:w="2600"/>
            <w:shd w:fill="FFFFFF" w:val="clear"/>
            <w:tcMar>
              <w:top w:type="dxa" w:w="100"/>
              <w:left w:type="dxa" w:w="140"/>
              <w:bottom w:type="dxa" w:w="100"/>
              <w:right w:type="dxa" w:w="140"/>
            </w:tcMar>
          </w:tcPr>
          <w:p>
            <w:r>
              <w:rPr>
                <w:sz w:val="19"/>
                <w:szCs w:val="19"/>
              </w:rPr>
              <w:t xml:space="preserve">Partner-specific; no single global number is asserted here</w:t>
            </w:r>
          </w:p>
        </w:tc>
      </w:tr>
    </w:tbl>
    <w:p>
      <w:pPr>
        <w:spacing w:after="260" w:before="80"/>
      </w:pPr>
      <w:r>
        <w:rPr>
          <w:i/>
          <w:iCs/>
          <w:color w:val="6B7280"/>
          <w:sz w:val="18"/>
          <w:szCs w:val="18"/>
        </w:rPr>
        <w:t xml:space="preserve">Table 14.1 — Continuous-verification performance targets. Where Version 1.0 could assert a number backed by the constitution's own stated goals (3 seconds, 500ms), this table is deliberately more provisional, because the constitution's performance targets were written for the point-in-time model and have no continuous-verification equivalent yet — asserting one here without evidence would repeat exactly the mistake the PRD's Section 8.2 was written to avoid.</w:t>
      </w:r>
    </w:p>
    <w:p>
      <w:pPr>
        <w:pStyle w:val="Heading1"/>
        <w:pageBreakBefore/>
        <w:spacing w:after="240" w:before="480"/>
      </w:pPr>
      <w:r>
        <w:rPr>
          <w:b/>
          <w:bCs/>
          <w:color w:val="1A2B4C"/>
          <w:sz w:val="32"/>
          <w:szCs w:val="32"/>
        </w:rPr>
        <w:t xml:space="preserve">17. Sections Carried Forward Unchanged from Version 1.0</w:t>
      </w:r>
    </w:p>
    <w:p>
      <w:pPr>
        <w:spacing w:after="200" w:line="300"/>
        <w:jc w:val="both"/>
      </w:pPr>
      <w:r>
        <w:rPr>
          <w:sz w:val="21"/>
          <w:szCs w:val="21"/>
        </w:rPr>
        <w:t xml:space="preserve">Listed here explicitly, per this document's own documentation-currency discipline, rather than silently omitted — so a reader knows these sections were considered and deliberately left as-is, not overlooked.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shd w:fill="1A2B4C" w:val="clear"/>
            <w:tcMar>
              <w:top w:type="dxa" w:w="100"/>
              <w:left w:type="dxa" w:w="140"/>
              <w:bottom w:type="dxa" w:w="100"/>
              <w:right w:type="dxa" w:w="140"/>
            </w:tcMar>
          </w:tcPr>
          <w:p>
            <w:r>
              <w:rPr>
                <w:b/>
                <w:bCs/>
                <w:color w:val="FFFFFF"/>
                <w:sz w:val="19"/>
                <w:szCs w:val="19"/>
              </w:rPr>
              <w:t xml:space="preserve">Section (Version 1.0)</w:t>
            </w:r>
          </w:p>
        </w:tc>
        <w:tc>
          <w:tcPr>
            <w:tcW w:type="dxa" w:w="5600"/>
            <w:shd w:fill="1A2B4C" w:val="clear"/>
            <w:tcMar>
              <w:top w:type="dxa" w:w="100"/>
              <w:left w:type="dxa" w:w="140"/>
              <w:bottom w:type="dxa" w:w="100"/>
              <w:right w:type="dxa" w:w="140"/>
            </w:tcMar>
          </w:tcPr>
          <w:p>
            <w:r>
              <w:rPr>
                <w:b/>
                <w:bCs/>
                <w:color w:val="FFFFFF"/>
                <w:sz w:val="19"/>
                <w:szCs w:val="19"/>
              </w:rPr>
              <w:t xml:space="preserve">Why unchanged</w:t>
            </w:r>
          </w:p>
        </w:tc>
      </w:tr>
      <w:tr>
        <w:tc>
          <w:tcPr>
            <w:tcW w:type="dxa" w:w="3400"/>
            <w:shd w:fill="F4F6F9" w:val="clear"/>
            <w:tcMar>
              <w:top w:type="dxa" w:w="100"/>
              <w:left w:type="dxa" w:w="140"/>
              <w:bottom w:type="dxa" w:w="100"/>
              <w:right w:type="dxa" w:w="140"/>
            </w:tcMar>
          </w:tcPr>
          <w:p>
            <w:r>
              <w:rPr>
                <w:sz w:val="19"/>
                <w:szCs w:val="19"/>
              </w:rPr>
              <w:t xml:space="preserve">Backend Architecture internal layering (Section 3)</w:t>
            </w:r>
          </w:p>
        </w:tc>
        <w:tc>
          <w:tcPr>
            <w:tcW w:type="dxa" w:w="5600"/>
            <w:shd w:fill="F4F6F9" w:val="clear"/>
            <w:tcMar>
              <w:top w:type="dxa" w:w="100"/>
              <w:left w:type="dxa" w:w="140"/>
              <w:bottom w:type="dxa" w:w="100"/>
              <w:right w:type="dxa" w:w="140"/>
            </w:tcMar>
          </w:tcPr>
          <w:p>
            <w:r>
              <w:rPr>
                <w:sz w:val="19"/>
                <w:szCs w:val="19"/>
              </w:rPr>
              <w:t xml:space="preserve">The api/domain/data/integrations layering pattern applies identically regardless of what the domain logic is verifying.</w:t>
            </w:r>
          </w:p>
        </w:tc>
      </w:tr>
      <w:tr>
        <w:tc>
          <w:tcPr>
            <w:tcW w:type="dxa" w:w="3400"/>
            <w:shd w:fill="FFFFFF" w:val="clear"/>
            <w:tcMar>
              <w:top w:type="dxa" w:w="100"/>
              <w:left w:type="dxa" w:w="140"/>
              <w:bottom w:type="dxa" w:w="100"/>
              <w:right w:type="dxa" w:w="140"/>
            </w:tcMar>
          </w:tcPr>
          <w:p>
            <w:r>
              <w:rPr>
                <w:sz w:val="19"/>
                <w:szCs w:val="19"/>
              </w:rPr>
              <w:t xml:space="preserve">Frontend Architecture (Section 4)</w:t>
            </w:r>
          </w:p>
        </w:tc>
        <w:tc>
          <w:tcPr>
            <w:tcW w:type="dxa" w:w="5600"/>
            <w:shd w:fill="FFFFFF" w:val="clear"/>
            <w:tcMar>
              <w:top w:type="dxa" w:w="100"/>
              <w:left w:type="dxa" w:w="140"/>
              <w:bottom w:type="dxa" w:w="100"/>
              <w:right w:type="dxa" w:w="140"/>
            </w:tcMar>
          </w:tcPr>
          <w:p>
            <w:r>
              <w:rPr>
                <w:sz w:val="19"/>
                <w:szCs w:val="19"/>
              </w:rPr>
              <w:t xml:space="preserve">The Dashboard/Admin Console architecture is unaffected by where inference runs; only the data displayed (call-quality metrics, per Table 1.1) changes, which is additive, not structural.</w:t>
            </w:r>
          </w:p>
        </w:tc>
      </w:tr>
      <w:tr>
        <w:tc>
          <w:tcPr>
            <w:tcW w:type="dxa" w:w="3400"/>
            <w:shd w:fill="F4F6F9" w:val="clear"/>
            <w:tcMar>
              <w:top w:type="dxa" w:w="100"/>
              <w:left w:type="dxa" w:w="140"/>
              <w:bottom w:type="dxa" w:w="100"/>
              <w:right w:type="dxa" w:w="140"/>
            </w:tcMar>
          </w:tcPr>
          <w:p>
            <w:r>
              <w:rPr>
                <w:sz w:val="19"/>
                <w:szCs w:val="19"/>
              </w:rPr>
              <w:t xml:space="preserve">Base Privacy principles (Section 7)</w:t>
            </w:r>
          </w:p>
        </w:tc>
        <w:tc>
          <w:tcPr>
            <w:tcW w:type="dxa" w:w="5600"/>
            <w:shd w:fill="F4F6F9" w:val="clear"/>
            <w:tcMar>
              <w:top w:type="dxa" w:w="100"/>
              <w:left w:type="dxa" w:w="140"/>
              <w:bottom w:type="dxa" w:w="100"/>
              <w:right w:type="dxa" w:w="140"/>
            </w:tcMar>
          </w:tcPr>
          <w:p>
            <w:r>
              <w:rPr>
                <w:sz w:val="19"/>
                <w:szCs w:val="19"/>
              </w:rPr>
              <w:t xml:space="preserve">Data minimization, consent-tied-to-purpose, and deletion-cascade principles apply identically to continuous sessions; only the Privacy Architecture document's specific retention tables need revision (deferred to that document's own pass).</w:t>
            </w:r>
          </w:p>
        </w:tc>
      </w:tr>
      <w:tr>
        <w:tc>
          <w:tcPr>
            <w:tcW w:type="dxa" w:w="3400"/>
            <w:shd w:fill="FFFFFF" w:val="clear"/>
            <w:tcMar>
              <w:top w:type="dxa" w:w="100"/>
              <w:left w:type="dxa" w:w="140"/>
              <w:bottom w:type="dxa" w:w="100"/>
              <w:right w:type="dxa" w:w="140"/>
            </w:tcMar>
          </w:tcPr>
          <w:p>
            <w:r>
              <w:rPr>
                <w:sz w:val="19"/>
                <w:szCs w:val="19"/>
              </w:rPr>
              <w:t xml:space="preserve">Infrastructure / cloud abstraction (Section 8)</w:t>
            </w:r>
          </w:p>
        </w:tc>
        <w:tc>
          <w:tcPr>
            <w:tcW w:type="dxa" w:w="5600"/>
            <w:shd w:fill="FFFFFF" w:val="clear"/>
            <w:tcMar>
              <w:top w:type="dxa" w:w="100"/>
              <w:left w:type="dxa" w:w="140"/>
              <w:bottom w:type="dxa" w:w="100"/>
              <w:right w:type="dxa" w:w="140"/>
            </w:tcMar>
          </w:tcPr>
          <w:p>
            <w:r>
              <w:rPr>
                <w:sz w:val="19"/>
                <w:szCs w:val="19"/>
              </w:rPr>
              <w:t xml:space="preserve">The cloud-portability approach is unaffected by the SDK's existence — the backend components still run on the same portable infrastructure primitives.</w:t>
            </w:r>
          </w:p>
        </w:tc>
      </w:tr>
      <w:tr>
        <w:tc>
          <w:tcPr>
            <w:tcW w:type="dxa" w:w="3400"/>
            <w:shd w:fill="F4F6F9" w:val="clear"/>
            <w:tcMar>
              <w:top w:type="dxa" w:w="100"/>
              <w:left w:type="dxa" w:w="140"/>
              <w:bottom w:type="dxa" w:w="100"/>
              <w:right w:type="dxa" w:w="140"/>
            </w:tcMar>
          </w:tcPr>
          <w:p>
            <w:r>
              <w:rPr>
                <w:sz w:val="19"/>
                <w:szCs w:val="19"/>
              </w:rPr>
              <w:t xml:space="preserve">Observability (Section 9)</w:t>
            </w:r>
          </w:p>
        </w:tc>
        <w:tc>
          <w:tcPr>
            <w:tcW w:type="dxa" w:w="5600"/>
            <w:shd w:fill="F4F6F9" w:val="clear"/>
            <w:tcMar>
              <w:top w:type="dxa" w:w="100"/>
              <w:left w:type="dxa" w:w="140"/>
              <w:bottom w:type="dxa" w:w="100"/>
              <w:right w:type="dxa" w:w="140"/>
            </w:tcMar>
          </w:tcPr>
          <w:p>
            <w:r>
              <w:rPr>
                <w:sz w:val="19"/>
                <w:szCs w:val="19"/>
              </w:rPr>
              <w:t xml:space="preserve">The structured-logging, metrics, and tracing approach extends naturally to the new SDK telemetry (Section 2.6) without changing its underlying design.</w:t>
            </w:r>
          </w:p>
        </w:tc>
      </w:tr>
      <w:tr>
        <w:tc>
          <w:tcPr>
            <w:tcW w:type="dxa" w:w="3400"/>
            <w:shd w:fill="FFFFFF" w:val="clear"/>
            <w:tcMar>
              <w:top w:type="dxa" w:w="100"/>
              <w:left w:type="dxa" w:w="140"/>
              <w:bottom w:type="dxa" w:w="100"/>
              <w:right w:type="dxa" w:w="140"/>
            </w:tcMar>
          </w:tcPr>
          <w:p>
            <w:r>
              <w:rPr>
                <w:sz w:val="19"/>
                <w:szCs w:val="19"/>
              </w:rPr>
              <w:t xml:space="preserve">CI/CD (Section 10)</w:t>
            </w:r>
          </w:p>
        </w:tc>
        <w:tc>
          <w:tcPr>
            <w:tcW w:type="dxa" w:w="5600"/>
            <w:shd w:fill="FFFFFF" w:val="clear"/>
            <w:tcMar>
              <w:top w:type="dxa" w:w="100"/>
              <w:left w:type="dxa" w:w="140"/>
              <w:bottom w:type="dxa" w:w="100"/>
              <w:right w:type="dxa" w:w="140"/>
            </w:tcMar>
          </w:tcPr>
          <w:p>
            <w:r>
              <w:rPr>
                <w:sz w:val="19"/>
                <w:szCs w:val="19"/>
              </w:rPr>
              <w:t xml:space="preserve">The pipeline stages apply identically to the new Edge Inference SDK codebase and the extended backend services.</w:t>
            </w:r>
          </w:p>
        </w:tc>
      </w:tr>
      <w:tr>
        <w:tc>
          <w:tcPr>
            <w:tcW w:type="dxa" w:w="3400"/>
            <w:shd w:fill="F4F6F9" w:val="clear"/>
            <w:tcMar>
              <w:top w:type="dxa" w:w="100"/>
              <w:left w:type="dxa" w:w="140"/>
              <w:bottom w:type="dxa" w:w="100"/>
              <w:right w:type="dxa" w:w="140"/>
            </w:tcMar>
          </w:tcPr>
          <w:p>
            <w:r>
              <w:rPr>
                <w:sz w:val="19"/>
                <w:szCs w:val="19"/>
              </w:rPr>
              <w:t xml:space="preserve">Deployment (Section 11)</w:t>
            </w:r>
          </w:p>
        </w:tc>
        <w:tc>
          <w:tcPr>
            <w:tcW w:type="dxa" w:w="5600"/>
            <w:shd w:fill="F4F6F9" w:val="clear"/>
            <w:tcMar>
              <w:top w:type="dxa" w:w="100"/>
              <w:left w:type="dxa" w:w="140"/>
              <w:bottom w:type="dxa" w:w="100"/>
              <w:right w:type="dxa" w:w="140"/>
            </w:tcMar>
          </w:tcPr>
          <w:p>
            <w:r>
              <w:rPr>
                <w:sz w:val="19"/>
                <w:szCs w:val="19"/>
              </w:rPr>
              <w:t xml:space="preserve">Rolling deployment and canary patterns apply identically; the SDK itself follows its own versioned-release discipline, consistent with the existing semantic-versioning approach applied to any independently versioned artifact.</w:t>
            </w:r>
          </w:p>
        </w:tc>
      </w:tr>
      <w:tr>
        <w:tc>
          <w:tcPr>
            <w:tcW w:type="dxa" w:w="3400"/>
            <w:shd w:fill="FFFFFF" w:val="clear"/>
            <w:tcMar>
              <w:top w:type="dxa" w:w="100"/>
              <w:left w:type="dxa" w:w="140"/>
              <w:bottom w:type="dxa" w:w="100"/>
              <w:right w:type="dxa" w:w="140"/>
            </w:tcMar>
          </w:tcPr>
          <w:p>
            <w:r>
              <w:rPr>
                <w:sz w:val="19"/>
                <w:szCs w:val="19"/>
              </w:rPr>
              <w:t xml:space="preserve">Coding Standards (Section 12)</w:t>
            </w:r>
          </w:p>
        </w:tc>
        <w:tc>
          <w:tcPr>
            <w:tcW w:type="dxa" w:w="5600"/>
            <w:shd w:fill="FFFFFF" w:val="clear"/>
            <w:tcMar>
              <w:top w:type="dxa" w:w="100"/>
              <w:left w:type="dxa" w:w="140"/>
              <w:bottom w:type="dxa" w:w="100"/>
              <w:right w:type="dxa" w:w="140"/>
            </w:tcMar>
          </w:tcPr>
          <w:p>
            <w:r>
              <w:rPr>
                <w:sz w:val="19"/>
                <w:szCs w:val="19"/>
              </w:rPr>
              <w:t xml:space="preserve">Apply identically to all new code, edge or backend.</w:t>
            </w:r>
          </w:p>
        </w:tc>
      </w:tr>
      <w:tr>
        <w:tc>
          <w:tcPr>
            <w:tcW w:type="dxa" w:w="3400"/>
            <w:shd w:fill="F4F6F9" w:val="clear"/>
            <w:tcMar>
              <w:top w:type="dxa" w:w="100"/>
              <w:left w:type="dxa" w:w="140"/>
              <w:bottom w:type="dxa" w:w="100"/>
              <w:right w:type="dxa" w:w="140"/>
            </w:tcMar>
          </w:tcPr>
          <w:p>
            <w:r>
              <w:rPr>
                <w:sz w:val="19"/>
                <w:szCs w:val="19"/>
              </w:rPr>
              <w:t xml:space="preserve">API Standards general conventions (Section 13)</w:t>
            </w:r>
          </w:p>
        </w:tc>
        <w:tc>
          <w:tcPr>
            <w:tcW w:type="dxa" w:w="5600"/>
            <w:shd w:fill="F4F6F9" w:val="clear"/>
            <w:tcMar>
              <w:top w:type="dxa" w:w="100"/>
              <w:left w:type="dxa" w:w="140"/>
              <w:bottom w:type="dxa" w:w="100"/>
              <w:right w:type="dxa" w:w="140"/>
            </w:tcMar>
          </w:tcPr>
          <w:p>
            <w:r>
              <w:rPr>
                <w:sz w:val="19"/>
                <w:szCs w:val="19"/>
              </w:rPr>
              <w:t xml:space="preserve">REST conventions, versioning, and the standard error schema apply unchanged; only new endpoints and fields are added, not new conventions.</w:t>
            </w:r>
          </w:p>
        </w:tc>
      </w:tr>
      <w:tr>
        <w:tc>
          <w:tcPr>
            <w:tcW w:type="dxa" w:w="3400"/>
            <w:shd w:fill="FFFFFF" w:val="clear"/>
            <w:tcMar>
              <w:top w:type="dxa" w:w="100"/>
              <w:left w:type="dxa" w:w="140"/>
              <w:bottom w:type="dxa" w:w="100"/>
              <w:right w:type="dxa" w:w="140"/>
            </w:tcMar>
          </w:tcPr>
          <w:p>
            <w:r>
              <w:rPr>
                <w:sz w:val="19"/>
                <w:szCs w:val="19"/>
              </w:rPr>
              <w:t xml:space="preserve">Error Handling (Section 15)</w:t>
            </w:r>
          </w:p>
        </w:tc>
        <w:tc>
          <w:tcPr>
            <w:tcW w:type="dxa" w:w="5600"/>
            <w:shd w:fill="FFFFFF" w:val="clear"/>
            <w:tcMar>
              <w:top w:type="dxa" w:w="100"/>
              <w:left w:type="dxa" w:w="140"/>
              <w:bottom w:type="dxa" w:w="100"/>
              <w:right w:type="dxa" w:w="140"/>
            </w:tcMar>
          </w:tcPr>
          <w:p>
            <w:r>
              <w:rPr>
                <w:sz w:val="19"/>
                <w:szCs w:val="19"/>
              </w:rPr>
              <w:t xml:space="preserve">The error taxonomy and graceful-degradation philosophy extend directly — Section 2.4's 'verification paused' state is a new instance of the existing pattern, not a new pattern.</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CERTIVO — Technical Requirements Document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2026-07-05T19:42:42.894Z</dcterms:created>
  <dcterms:modified xsi:type="dcterms:W3CDTF">2026-07-05T19:42:42.905Z</dcterms:modified>
</cp:coreProperties>
</file>

<file path=docProps/custom.xml><?xml version="1.0" encoding="utf-8"?>
<Properties xmlns="http://schemas.openxmlformats.org/officeDocument/2006/custom-properties" xmlns:vt="http://schemas.openxmlformats.org/officeDocument/2006/docPropsVTypes"/>
</file>